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517C29">
      <w:pPr>
        <w:jc w:val="left"/>
        <w:rPr>
          <w:rFonts w:ascii="黑体" w:eastAsia="黑体"/>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合同编号：</w:t>
      </w:r>
    </w:p>
    <w:p w14:paraId="115E1A79">
      <w:pPr>
        <w:jc w:val="center"/>
        <w:rPr>
          <w:rFonts w:eastAsia="华文中宋"/>
          <w:b/>
          <w:color w:val="000000" w:themeColor="text1"/>
          <w:sz w:val="52"/>
          <w:szCs w:val="52"/>
          <w14:textFill>
            <w14:solidFill>
              <w14:schemeClr w14:val="tx1"/>
            </w14:solidFill>
          </w14:textFill>
        </w:rPr>
      </w:pPr>
    </w:p>
    <w:p w14:paraId="068AD61A">
      <w:pPr>
        <w:ind w:firstLine="520" w:firstLineChars="100"/>
        <w:jc w:val="center"/>
        <w:rPr>
          <w:rFonts w:ascii="黑体" w:eastAsia="黑体"/>
          <w:color w:val="000000"/>
          <w:sz w:val="52"/>
          <w:szCs w:val="52"/>
        </w:rPr>
      </w:pPr>
      <w:r>
        <w:rPr>
          <w:rFonts w:hint="eastAsia" w:ascii="黑体" w:hAnsi="黑体" w:eastAsia="黑体"/>
          <w:color w:val="000000"/>
          <w:sz w:val="52"/>
          <w:szCs w:val="52"/>
        </w:rPr>
        <w:t>珠江新城A3-3（B）地块项目</w:t>
      </w:r>
    </w:p>
    <w:p w14:paraId="1411685D">
      <w:pPr>
        <w:ind w:firstLine="1040" w:firstLineChars="200"/>
        <w:jc w:val="center"/>
        <w:rPr>
          <w:szCs w:val="21"/>
        </w:rPr>
      </w:pPr>
      <w:r>
        <w:rPr>
          <w:rFonts w:hint="eastAsia" w:ascii="黑体" w:hAnsi="黑体" w:eastAsia="黑体"/>
          <w:color w:val="000000"/>
          <w:sz w:val="52"/>
          <w:szCs w:val="52"/>
        </w:rPr>
        <w:t>幕墙工程专业承包合同</w:t>
      </w:r>
    </w:p>
    <w:p w14:paraId="7B585299">
      <w:pPr>
        <w:jc w:val="center"/>
        <w:rPr>
          <w:rFonts w:eastAsia="华文中宋"/>
          <w:color w:val="000000" w:themeColor="text1"/>
          <w:sz w:val="52"/>
          <w:szCs w:val="52"/>
          <w14:textFill>
            <w14:solidFill>
              <w14:schemeClr w14:val="tx1"/>
            </w14:solidFill>
          </w14:textFill>
        </w:rPr>
      </w:pPr>
    </w:p>
    <w:p w14:paraId="51927FE6">
      <w:pPr>
        <w:jc w:val="center"/>
        <w:rPr>
          <w:rFonts w:eastAsia="楷体_GB2312"/>
          <w:b/>
          <w:color w:val="000000" w:themeColor="text1"/>
          <w:sz w:val="72"/>
          <w:szCs w:val="72"/>
          <w14:textFill>
            <w14:solidFill>
              <w14:schemeClr w14:val="tx1"/>
            </w14:solidFill>
          </w14:textFill>
        </w:rPr>
      </w:pPr>
    </w:p>
    <w:p w14:paraId="5E9BA25A">
      <w:pPr>
        <w:jc w:val="center"/>
        <w:rPr>
          <w:rFonts w:eastAsia="黑体"/>
          <w:b/>
          <w:color w:val="000000" w:themeColor="text1"/>
          <w:sz w:val="52"/>
          <w:szCs w:val="52"/>
          <w14:textFill>
            <w14:solidFill>
              <w14:schemeClr w14:val="tx1"/>
            </w14:solidFill>
          </w14:textFill>
        </w:rPr>
      </w:pPr>
    </w:p>
    <w:p w14:paraId="533AEBFE">
      <w:pPr>
        <w:jc w:val="center"/>
        <w:rPr>
          <w:b/>
          <w:color w:val="000000" w:themeColor="text1"/>
          <w:sz w:val="28"/>
          <w:szCs w:val="28"/>
          <w14:textFill>
            <w14:solidFill>
              <w14:schemeClr w14:val="tx1"/>
            </w14:solidFill>
          </w14:textFill>
        </w:rPr>
      </w:pPr>
    </w:p>
    <w:p w14:paraId="7A7F8889">
      <w:pPr>
        <w:jc w:val="left"/>
        <w:rPr>
          <w:b/>
          <w:color w:val="000000" w:themeColor="text1"/>
          <w:sz w:val="28"/>
          <w:szCs w:val="28"/>
          <w14:textFill>
            <w14:solidFill>
              <w14:schemeClr w14:val="tx1"/>
            </w14:solidFill>
          </w14:textFill>
        </w:rPr>
      </w:pPr>
    </w:p>
    <w:p w14:paraId="0B39E6C3">
      <w:pPr>
        <w:jc w:val="left"/>
        <w:rPr>
          <w:rFonts w:ascii="黑体" w:eastAsia="黑体"/>
          <w:color w:val="000000"/>
          <w:sz w:val="52"/>
          <w:szCs w:val="52"/>
        </w:rPr>
      </w:pPr>
      <w:r>
        <w:rPr>
          <w:rFonts w:hint="eastAsia" w:ascii="黑体" w:hAnsi="黑体" w:eastAsia="黑体"/>
          <w:color w:val="000000"/>
          <w:sz w:val="32"/>
          <w:szCs w:val="32"/>
        </w:rPr>
        <w:t>工程名称：</w:t>
      </w:r>
      <w:r>
        <w:rPr>
          <w:rFonts w:hint="eastAsia" w:ascii="黑体" w:hAnsi="黑体" w:eastAsia="黑体"/>
          <w:color w:val="000000"/>
          <w:sz w:val="32"/>
          <w:szCs w:val="32"/>
          <w:u w:val="single"/>
        </w:rPr>
        <w:t>珠江新城A3-3（B）地块项目幕墙工程</w:t>
      </w:r>
    </w:p>
    <w:p w14:paraId="736000CD">
      <w:pPr>
        <w:jc w:val="left"/>
        <w:rPr>
          <w:rFonts w:ascii="黑体" w:hAnsi="宋体" w:eastAsia="黑体"/>
          <w:color w:val="000000"/>
          <w:sz w:val="32"/>
          <w:szCs w:val="32"/>
          <w:u w:val="single"/>
        </w:rPr>
      </w:pPr>
      <w:r>
        <w:rPr>
          <w:rFonts w:hint="eastAsia" w:ascii="黑体" w:hAnsi="黑体" w:eastAsia="黑体"/>
          <w:color w:val="000000"/>
          <w:sz w:val="32"/>
          <w:szCs w:val="32"/>
        </w:rPr>
        <w:t>工程地点：</w:t>
      </w:r>
      <w:r>
        <w:rPr>
          <w:rFonts w:hint="eastAsia" w:ascii="黑体" w:hAnsi="黑体" w:eastAsia="黑体"/>
          <w:color w:val="000000"/>
          <w:sz w:val="32"/>
          <w:szCs w:val="32"/>
          <w:u w:val="single"/>
        </w:rPr>
        <w:t>广州市天河区冼村街道珠江新城华强路</w:t>
      </w:r>
    </w:p>
    <w:p w14:paraId="556F6908">
      <w:pPr>
        <w:adjustRightInd w:val="0"/>
        <w:spacing w:line="480" w:lineRule="auto"/>
        <w:jc w:val="left"/>
        <w:textAlignment w:val="baseline"/>
        <w:rPr>
          <w:rFonts w:ascii="黑体" w:hAnsi="黑体" w:eastAsia="黑体"/>
          <w:color w:val="000000"/>
          <w:kern w:val="0"/>
          <w:sz w:val="32"/>
          <w:szCs w:val="32"/>
        </w:rPr>
      </w:pPr>
      <w:r>
        <w:rPr>
          <w:rFonts w:hint="eastAsia" w:ascii="黑体" w:hAnsi="黑体" w:eastAsia="黑体"/>
          <w:color w:val="000000"/>
          <w:kern w:val="0"/>
          <w:sz w:val="32"/>
          <w:szCs w:val="32"/>
        </w:rPr>
        <w:t>发包人：</w:t>
      </w:r>
      <w:r>
        <w:rPr>
          <w:rFonts w:hint="eastAsia" w:ascii="黑体" w:hAnsi="黑体" w:eastAsia="黑体"/>
          <w:color w:val="000000"/>
          <w:kern w:val="0"/>
          <w:sz w:val="32"/>
          <w:szCs w:val="32"/>
          <w:u w:val="single"/>
        </w:rPr>
        <w:t>深圳湾区城市建设发展有限公司</w:t>
      </w:r>
    </w:p>
    <w:p w14:paraId="796B8ACA">
      <w:pPr>
        <w:adjustRightInd w:val="0"/>
        <w:spacing w:line="480" w:lineRule="auto"/>
        <w:jc w:val="left"/>
        <w:textAlignment w:val="baseline"/>
        <w:rPr>
          <w:rFonts w:ascii="黑体" w:hAnsi="仿宋" w:eastAsia="黑体"/>
          <w:b/>
          <w:color w:val="000000"/>
          <w:kern w:val="0"/>
          <w:sz w:val="32"/>
          <w:szCs w:val="32"/>
        </w:rPr>
      </w:pPr>
      <w:r>
        <w:rPr>
          <w:rFonts w:hint="eastAsia" w:ascii="黑体" w:hAnsi="黑体" w:eastAsia="黑体"/>
          <w:color w:val="000000"/>
          <w:kern w:val="0"/>
          <w:sz w:val="32"/>
          <w:szCs w:val="32"/>
        </w:rPr>
        <w:t>承包人：</w:t>
      </w:r>
      <w:r>
        <w:rPr>
          <w:rFonts w:hint="eastAsia" w:ascii="黑体" w:hAnsi="黑体" w:eastAsia="黑体"/>
          <w:color w:val="000000"/>
          <w:sz w:val="32"/>
          <w:szCs w:val="32"/>
          <w:u w:val="single"/>
        </w:rPr>
        <w:t>中建科工集团有限公司</w:t>
      </w:r>
    </w:p>
    <w:p w14:paraId="28F7D99C">
      <w:pPr>
        <w:adjustRightInd w:val="0"/>
        <w:spacing w:line="480" w:lineRule="auto"/>
        <w:jc w:val="left"/>
        <w:textAlignment w:val="baseline"/>
        <w:rPr>
          <w:rFonts w:ascii="黑体" w:hAnsi="仿宋" w:eastAsia="黑体"/>
          <w:color w:val="000000"/>
          <w:kern w:val="0"/>
          <w:sz w:val="32"/>
          <w:szCs w:val="32"/>
        </w:rPr>
      </w:pPr>
      <w:r>
        <w:rPr>
          <w:rFonts w:hint="eastAsia" w:ascii="黑体" w:hAnsi="黑体" w:eastAsia="黑体"/>
          <w:color w:val="000000"/>
          <w:kern w:val="0"/>
          <w:sz w:val="32"/>
          <w:szCs w:val="32"/>
        </w:rPr>
        <w:t>分包人：</w:t>
      </w:r>
    </w:p>
    <w:p w14:paraId="175830FD">
      <w:pPr>
        <w:jc w:val="left"/>
        <w:rPr>
          <w:b/>
          <w:color w:val="000000"/>
          <w:sz w:val="28"/>
          <w:szCs w:val="28"/>
        </w:rPr>
      </w:pPr>
      <w:r>
        <w:rPr>
          <w:b/>
          <w:color w:val="000000"/>
          <w:sz w:val="28"/>
          <w:szCs w:val="28"/>
        </w:rPr>
        <w:t xml:space="preserve"> </w:t>
      </w:r>
    </w:p>
    <w:p w14:paraId="06C6EA23">
      <w:pPr>
        <w:rPr>
          <w:b/>
          <w:color w:val="000000" w:themeColor="text1"/>
          <w:sz w:val="28"/>
          <w:szCs w:val="28"/>
          <w14:textFill>
            <w14:solidFill>
              <w14:schemeClr w14:val="tx1"/>
            </w14:solidFill>
          </w14:textFill>
        </w:rPr>
      </w:pPr>
    </w:p>
    <w:p w14:paraId="3A91783E">
      <w:pPr>
        <w:pStyle w:val="72"/>
        <w:jc w:val="both"/>
        <w:outlineLvl w:val="9"/>
        <w:rPr>
          <w:color w:val="000000" w:themeColor="text1"/>
          <w14:textFill>
            <w14:solidFill>
              <w14:schemeClr w14:val="tx1"/>
            </w14:solidFill>
          </w14:textFill>
        </w:rPr>
        <w:sectPr>
          <w:footerReference r:id="rId6" w:type="first"/>
          <w:footerReference r:id="rId5" w:type="default"/>
          <w:pgSz w:w="11906" w:h="16838"/>
          <w:pgMar w:top="1418" w:right="1555" w:bottom="1418" w:left="1531" w:header="851" w:footer="992" w:gutter="0"/>
          <w:pgNumType w:start="1"/>
          <w:cols w:space="720" w:num="1"/>
          <w:titlePg/>
          <w:docGrid w:type="lines" w:linePitch="312" w:charSpace="0"/>
        </w:sectPr>
      </w:pPr>
    </w:p>
    <w:p w14:paraId="070888AE">
      <w:pPr>
        <w:pStyle w:val="72"/>
        <w:outlineLvl w:val="9"/>
        <w:rPr>
          <w:color w:val="000000" w:themeColor="text1"/>
          <w:lang w:val="zh-CN"/>
          <w14:textFill>
            <w14:solidFill>
              <w14:schemeClr w14:val="tx1"/>
            </w14:solidFill>
          </w14:textFill>
        </w:rPr>
      </w:pPr>
      <w:bookmarkStart w:id="0" w:name="_Toc19479"/>
      <w:bookmarkStart w:id="1" w:name="_Toc31549"/>
      <w:bookmarkStart w:id="2" w:name="_Toc2368"/>
      <w:bookmarkStart w:id="3" w:name="_Toc17580"/>
      <w:r>
        <w:rPr>
          <w:rFonts w:hint="eastAsia"/>
          <w:color w:val="000000" w:themeColor="text1"/>
          <w:lang w:val="zh-CN"/>
          <w14:textFill>
            <w14:solidFill>
              <w14:schemeClr w14:val="tx1"/>
            </w14:solidFill>
          </w14:textFill>
        </w:rPr>
        <w:t>总</w:t>
      </w:r>
      <w:r>
        <w:rPr>
          <w:color w:val="000000" w:themeColor="text1"/>
          <w:lang w:val="zh-CN"/>
          <w14:textFill>
            <w14:solidFill>
              <w14:schemeClr w14:val="tx1"/>
            </w14:solidFill>
          </w14:textFill>
        </w:rPr>
        <w:t>目录</w:t>
      </w:r>
      <w:bookmarkEnd w:id="0"/>
      <w:bookmarkEnd w:id="1"/>
      <w:bookmarkEnd w:id="2"/>
      <w:bookmarkEnd w:id="3"/>
    </w:p>
    <w:p w14:paraId="466442E0">
      <w:pPr>
        <w:pStyle w:val="28"/>
        <w:tabs>
          <w:tab w:val="right" w:leader="dot" w:pos="8820"/>
          <w:tab w:val="clear" w:pos="8296"/>
        </w:tabs>
      </w:pPr>
      <w:r>
        <w:rPr>
          <w:rFonts w:ascii="仿宋" w:hAnsi="仿宋" w:eastAsia="仿宋"/>
          <w:b w:val="0"/>
          <w:color w:val="000000" w:themeColor="text1"/>
          <w:sz w:val="24"/>
          <w:szCs w:val="28"/>
          <w14:textFill>
            <w14:solidFill>
              <w14:schemeClr w14:val="tx1"/>
            </w14:solidFill>
          </w14:textFill>
        </w:rPr>
        <w:fldChar w:fldCharType="begin"/>
      </w:r>
      <w:r>
        <w:rPr>
          <w:rFonts w:ascii="仿宋" w:hAnsi="仿宋" w:eastAsia="仿宋"/>
          <w:b w:val="0"/>
          <w:color w:val="000000" w:themeColor="text1"/>
          <w:sz w:val="24"/>
          <w:szCs w:val="28"/>
          <w14:textFill>
            <w14:solidFill>
              <w14:schemeClr w14:val="tx1"/>
            </w14:solidFill>
          </w14:textFill>
        </w:rPr>
        <w:instrText xml:space="preserve"> TOC \o "1-1" \h \z \u </w:instrText>
      </w:r>
      <w:r>
        <w:rPr>
          <w:rFonts w:ascii="仿宋" w:hAnsi="仿宋" w:eastAsia="仿宋"/>
          <w:b w:val="0"/>
          <w:color w:val="000000" w:themeColor="text1"/>
          <w:sz w:val="24"/>
          <w:szCs w:val="28"/>
          <w14:textFill>
            <w14:solidFill>
              <w14:schemeClr w14:val="tx1"/>
            </w14:solidFill>
          </w14:textFill>
        </w:rPr>
        <w:fldChar w:fldCharType="separate"/>
      </w:r>
      <w:r>
        <w:fldChar w:fldCharType="begin"/>
      </w:r>
      <w:r>
        <w:instrText xml:space="preserve"> HYPERLINK \l "_Toc4552" </w:instrText>
      </w:r>
      <w:r>
        <w:fldChar w:fldCharType="separate"/>
      </w:r>
      <w:r>
        <w:t>第一部分 协议书</w:t>
      </w:r>
      <w:r>
        <w:tab/>
      </w:r>
      <w:r>
        <w:fldChar w:fldCharType="begin"/>
      </w:r>
      <w:r>
        <w:instrText xml:space="preserve"> PAGEREF _Toc4552 \h </w:instrText>
      </w:r>
      <w:r>
        <w:fldChar w:fldCharType="separate"/>
      </w:r>
      <w:r>
        <w:t>4</w:t>
      </w:r>
      <w:r>
        <w:fldChar w:fldCharType="end"/>
      </w:r>
      <w:r>
        <w:fldChar w:fldCharType="end"/>
      </w:r>
    </w:p>
    <w:p w14:paraId="61D5D000">
      <w:pPr>
        <w:pStyle w:val="28"/>
        <w:tabs>
          <w:tab w:val="right" w:leader="dot" w:pos="8820"/>
          <w:tab w:val="clear" w:pos="8296"/>
        </w:tabs>
      </w:pPr>
      <w:r>
        <w:fldChar w:fldCharType="begin"/>
      </w:r>
      <w:r>
        <w:instrText xml:space="preserve"> HYPERLINK \l "_Toc10706" </w:instrText>
      </w:r>
      <w:r>
        <w:fldChar w:fldCharType="separate"/>
      </w:r>
      <w:r>
        <w:rPr>
          <w:rFonts w:hint="eastAsia"/>
        </w:rPr>
        <w:t>第二部分 通用条款</w:t>
      </w:r>
      <w:r>
        <w:tab/>
      </w:r>
      <w:r>
        <w:fldChar w:fldCharType="begin"/>
      </w:r>
      <w:r>
        <w:instrText xml:space="preserve"> PAGEREF _Toc10706 \h </w:instrText>
      </w:r>
      <w:r>
        <w:fldChar w:fldCharType="separate"/>
      </w:r>
      <w:r>
        <w:t>10</w:t>
      </w:r>
      <w:r>
        <w:fldChar w:fldCharType="end"/>
      </w:r>
      <w:r>
        <w:fldChar w:fldCharType="end"/>
      </w:r>
    </w:p>
    <w:p w14:paraId="6AFE996D">
      <w:pPr>
        <w:pStyle w:val="28"/>
        <w:tabs>
          <w:tab w:val="right" w:leader="dot" w:pos="8820"/>
          <w:tab w:val="clear" w:pos="8296"/>
        </w:tabs>
      </w:pPr>
      <w:r>
        <w:fldChar w:fldCharType="begin"/>
      </w:r>
      <w:r>
        <w:instrText xml:space="preserve"> HYPERLINK \l "_Toc28594" </w:instrText>
      </w:r>
      <w:r>
        <w:fldChar w:fldCharType="separate"/>
      </w:r>
      <w:r>
        <w:rPr>
          <w:rFonts w:hint="eastAsia"/>
        </w:rPr>
        <w:t>第三部分 专用条款</w:t>
      </w:r>
      <w:r>
        <w:tab/>
      </w:r>
      <w:r>
        <w:fldChar w:fldCharType="begin"/>
      </w:r>
      <w:r>
        <w:instrText xml:space="preserve"> PAGEREF _Toc28594 \h </w:instrText>
      </w:r>
      <w:r>
        <w:fldChar w:fldCharType="separate"/>
      </w:r>
      <w:r>
        <w:t>58</w:t>
      </w:r>
      <w:r>
        <w:fldChar w:fldCharType="end"/>
      </w:r>
      <w:r>
        <w:fldChar w:fldCharType="end"/>
      </w:r>
    </w:p>
    <w:p w14:paraId="4FF559F4">
      <w:pPr>
        <w:pStyle w:val="28"/>
        <w:tabs>
          <w:tab w:val="right" w:leader="dot" w:pos="8820"/>
          <w:tab w:val="clear" w:pos="8296"/>
        </w:tabs>
      </w:pPr>
      <w:r>
        <w:fldChar w:fldCharType="begin"/>
      </w:r>
      <w:r>
        <w:instrText xml:space="preserve"> HYPERLINK \l "_Toc18217" </w:instrText>
      </w:r>
      <w:r>
        <w:fldChar w:fldCharType="separate"/>
      </w:r>
      <w:r>
        <w:rPr>
          <w:rFonts w:hint="eastAsia"/>
        </w:rPr>
        <w:t>第四部分 补充条款</w:t>
      </w:r>
      <w:r>
        <w:tab/>
      </w:r>
      <w:r>
        <w:fldChar w:fldCharType="begin"/>
      </w:r>
      <w:r>
        <w:instrText xml:space="preserve"> PAGEREF _Toc18217 \h </w:instrText>
      </w:r>
      <w:r>
        <w:fldChar w:fldCharType="separate"/>
      </w:r>
      <w:r>
        <w:t>118</w:t>
      </w:r>
      <w:r>
        <w:fldChar w:fldCharType="end"/>
      </w:r>
      <w:r>
        <w:fldChar w:fldCharType="end"/>
      </w:r>
    </w:p>
    <w:p w14:paraId="6C2BCC80">
      <w:pPr>
        <w:pStyle w:val="28"/>
        <w:tabs>
          <w:tab w:val="right" w:leader="dot" w:pos="8820"/>
          <w:tab w:val="clear" w:pos="8296"/>
        </w:tabs>
      </w:pPr>
      <w:r>
        <w:fldChar w:fldCharType="begin"/>
      </w:r>
      <w:r>
        <w:instrText xml:space="preserve"> HYPERLINK \l "_Toc31031" </w:instrText>
      </w:r>
      <w:r>
        <w:fldChar w:fldCharType="separate"/>
      </w:r>
      <w:r>
        <w:rPr>
          <w:rFonts w:hint="eastAsia" w:ascii="仿宋" w:hAnsi="仿宋" w:eastAsia="仿宋"/>
          <w:szCs w:val="30"/>
        </w:rPr>
        <w:t>附件</w:t>
      </w:r>
      <w:r>
        <w:rPr>
          <w:rFonts w:ascii="仿宋" w:hAnsi="仿宋" w:eastAsia="仿宋"/>
          <w:szCs w:val="30"/>
        </w:rPr>
        <w:t>1</w:t>
      </w:r>
      <w:r>
        <w:rPr>
          <w:rFonts w:hint="eastAsia" w:ascii="仿宋" w:hAnsi="仿宋" w:eastAsia="仿宋"/>
          <w:szCs w:val="30"/>
        </w:rPr>
        <w:t xml:space="preserve"> 工程质量保修书</w:t>
      </w:r>
      <w:r>
        <w:tab/>
      </w:r>
      <w:r>
        <w:fldChar w:fldCharType="begin"/>
      </w:r>
      <w:r>
        <w:instrText xml:space="preserve"> PAGEREF _Toc31031 \h </w:instrText>
      </w:r>
      <w:r>
        <w:fldChar w:fldCharType="separate"/>
      </w:r>
      <w:r>
        <w:t>174</w:t>
      </w:r>
      <w:r>
        <w:fldChar w:fldCharType="end"/>
      </w:r>
      <w:r>
        <w:fldChar w:fldCharType="end"/>
      </w:r>
    </w:p>
    <w:p w14:paraId="36C2ADA6">
      <w:pPr>
        <w:pStyle w:val="28"/>
        <w:tabs>
          <w:tab w:val="right" w:leader="dot" w:pos="8820"/>
          <w:tab w:val="clear" w:pos="8296"/>
        </w:tabs>
      </w:pPr>
      <w:r>
        <w:fldChar w:fldCharType="begin"/>
      </w:r>
      <w:r>
        <w:instrText xml:space="preserve"> HYPERLINK \l "_Toc10615" </w:instrText>
      </w:r>
      <w:r>
        <w:fldChar w:fldCharType="separate"/>
      </w:r>
      <w:r>
        <w:rPr>
          <w:rFonts w:hint="eastAsia" w:ascii="仿宋" w:hAnsi="仿宋" w:eastAsia="仿宋"/>
          <w:szCs w:val="28"/>
        </w:rPr>
        <w:t>附件2幕墙工作界面划分表</w:t>
      </w:r>
      <w:r>
        <w:tab/>
      </w:r>
      <w:r>
        <w:fldChar w:fldCharType="begin"/>
      </w:r>
      <w:r>
        <w:instrText xml:space="preserve"> PAGEREF _Toc10615 \h </w:instrText>
      </w:r>
      <w:r>
        <w:fldChar w:fldCharType="separate"/>
      </w:r>
      <w:r>
        <w:t>177</w:t>
      </w:r>
      <w:r>
        <w:fldChar w:fldCharType="end"/>
      </w:r>
      <w:r>
        <w:fldChar w:fldCharType="end"/>
      </w:r>
    </w:p>
    <w:p w14:paraId="478B8BE9">
      <w:pPr>
        <w:pStyle w:val="28"/>
        <w:tabs>
          <w:tab w:val="right" w:leader="dot" w:pos="8820"/>
          <w:tab w:val="clear" w:pos="8296"/>
        </w:tabs>
      </w:pPr>
      <w:r>
        <w:fldChar w:fldCharType="begin"/>
      </w:r>
      <w:r>
        <w:instrText xml:space="preserve"> HYPERLINK \l "_Toc10526" </w:instrText>
      </w:r>
      <w:r>
        <w:fldChar w:fldCharType="separate"/>
      </w:r>
      <w:r>
        <w:rPr>
          <w:rFonts w:hint="eastAsia" w:ascii="仿宋" w:hAnsi="仿宋" w:eastAsia="仿宋"/>
          <w:szCs w:val="28"/>
        </w:rPr>
        <w:t>附件3施工技术要求（另册）</w:t>
      </w:r>
      <w:r>
        <w:tab/>
      </w:r>
      <w:r>
        <w:fldChar w:fldCharType="begin"/>
      </w:r>
      <w:r>
        <w:instrText xml:space="preserve"> PAGEREF _Toc10526 \h </w:instrText>
      </w:r>
      <w:r>
        <w:fldChar w:fldCharType="separate"/>
      </w:r>
      <w:r>
        <w:t>184</w:t>
      </w:r>
      <w:r>
        <w:fldChar w:fldCharType="end"/>
      </w:r>
      <w:r>
        <w:fldChar w:fldCharType="end"/>
      </w:r>
    </w:p>
    <w:p w14:paraId="5C423A11">
      <w:pPr>
        <w:pStyle w:val="28"/>
        <w:tabs>
          <w:tab w:val="right" w:leader="dot" w:pos="8820"/>
          <w:tab w:val="clear" w:pos="8296"/>
        </w:tabs>
      </w:pPr>
      <w:r>
        <w:fldChar w:fldCharType="begin"/>
      </w:r>
      <w:r>
        <w:instrText xml:space="preserve"> HYPERLINK \l "_Toc3043" </w:instrText>
      </w:r>
      <w:r>
        <w:fldChar w:fldCharType="separate"/>
      </w:r>
      <w:r>
        <w:rPr>
          <w:rFonts w:hint="eastAsia"/>
          <w:szCs w:val="30"/>
        </w:rPr>
        <w:t>附件</w:t>
      </w:r>
      <w:r>
        <w:rPr>
          <w:szCs w:val="30"/>
        </w:rPr>
        <w:t>4</w:t>
      </w:r>
      <w:r>
        <w:rPr>
          <w:rFonts w:hint="eastAsia"/>
          <w:szCs w:val="30"/>
        </w:rPr>
        <w:t>材料设备品牌推荐表</w:t>
      </w:r>
      <w:r>
        <w:tab/>
      </w:r>
      <w:r>
        <w:fldChar w:fldCharType="begin"/>
      </w:r>
      <w:r>
        <w:instrText xml:space="preserve"> PAGEREF _Toc3043 \h </w:instrText>
      </w:r>
      <w:r>
        <w:fldChar w:fldCharType="separate"/>
      </w:r>
      <w:r>
        <w:t>185</w:t>
      </w:r>
      <w:r>
        <w:fldChar w:fldCharType="end"/>
      </w:r>
      <w:r>
        <w:fldChar w:fldCharType="end"/>
      </w:r>
    </w:p>
    <w:p w14:paraId="55C3954A">
      <w:pPr>
        <w:pStyle w:val="28"/>
        <w:tabs>
          <w:tab w:val="right" w:leader="dot" w:pos="8820"/>
          <w:tab w:val="clear" w:pos="8296"/>
        </w:tabs>
      </w:pPr>
      <w:r>
        <w:fldChar w:fldCharType="begin"/>
      </w:r>
      <w:r>
        <w:instrText xml:space="preserve"> HYPERLINK \l "_Toc17818" </w:instrText>
      </w:r>
      <w:r>
        <w:fldChar w:fldCharType="separate"/>
      </w:r>
      <w:r>
        <w:rPr>
          <w:rFonts w:hint="eastAsia" w:ascii="仿宋" w:hAnsi="仿宋" w:eastAsia="仿宋"/>
          <w:szCs w:val="30"/>
        </w:rPr>
        <w:t>附件</w:t>
      </w:r>
      <w:r>
        <w:rPr>
          <w:rFonts w:ascii="仿宋" w:hAnsi="仿宋" w:eastAsia="仿宋"/>
          <w:szCs w:val="30"/>
        </w:rPr>
        <w:t>5</w:t>
      </w:r>
      <w:r>
        <w:rPr>
          <w:rFonts w:hint="eastAsia" w:ascii="仿宋" w:hAnsi="仿宋" w:eastAsia="仿宋"/>
          <w:szCs w:val="30"/>
        </w:rPr>
        <w:t xml:space="preserve"> 工程建设项目廉政合同书</w:t>
      </w:r>
      <w:r>
        <w:tab/>
      </w:r>
      <w:r>
        <w:fldChar w:fldCharType="begin"/>
      </w:r>
      <w:r>
        <w:instrText xml:space="preserve"> PAGEREF _Toc17818 \h </w:instrText>
      </w:r>
      <w:r>
        <w:fldChar w:fldCharType="separate"/>
      </w:r>
      <w:r>
        <w:t>186</w:t>
      </w:r>
      <w:r>
        <w:fldChar w:fldCharType="end"/>
      </w:r>
      <w:r>
        <w:fldChar w:fldCharType="end"/>
      </w:r>
    </w:p>
    <w:p w14:paraId="429E82A7">
      <w:pPr>
        <w:pStyle w:val="28"/>
        <w:tabs>
          <w:tab w:val="right" w:leader="dot" w:pos="8820"/>
          <w:tab w:val="clear" w:pos="8296"/>
        </w:tabs>
      </w:pPr>
      <w:r>
        <w:fldChar w:fldCharType="begin"/>
      </w:r>
      <w:r>
        <w:instrText xml:space="preserve"> HYPERLINK \l "_Toc7375" </w:instrText>
      </w:r>
      <w:r>
        <w:fldChar w:fldCharType="separate"/>
      </w:r>
      <w:r>
        <w:rPr>
          <w:rFonts w:hint="eastAsia" w:ascii="仿宋" w:hAnsi="仿宋" w:eastAsia="仿宋"/>
          <w:szCs w:val="30"/>
        </w:rPr>
        <w:t>附件</w:t>
      </w:r>
      <w:r>
        <w:rPr>
          <w:rFonts w:ascii="仿宋" w:hAnsi="仿宋" w:eastAsia="仿宋"/>
          <w:szCs w:val="30"/>
        </w:rPr>
        <w:t>6</w:t>
      </w:r>
      <w:r>
        <w:rPr>
          <w:rFonts w:hint="eastAsia" w:ascii="仿宋" w:hAnsi="仿宋" w:eastAsia="仿宋"/>
          <w:szCs w:val="30"/>
        </w:rPr>
        <w:t xml:space="preserve"> 已标价工程量清单（另册）</w:t>
      </w:r>
      <w:r>
        <w:tab/>
      </w:r>
      <w:r>
        <w:fldChar w:fldCharType="begin"/>
      </w:r>
      <w:r>
        <w:instrText xml:space="preserve"> PAGEREF _Toc7375 \h </w:instrText>
      </w:r>
      <w:r>
        <w:fldChar w:fldCharType="separate"/>
      </w:r>
      <w:r>
        <w:t>188</w:t>
      </w:r>
      <w:r>
        <w:fldChar w:fldCharType="end"/>
      </w:r>
      <w:r>
        <w:fldChar w:fldCharType="end"/>
      </w:r>
    </w:p>
    <w:p w14:paraId="28B43312">
      <w:pPr>
        <w:pStyle w:val="28"/>
        <w:tabs>
          <w:tab w:val="right" w:leader="dot" w:pos="8820"/>
          <w:tab w:val="clear" w:pos="8296"/>
        </w:tabs>
      </w:pPr>
      <w:r>
        <w:fldChar w:fldCharType="begin"/>
      </w:r>
      <w:r>
        <w:instrText xml:space="preserve"> HYPERLINK \l "_Toc19159" </w:instrText>
      </w:r>
      <w:r>
        <w:fldChar w:fldCharType="separate"/>
      </w:r>
      <w:r>
        <w:rPr>
          <w:rFonts w:hint="eastAsia" w:eastAsia="宋体"/>
          <w:bCs/>
          <w:kern w:val="44"/>
          <w:szCs w:val="30"/>
        </w:rPr>
        <w:t>附件</w:t>
      </w:r>
      <w:r>
        <w:rPr>
          <w:rFonts w:eastAsia="宋体"/>
          <w:bCs/>
          <w:kern w:val="44"/>
          <w:szCs w:val="30"/>
        </w:rPr>
        <w:t>7</w:t>
      </w:r>
      <w:r>
        <w:rPr>
          <w:rFonts w:hint="eastAsia" w:eastAsia="宋体"/>
          <w:bCs/>
          <w:kern w:val="44"/>
          <w:szCs w:val="30"/>
        </w:rPr>
        <w:t xml:space="preserve"> 施工现场安全生产协议书</w:t>
      </w:r>
      <w:r>
        <w:tab/>
      </w:r>
      <w:r>
        <w:fldChar w:fldCharType="begin"/>
      </w:r>
      <w:r>
        <w:instrText xml:space="preserve"> PAGEREF _Toc19159 \h </w:instrText>
      </w:r>
      <w:r>
        <w:fldChar w:fldCharType="separate"/>
      </w:r>
      <w:r>
        <w:t>189</w:t>
      </w:r>
      <w:r>
        <w:fldChar w:fldCharType="end"/>
      </w:r>
      <w:r>
        <w:fldChar w:fldCharType="end"/>
      </w:r>
    </w:p>
    <w:p w14:paraId="6843D6D4">
      <w:pPr>
        <w:pStyle w:val="28"/>
        <w:tabs>
          <w:tab w:val="right" w:leader="dot" w:pos="8820"/>
          <w:tab w:val="clear" w:pos="8296"/>
        </w:tabs>
      </w:pPr>
      <w:r>
        <w:fldChar w:fldCharType="begin"/>
      </w:r>
      <w:r>
        <w:instrText xml:space="preserve"> HYPERLINK \l "_Toc9146" </w:instrText>
      </w:r>
      <w:r>
        <w:fldChar w:fldCharType="separate"/>
      </w:r>
      <w:r>
        <w:rPr>
          <w:rFonts w:hint="eastAsia" w:ascii="Cambria" w:hAnsi="Cambria"/>
          <w:bCs/>
          <w:szCs w:val="30"/>
        </w:rPr>
        <w:t>附件</w:t>
      </w:r>
      <w:r>
        <w:rPr>
          <w:rFonts w:ascii="Cambria" w:hAnsi="Cambria"/>
          <w:bCs/>
          <w:szCs w:val="30"/>
        </w:rPr>
        <w:t>8</w:t>
      </w:r>
      <w:r>
        <w:rPr>
          <w:rFonts w:hint="eastAsia" w:ascii="Cambria" w:hAnsi="Cambria"/>
          <w:bCs/>
          <w:szCs w:val="30"/>
        </w:rPr>
        <w:t xml:space="preserve"> 项目管理班子及其他管理人员配备情况表（按投标文件）</w:t>
      </w:r>
      <w:r>
        <w:tab/>
      </w:r>
      <w:r>
        <w:fldChar w:fldCharType="begin"/>
      </w:r>
      <w:r>
        <w:instrText xml:space="preserve"> PAGEREF _Toc9146 \h </w:instrText>
      </w:r>
      <w:r>
        <w:fldChar w:fldCharType="separate"/>
      </w:r>
      <w:r>
        <w:t>197</w:t>
      </w:r>
      <w:r>
        <w:fldChar w:fldCharType="end"/>
      </w:r>
      <w:r>
        <w:fldChar w:fldCharType="end"/>
      </w:r>
    </w:p>
    <w:p w14:paraId="22AB7DA6">
      <w:pPr>
        <w:pStyle w:val="28"/>
        <w:tabs>
          <w:tab w:val="right" w:leader="dot" w:pos="8820"/>
          <w:tab w:val="clear" w:pos="8296"/>
        </w:tabs>
      </w:pPr>
      <w:r>
        <w:fldChar w:fldCharType="begin"/>
      </w:r>
      <w:r>
        <w:instrText xml:space="preserve"> HYPERLINK \l "_Toc13900" </w:instrText>
      </w:r>
      <w:r>
        <w:fldChar w:fldCharType="separate"/>
      </w:r>
      <w:r>
        <w:rPr>
          <w:rFonts w:hint="eastAsia" w:ascii="Cambria" w:hAnsi="Cambria"/>
          <w:bCs/>
          <w:szCs w:val="30"/>
        </w:rPr>
        <w:t>附件</w:t>
      </w:r>
      <w:r>
        <w:rPr>
          <w:rFonts w:ascii="Cambria" w:hAnsi="Cambria"/>
          <w:bCs/>
          <w:szCs w:val="30"/>
        </w:rPr>
        <w:t>9</w:t>
      </w:r>
      <w:r>
        <w:rPr>
          <w:rFonts w:hint="eastAsia" w:ascii="Cambria" w:hAnsi="Cambria"/>
          <w:bCs/>
          <w:szCs w:val="30"/>
        </w:rPr>
        <w:t xml:space="preserve"> 主要施工机械设备表（按投标文件）</w:t>
      </w:r>
      <w:r>
        <w:tab/>
      </w:r>
      <w:r>
        <w:fldChar w:fldCharType="begin"/>
      </w:r>
      <w:r>
        <w:instrText xml:space="preserve"> PAGEREF _Toc13900 \h </w:instrText>
      </w:r>
      <w:r>
        <w:fldChar w:fldCharType="separate"/>
      </w:r>
      <w:r>
        <w:t>198</w:t>
      </w:r>
      <w:r>
        <w:fldChar w:fldCharType="end"/>
      </w:r>
      <w:r>
        <w:fldChar w:fldCharType="end"/>
      </w:r>
    </w:p>
    <w:p w14:paraId="3B40914A">
      <w:pPr>
        <w:pStyle w:val="28"/>
        <w:tabs>
          <w:tab w:val="right" w:leader="dot" w:pos="8820"/>
          <w:tab w:val="clear" w:pos="8296"/>
        </w:tabs>
      </w:pPr>
      <w:r>
        <w:fldChar w:fldCharType="begin"/>
      </w:r>
      <w:r>
        <w:instrText xml:space="preserve"> HYPERLINK \l "_Toc5201" </w:instrText>
      </w:r>
      <w:r>
        <w:fldChar w:fldCharType="separate"/>
      </w:r>
      <w:r>
        <w:rPr>
          <w:rFonts w:ascii="Cambria" w:hAnsi="Cambria"/>
          <w:bCs/>
          <w:szCs w:val="30"/>
        </w:rPr>
        <w:t>附件</w:t>
      </w:r>
      <w:r>
        <w:rPr>
          <w:rFonts w:hint="eastAsia" w:ascii="Cambria" w:hAnsi="Cambria"/>
          <w:bCs/>
          <w:szCs w:val="30"/>
        </w:rPr>
        <w:t>1</w:t>
      </w:r>
      <w:r>
        <w:rPr>
          <w:rFonts w:ascii="Cambria" w:hAnsi="Cambria"/>
          <w:bCs/>
          <w:szCs w:val="30"/>
        </w:rPr>
        <w:t>0 履约评价办法</w:t>
      </w:r>
      <w:r>
        <w:tab/>
      </w:r>
      <w:r>
        <w:fldChar w:fldCharType="begin"/>
      </w:r>
      <w:r>
        <w:instrText xml:space="preserve"> PAGEREF _Toc5201 \h </w:instrText>
      </w:r>
      <w:r>
        <w:fldChar w:fldCharType="separate"/>
      </w:r>
      <w:r>
        <w:t>199</w:t>
      </w:r>
      <w:r>
        <w:fldChar w:fldCharType="end"/>
      </w:r>
      <w:r>
        <w:fldChar w:fldCharType="end"/>
      </w:r>
    </w:p>
    <w:p w14:paraId="172EFE17">
      <w:pPr>
        <w:pStyle w:val="28"/>
        <w:tabs>
          <w:tab w:val="right" w:leader="dot" w:pos="8820"/>
          <w:tab w:val="clear" w:pos="8296"/>
        </w:tabs>
      </w:pPr>
      <w:r>
        <w:fldChar w:fldCharType="begin"/>
      </w:r>
      <w:r>
        <w:instrText xml:space="preserve"> HYPERLINK \l "_Toc12485" </w:instrText>
      </w:r>
      <w:r>
        <w:fldChar w:fldCharType="separate"/>
      </w:r>
      <w:r>
        <w:rPr>
          <w:rFonts w:ascii="Cambria" w:hAnsi="Cambria"/>
          <w:bCs/>
          <w:szCs w:val="30"/>
        </w:rPr>
        <w:t>附件</w:t>
      </w:r>
      <w:r>
        <w:rPr>
          <w:rFonts w:hint="eastAsia" w:ascii="Cambria" w:hAnsi="Cambria"/>
          <w:bCs/>
          <w:szCs w:val="30"/>
        </w:rPr>
        <w:t>1</w:t>
      </w:r>
      <w:r>
        <w:rPr>
          <w:rFonts w:ascii="Cambria" w:hAnsi="Cambria"/>
          <w:bCs/>
          <w:szCs w:val="30"/>
        </w:rPr>
        <w:t>1 答疑补遗纪要</w:t>
      </w:r>
      <w:r>
        <w:tab/>
      </w:r>
      <w:r>
        <w:fldChar w:fldCharType="begin"/>
      </w:r>
      <w:r>
        <w:instrText xml:space="preserve"> PAGEREF _Toc12485 \h </w:instrText>
      </w:r>
      <w:r>
        <w:fldChar w:fldCharType="separate"/>
      </w:r>
      <w:r>
        <w:t>206</w:t>
      </w:r>
      <w:r>
        <w:fldChar w:fldCharType="end"/>
      </w:r>
      <w:r>
        <w:fldChar w:fldCharType="end"/>
      </w:r>
    </w:p>
    <w:p w14:paraId="03B6E682">
      <w:pPr>
        <w:pStyle w:val="28"/>
        <w:tabs>
          <w:tab w:val="right" w:leader="dot" w:pos="8820"/>
          <w:tab w:val="clear" w:pos="8296"/>
        </w:tabs>
      </w:pPr>
      <w:r>
        <w:fldChar w:fldCharType="begin"/>
      </w:r>
      <w:r>
        <w:instrText xml:space="preserve"> HYPERLINK \l "_Toc4307" </w:instrText>
      </w:r>
      <w:r>
        <w:fldChar w:fldCharType="separate"/>
      </w:r>
      <w:r>
        <w:rPr>
          <w:rFonts w:ascii="Cambria" w:hAnsi="Cambria"/>
          <w:bCs/>
          <w:szCs w:val="30"/>
        </w:rPr>
        <w:t>附件</w:t>
      </w:r>
      <w:r>
        <w:rPr>
          <w:rFonts w:hint="eastAsia" w:ascii="Cambria" w:hAnsi="Cambria"/>
          <w:bCs/>
          <w:szCs w:val="30"/>
        </w:rPr>
        <w:t>1</w:t>
      </w:r>
      <w:r>
        <w:rPr>
          <w:rFonts w:ascii="Cambria" w:hAnsi="Cambria"/>
          <w:bCs/>
          <w:szCs w:val="30"/>
        </w:rPr>
        <w:t xml:space="preserve">2 </w:t>
      </w:r>
      <w:r>
        <w:rPr>
          <w:rFonts w:hint="eastAsia" w:ascii="Cambria" w:hAnsi="Cambria"/>
          <w:bCs/>
          <w:szCs w:val="30"/>
        </w:rPr>
        <w:t>保密</w:t>
      </w:r>
      <w:r>
        <w:rPr>
          <w:rFonts w:ascii="Cambria" w:hAnsi="Cambria"/>
          <w:bCs/>
          <w:szCs w:val="30"/>
        </w:rPr>
        <w:t>协议</w:t>
      </w:r>
      <w:r>
        <w:tab/>
      </w:r>
      <w:r>
        <w:fldChar w:fldCharType="begin"/>
      </w:r>
      <w:r>
        <w:instrText xml:space="preserve"> PAGEREF _Toc4307 \h </w:instrText>
      </w:r>
      <w:r>
        <w:fldChar w:fldCharType="separate"/>
      </w:r>
      <w:r>
        <w:t>207</w:t>
      </w:r>
      <w:r>
        <w:fldChar w:fldCharType="end"/>
      </w:r>
      <w:r>
        <w:fldChar w:fldCharType="end"/>
      </w:r>
    </w:p>
    <w:p w14:paraId="4BC7301C">
      <w:pPr>
        <w:pStyle w:val="28"/>
        <w:tabs>
          <w:tab w:val="right" w:leader="dot" w:pos="8820"/>
          <w:tab w:val="clear" w:pos="8296"/>
        </w:tabs>
      </w:pPr>
      <w:r>
        <w:fldChar w:fldCharType="begin"/>
      </w:r>
      <w:r>
        <w:instrText xml:space="preserve"> HYPERLINK \l "_Toc1430" </w:instrText>
      </w:r>
      <w:r>
        <w:fldChar w:fldCharType="separate"/>
      </w:r>
      <w:r>
        <w:rPr>
          <w:rFonts w:hint="eastAsia" w:ascii="Cambria" w:hAnsi="Cambria" w:eastAsia="宋体"/>
          <w:bCs/>
          <w:szCs w:val="30"/>
        </w:rPr>
        <w:t>附件</w:t>
      </w:r>
      <w:r>
        <w:rPr>
          <w:rFonts w:hint="eastAsia" w:ascii="Cambria" w:hAnsi="Cambria"/>
          <w:bCs/>
          <w:szCs w:val="30"/>
        </w:rPr>
        <w:t>13</w:t>
      </w:r>
      <w:r>
        <w:rPr>
          <w:rFonts w:hint="eastAsia" w:ascii="Cambria" w:hAnsi="Cambria" w:eastAsia="宋体"/>
          <w:bCs/>
          <w:szCs w:val="30"/>
        </w:rPr>
        <w:t xml:space="preserve">  工程质量专项管理协议书</w:t>
      </w:r>
      <w:r>
        <w:tab/>
      </w:r>
      <w:r>
        <w:fldChar w:fldCharType="begin"/>
      </w:r>
      <w:r>
        <w:instrText xml:space="preserve"> PAGEREF _Toc1430 \h </w:instrText>
      </w:r>
      <w:r>
        <w:fldChar w:fldCharType="separate"/>
      </w:r>
      <w:r>
        <w:t>212</w:t>
      </w:r>
      <w:r>
        <w:fldChar w:fldCharType="end"/>
      </w:r>
      <w:r>
        <w:fldChar w:fldCharType="end"/>
      </w:r>
    </w:p>
    <w:p w14:paraId="2938E1F8">
      <w:pPr>
        <w:pStyle w:val="28"/>
        <w:tabs>
          <w:tab w:val="right" w:leader="dot" w:pos="8820"/>
          <w:tab w:val="clear" w:pos="8296"/>
        </w:tabs>
      </w:pPr>
      <w:r>
        <w:fldChar w:fldCharType="begin"/>
      </w:r>
      <w:r>
        <w:instrText xml:space="preserve"> HYPERLINK \l "_Toc2294" </w:instrText>
      </w:r>
      <w:r>
        <w:fldChar w:fldCharType="separate"/>
      </w:r>
      <w:r>
        <w:rPr>
          <w:rFonts w:hint="eastAsia" w:ascii="Cambria" w:hAnsi="Cambria" w:eastAsia="宋体"/>
          <w:bCs/>
          <w:szCs w:val="30"/>
        </w:rPr>
        <w:t>附件1</w:t>
      </w:r>
      <w:r>
        <w:rPr>
          <w:rFonts w:hint="eastAsia" w:ascii="Cambria" w:hAnsi="Cambria"/>
          <w:bCs/>
          <w:szCs w:val="30"/>
        </w:rPr>
        <w:t>4</w:t>
      </w:r>
      <w:r>
        <w:rPr>
          <w:rFonts w:hint="eastAsia" w:ascii="Cambria" w:hAnsi="Cambria" w:eastAsia="宋体"/>
          <w:bCs/>
          <w:szCs w:val="30"/>
        </w:rPr>
        <w:t xml:space="preserve">  </w:t>
      </w:r>
      <w:r>
        <w:rPr>
          <w:rFonts w:hint="eastAsia" w:ascii="Cambria" w:hAnsi="Cambria"/>
          <w:bCs/>
          <w:szCs w:val="30"/>
        </w:rPr>
        <w:t>农民工工资委托支付协议</w:t>
      </w:r>
      <w:r>
        <w:tab/>
      </w:r>
      <w:r>
        <w:fldChar w:fldCharType="begin"/>
      </w:r>
      <w:r>
        <w:instrText xml:space="preserve"> PAGEREF _Toc2294 \h </w:instrText>
      </w:r>
      <w:r>
        <w:fldChar w:fldCharType="separate"/>
      </w:r>
      <w:r>
        <w:t>218</w:t>
      </w:r>
      <w:r>
        <w:fldChar w:fldCharType="end"/>
      </w:r>
      <w:r>
        <w:fldChar w:fldCharType="end"/>
      </w:r>
    </w:p>
    <w:p w14:paraId="1642DD34">
      <w:pPr>
        <w:pStyle w:val="28"/>
        <w:tabs>
          <w:tab w:val="right" w:leader="dot" w:pos="8820"/>
          <w:tab w:val="clear" w:pos="8296"/>
        </w:tabs>
      </w:pPr>
      <w:r>
        <w:fldChar w:fldCharType="begin"/>
      </w:r>
      <w:r>
        <w:instrText xml:space="preserve"> HYPERLINK \l "_Toc14478" </w:instrText>
      </w:r>
      <w:r>
        <w:fldChar w:fldCharType="separate"/>
      </w:r>
      <w:r>
        <w:rPr>
          <w:rFonts w:hint="eastAsia" w:ascii="Cambria" w:hAnsi="Cambria" w:eastAsia="宋体"/>
          <w:bCs/>
          <w:szCs w:val="30"/>
        </w:rPr>
        <w:t>附件1</w:t>
      </w:r>
      <w:r>
        <w:rPr>
          <w:rFonts w:hint="eastAsia" w:ascii="Cambria" w:hAnsi="Cambria"/>
          <w:bCs/>
          <w:szCs w:val="30"/>
        </w:rPr>
        <w:t>5</w:t>
      </w:r>
      <w:r>
        <w:rPr>
          <w:rFonts w:hint="eastAsia" w:ascii="Cambria" w:hAnsi="Cambria" w:eastAsia="宋体"/>
          <w:bCs/>
          <w:szCs w:val="30"/>
        </w:rPr>
        <w:t xml:space="preserve">  </w:t>
      </w:r>
      <w:r>
        <w:rPr>
          <w:rFonts w:hint="eastAsia" w:ascii="Cambria" w:hAnsi="Cambria"/>
          <w:bCs/>
          <w:szCs w:val="30"/>
        </w:rPr>
        <w:t>施工现场消防安全管理协议</w:t>
      </w:r>
      <w:r>
        <w:tab/>
      </w:r>
      <w:r>
        <w:fldChar w:fldCharType="begin"/>
      </w:r>
      <w:r>
        <w:instrText xml:space="preserve"> PAGEREF _Toc14478 \h </w:instrText>
      </w:r>
      <w:r>
        <w:fldChar w:fldCharType="separate"/>
      </w:r>
      <w:r>
        <w:t>221</w:t>
      </w:r>
      <w:r>
        <w:fldChar w:fldCharType="end"/>
      </w:r>
      <w:r>
        <w:fldChar w:fldCharType="end"/>
      </w:r>
    </w:p>
    <w:p w14:paraId="3066E47E">
      <w:pPr>
        <w:pStyle w:val="28"/>
        <w:tabs>
          <w:tab w:val="right" w:leader="dot" w:pos="8820"/>
          <w:tab w:val="clear" w:pos="8296"/>
        </w:tabs>
      </w:pPr>
      <w:r>
        <w:fldChar w:fldCharType="begin"/>
      </w:r>
      <w:r>
        <w:instrText xml:space="preserve"> HYPERLINK \l "_Toc8334" </w:instrText>
      </w:r>
      <w:r>
        <w:fldChar w:fldCharType="separate"/>
      </w:r>
      <w:r>
        <w:rPr>
          <w:rFonts w:hint="eastAsia" w:ascii="Cambria" w:hAnsi="Cambria" w:eastAsia="宋体"/>
          <w:bCs/>
          <w:szCs w:val="30"/>
        </w:rPr>
        <w:t>附件1</w:t>
      </w:r>
      <w:r>
        <w:rPr>
          <w:rFonts w:hint="eastAsia" w:ascii="Cambria" w:hAnsi="Cambria"/>
          <w:bCs/>
          <w:szCs w:val="30"/>
        </w:rPr>
        <w:t>6</w:t>
      </w:r>
      <w:r>
        <w:rPr>
          <w:rFonts w:hint="eastAsia" w:ascii="Cambria" w:hAnsi="Cambria" w:eastAsia="宋体"/>
          <w:bCs/>
          <w:szCs w:val="30"/>
        </w:rPr>
        <w:t xml:space="preserve">  </w:t>
      </w:r>
      <w:r>
        <w:rPr>
          <w:rFonts w:hint="eastAsia" w:ascii="Cambria" w:hAnsi="Cambria"/>
          <w:bCs/>
          <w:szCs w:val="30"/>
        </w:rPr>
        <w:t>施工现场临时用电安全管理协议</w:t>
      </w:r>
      <w:r>
        <w:tab/>
      </w:r>
      <w:r>
        <w:fldChar w:fldCharType="begin"/>
      </w:r>
      <w:r>
        <w:instrText xml:space="preserve"> PAGEREF _Toc8334 \h </w:instrText>
      </w:r>
      <w:r>
        <w:fldChar w:fldCharType="separate"/>
      </w:r>
      <w:r>
        <w:t>225</w:t>
      </w:r>
      <w:r>
        <w:fldChar w:fldCharType="end"/>
      </w:r>
      <w:r>
        <w:fldChar w:fldCharType="end"/>
      </w:r>
    </w:p>
    <w:p w14:paraId="45A2E46E">
      <w:pPr>
        <w:pStyle w:val="28"/>
        <w:tabs>
          <w:tab w:val="right" w:leader="dot" w:pos="8820"/>
          <w:tab w:val="clear" w:pos="8296"/>
        </w:tabs>
      </w:pPr>
      <w:r>
        <w:fldChar w:fldCharType="begin"/>
      </w:r>
      <w:r>
        <w:instrText xml:space="preserve"> HYPERLINK \l "_Toc22631" </w:instrText>
      </w:r>
      <w:r>
        <w:fldChar w:fldCharType="separate"/>
      </w:r>
      <w:r>
        <w:rPr>
          <w:rFonts w:hint="eastAsia" w:ascii="Cambria" w:hAnsi="Cambria" w:eastAsia="宋体"/>
          <w:bCs/>
          <w:szCs w:val="30"/>
        </w:rPr>
        <w:t>附件1</w:t>
      </w:r>
      <w:r>
        <w:rPr>
          <w:rFonts w:hint="eastAsia" w:ascii="Cambria" w:hAnsi="Cambria"/>
          <w:bCs/>
          <w:szCs w:val="30"/>
        </w:rPr>
        <w:t>7</w:t>
      </w:r>
      <w:r>
        <w:rPr>
          <w:rFonts w:hint="eastAsia" w:ascii="Cambria" w:hAnsi="Cambria" w:eastAsia="宋体"/>
          <w:bCs/>
          <w:szCs w:val="30"/>
        </w:rPr>
        <w:t xml:space="preserve">  </w:t>
      </w:r>
      <w:r>
        <w:rPr>
          <w:rFonts w:hint="eastAsia" w:ascii="Cambria" w:hAnsi="Cambria"/>
          <w:bCs/>
          <w:szCs w:val="30"/>
        </w:rPr>
        <w:t>承诺书</w:t>
      </w:r>
      <w:r>
        <w:tab/>
      </w:r>
      <w:r>
        <w:fldChar w:fldCharType="begin"/>
      </w:r>
      <w:r>
        <w:instrText xml:space="preserve"> PAGEREF _Toc22631 \h </w:instrText>
      </w:r>
      <w:r>
        <w:fldChar w:fldCharType="separate"/>
      </w:r>
      <w:r>
        <w:t>227</w:t>
      </w:r>
      <w:r>
        <w:fldChar w:fldCharType="end"/>
      </w:r>
      <w:r>
        <w:fldChar w:fldCharType="end"/>
      </w:r>
    </w:p>
    <w:p w14:paraId="46F1575D">
      <w:pPr>
        <w:pStyle w:val="28"/>
        <w:rPr>
          <w:color w:val="000000" w:themeColor="text1"/>
          <w14:textFill>
            <w14:solidFill>
              <w14:schemeClr w14:val="tx1"/>
            </w14:solidFill>
          </w14:textFill>
        </w:rPr>
        <w:sectPr>
          <w:footerReference r:id="rId7" w:type="first"/>
          <w:pgSz w:w="11906" w:h="16838"/>
          <w:pgMar w:top="1418" w:right="1555" w:bottom="1418" w:left="1531" w:header="851" w:footer="992" w:gutter="0"/>
          <w:cols w:space="720" w:num="1"/>
          <w:titlePg/>
          <w:docGrid w:type="lines" w:linePitch="312" w:charSpace="0"/>
        </w:sectPr>
      </w:pPr>
      <w:r>
        <w:rPr>
          <w:color w:val="000000" w:themeColor="text1"/>
          <w14:textFill>
            <w14:solidFill>
              <w14:schemeClr w14:val="tx1"/>
            </w14:solidFill>
          </w14:textFill>
        </w:rPr>
        <w:fldChar w:fldCharType="end"/>
      </w:r>
      <w:bookmarkStart w:id="4" w:name="_Toc351203480"/>
    </w:p>
    <w:p w14:paraId="09586644">
      <w:pPr>
        <w:pStyle w:val="72"/>
        <w:rPr>
          <w:rFonts w:ascii="Times New Roman" w:hAnsi="Times New Roman"/>
          <w:color w:val="000000" w:themeColor="text1"/>
          <w14:textFill>
            <w14:solidFill>
              <w14:schemeClr w14:val="tx1"/>
            </w14:solidFill>
          </w14:textFill>
        </w:rPr>
      </w:pPr>
      <w:bookmarkStart w:id="5" w:name="_Toc7445"/>
      <w:bookmarkStart w:id="6" w:name="_Toc44492398"/>
      <w:bookmarkStart w:id="7" w:name="_Toc21956"/>
      <w:bookmarkStart w:id="8" w:name="_Toc4552"/>
      <w:bookmarkStart w:id="9" w:name="_Toc24858"/>
      <w:bookmarkStart w:id="10" w:name="_Toc402450430"/>
      <w:bookmarkStart w:id="11" w:name="_Toc44227948"/>
      <w:bookmarkStart w:id="12" w:name="_Toc31614"/>
      <w:bookmarkStart w:id="13" w:name="_Toc40186509"/>
      <w:r>
        <w:rPr>
          <w:color w:val="000000" w:themeColor="text1"/>
          <w14:textFill>
            <w14:solidFill>
              <w14:schemeClr w14:val="tx1"/>
            </w14:solidFill>
          </w14:textFill>
        </w:rPr>
        <w:t>第一部分 协议书</w:t>
      </w:r>
      <w:bookmarkEnd w:id="4"/>
      <w:bookmarkEnd w:id="5"/>
      <w:bookmarkEnd w:id="6"/>
      <w:bookmarkEnd w:id="7"/>
      <w:bookmarkEnd w:id="8"/>
      <w:bookmarkEnd w:id="9"/>
      <w:bookmarkEnd w:id="10"/>
      <w:bookmarkEnd w:id="11"/>
      <w:bookmarkEnd w:id="12"/>
      <w:bookmarkEnd w:id="13"/>
    </w:p>
    <w:p w14:paraId="1F29E29D">
      <w:pPr>
        <w:rPr>
          <w:rFonts w:eastAsia="仿宋_GB2312"/>
          <w:b/>
          <w:color w:val="000000" w:themeColor="text1"/>
          <w:sz w:val="28"/>
          <w:szCs w:val="30"/>
          <w14:textFill>
            <w14:solidFill>
              <w14:schemeClr w14:val="tx1"/>
            </w14:solidFill>
          </w14:textFill>
        </w:rPr>
      </w:pPr>
      <w:r>
        <w:rPr>
          <w:rFonts w:eastAsia="仿宋_GB2312"/>
          <w:b/>
          <w:color w:val="000000" w:themeColor="text1"/>
          <w:sz w:val="28"/>
          <w:szCs w:val="30"/>
          <w14:textFill>
            <w14:solidFill>
              <w14:schemeClr w14:val="tx1"/>
            </w14:solidFill>
          </w14:textFill>
        </w:rPr>
        <w:t>发包人：</w:t>
      </w:r>
      <w:r>
        <w:rPr>
          <w:rFonts w:hint="eastAsia" w:eastAsia="仿宋_GB2312"/>
          <w:b/>
          <w:color w:val="000000" w:themeColor="text1"/>
          <w:sz w:val="28"/>
          <w:szCs w:val="30"/>
          <w:u w:val="single"/>
          <w14:textFill>
            <w14:solidFill>
              <w14:schemeClr w14:val="tx1"/>
            </w14:solidFill>
          </w14:textFill>
        </w:rPr>
        <w:t>深圳湾区城市建设发展有限公司</w:t>
      </w:r>
      <w:r>
        <w:rPr>
          <w:rFonts w:eastAsia="仿宋_GB2312"/>
          <w:b/>
          <w:color w:val="000000" w:themeColor="text1"/>
          <w:sz w:val="28"/>
          <w:szCs w:val="30"/>
          <w:u w:val="single"/>
          <w14:textFill>
            <w14:solidFill>
              <w14:schemeClr w14:val="tx1"/>
            </w14:solidFill>
          </w14:textFill>
        </w:rPr>
        <w:t xml:space="preserve"> </w:t>
      </w:r>
    </w:p>
    <w:p w14:paraId="26373C7C">
      <w:pPr>
        <w:rPr>
          <w:rFonts w:eastAsia="仿宋_GB2312"/>
          <w:b/>
          <w:color w:val="000000" w:themeColor="text1"/>
          <w:sz w:val="28"/>
          <w:szCs w:val="30"/>
          <w:u w:val="single"/>
          <w14:textFill>
            <w14:solidFill>
              <w14:schemeClr w14:val="tx1"/>
            </w14:solidFill>
          </w14:textFill>
        </w:rPr>
      </w:pPr>
      <w:r>
        <w:rPr>
          <w:rFonts w:hint="eastAsia" w:eastAsia="仿宋_GB2312"/>
          <w:b/>
          <w:color w:val="000000" w:themeColor="text1"/>
          <w:sz w:val="28"/>
          <w:szCs w:val="30"/>
          <w14:textFill>
            <w14:solidFill>
              <w14:schemeClr w14:val="tx1"/>
            </w14:solidFill>
          </w14:textFill>
        </w:rPr>
        <w:t>承包人</w:t>
      </w:r>
      <w:r>
        <w:rPr>
          <w:rFonts w:eastAsia="仿宋_GB2312"/>
          <w:b/>
          <w:color w:val="000000" w:themeColor="text1"/>
          <w:sz w:val="28"/>
          <w:szCs w:val="30"/>
          <w14:textFill>
            <w14:solidFill>
              <w14:schemeClr w14:val="tx1"/>
            </w14:solidFill>
          </w14:textFill>
        </w:rPr>
        <w:t>：</w:t>
      </w:r>
      <w:r>
        <w:rPr>
          <w:rFonts w:hint="eastAsia" w:eastAsia="仿宋_GB2312"/>
          <w:b/>
          <w:color w:val="000000" w:themeColor="text1"/>
          <w:sz w:val="28"/>
          <w:szCs w:val="30"/>
          <w:u w:val="single"/>
          <w14:textFill>
            <w14:solidFill>
              <w14:schemeClr w14:val="tx1"/>
            </w14:solidFill>
          </w14:textFill>
        </w:rPr>
        <w:t xml:space="preserve">中建科工集团有限公司 </w:t>
      </w:r>
    </w:p>
    <w:p w14:paraId="7382C776">
      <w:pPr>
        <w:rPr>
          <w:rFonts w:eastAsia="仿宋_GB2312"/>
          <w:b/>
          <w:color w:val="000000" w:themeColor="text1"/>
          <w:sz w:val="28"/>
          <w:szCs w:val="30"/>
          <w:u w:val="single"/>
          <w14:textFill>
            <w14:solidFill>
              <w14:schemeClr w14:val="tx1"/>
            </w14:solidFill>
          </w14:textFill>
        </w:rPr>
      </w:pPr>
      <w:r>
        <w:rPr>
          <w:rFonts w:hint="eastAsia" w:eastAsia="仿宋_GB2312"/>
          <w:b/>
          <w:color w:val="000000" w:themeColor="text1"/>
          <w:sz w:val="28"/>
          <w:szCs w:val="30"/>
          <w14:textFill>
            <w14:solidFill>
              <w14:schemeClr w14:val="tx1"/>
            </w14:solidFill>
          </w14:textFill>
        </w:rPr>
        <w:t>分</w:t>
      </w:r>
      <w:r>
        <w:rPr>
          <w:rFonts w:eastAsia="仿宋_GB2312"/>
          <w:b/>
          <w:color w:val="000000" w:themeColor="text1"/>
          <w:sz w:val="28"/>
          <w:szCs w:val="30"/>
          <w14:textFill>
            <w14:solidFill>
              <w14:schemeClr w14:val="tx1"/>
            </w14:solidFill>
          </w14:textFill>
        </w:rPr>
        <w:t>包人：</w:t>
      </w:r>
      <w:r>
        <w:rPr>
          <w:rFonts w:eastAsia="仿宋_GB2312"/>
          <w:b/>
          <w:color w:val="000000" w:themeColor="text1"/>
          <w:sz w:val="28"/>
          <w:szCs w:val="30"/>
          <w:u w:val="single"/>
          <w14:textFill>
            <w14:solidFill>
              <w14:schemeClr w14:val="tx1"/>
            </w14:solidFill>
          </w14:textFill>
        </w:rPr>
        <w:t xml:space="preserve">                    </w:t>
      </w:r>
    </w:p>
    <w:p w14:paraId="371A7A8C">
      <w:pPr>
        <w:ind w:firstLine="480" w:firstLineChars="200"/>
        <w:jc w:val="left"/>
        <w:rPr>
          <w:rFonts w:ascii="宋体" w:hAnsi="宋体" w:cs="宋体"/>
          <w:color w:val="000000" w:themeColor="text1"/>
          <w:lang w:bidi="zh-CN"/>
          <w14:textFill>
            <w14:solidFill>
              <w14:schemeClr w14:val="tx1"/>
            </w14:solidFill>
          </w14:textFill>
        </w:rPr>
      </w:pPr>
      <w:r>
        <w:rPr>
          <w:rFonts w:hint="eastAsia" w:ascii="宋体" w:hAnsi="宋体" w:cs="宋体"/>
          <w:color w:val="000000" w:themeColor="text1"/>
          <w14:textFill>
            <w14:solidFill>
              <w14:schemeClr w14:val="tx1"/>
            </w14:solidFill>
          </w14:textFill>
        </w:rPr>
        <w:t>鉴于：1. 珠江新城A3-3（B）地块项目（以下简称“本项目”）</w:t>
      </w:r>
      <w:r>
        <w:rPr>
          <w:rFonts w:hint="eastAsia" w:ascii="宋体" w:hAnsi="宋体" w:cs="宋体"/>
          <w:color w:val="000000" w:themeColor="text1"/>
          <w:lang w:bidi="zh-CN"/>
          <w14:textFill>
            <w14:solidFill>
              <w14:schemeClr w14:val="tx1"/>
            </w14:solidFill>
          </w14:textFill>
        </w:rPr>
        <w:t>建设单位</w:t>
      </w:r>
      <w:bookmarkStart w:id="14" w:name="_Hlk138576000"/>
      <w:r>
        <w:rPr>
          <w:rFonts w:hint="eastAsia" w:ascii="宋体" w:hAnsi="宋体" w:cs="宋体"/>
          <w:color w:val="000000" w:themeColor="text1"/>
          <w:lang w:bidi="zh-CN"/>
          <w14:textFill>
            <w14:solidFill>
              <w14:schemeClr w14:val="tx1"/>
            </w14:solidFill>
          </w14:textFill>
        </w:rPr>
        <w:t>深圳市投资控股有限公司</w:t>
      </w:r>
      <w:bookmarkEnd w:id="14"/>
      <w:r>
        <w:rPr>
          <w:rFonts w:hint="eastAsia" w:ascii="宋体" w:hAnsi="宋体" w:cs="宋体"/>
          <w:color w:val="000000" w:themeColor="text1"/>
          <w:lang w:bidi="zh-CN"/>
          <w14:textFill>
            <w14:solidFill>
              <w14:schemeClr w14:val="tx1"/>
            </w14:solidFill>
          </w14:textFill>
        </w:rPr>
        <w:t>与</w:t>
      </w:r>
      <w:r>
        <w:rPr>
          <w:rFonts w:hint="eastAsia" w:ascii="宋体" w:hAnsi="宋体" w:cs="宋体"/>
          <w:color w:val="000000" w:themeColor="text1"/>
          <w14:textFill>
            <w14:solidFill>
              <w14:schemeClr w14:val="tx1"/>
            </w14:solidFill>
          </w14:textFill>
        </w:rPr>
        <w:t>深圳湾区城市建设发展有限公司（以下简称“发包人”）</w:t>
      </w:r>
      <w:r>
        <w:rPr>
          <w:rFonts w:hint="eastAsia" w:ascii="宋体" w:hAnsi="宋体" w:cs="宋体"/>
          <w:color w:val="000000" w:themeColor="text1"/>
          <w:lang w:bidi="zh-CN"/>
          <w14:textFill>
            <w14:solidFill>
              <w14:schemeClr w14:val="tx1"/>
            </w14:solidFill>
          </w14:textFill>
        </w:rPr>
        <w:t>签订了《广州市天河区珠江新城A3-3(B)地块项目委托建设管理合同》（下称“代建合同”），委托发包人为本项目进行工程建设全过程代建及管理，在建设单位的授权范围内，负责本项目建设、开发与管理等全部工作。</w:t>
      </w:r>
    </w:p>
    <w:p w14:paraId="0E0266D1">
      <w:pPr>
        <w:numPr>
          <w:ilvl w:val="255"/>
          <w:numId w:val="0"/>
        </w:numPr>
        <w:ind w:firstLine="480" w:firstLineChars="200"/>
        <w:jc w:val="left"/>
        <w:rPr>
          <w:rFonts w:ascii="宋体" w:hAnsi="宋体" w:cs="宋体"/>
          <w:color w:val="000000" w:themeColor="text1"/>
          <w:lang w:val="zh-CN" w:bidi="zh-CN"/>
          <w14:textFill>
            <w14:solidFill>
              <w14:schemeClr w14:val="tx1"/>
            </w14:solidFill>
          </w14:textFill>
        </w:rPr>
      </w:pPr>
      <w:r>
        <w:rPr>
          <w:rFonts w:hint="eastAsia" w:ascii="宋体" w:hAnsi="宋体" w:cs="宋体"/>
          <w:color w:val="000000" w:themeColor="text1"/>
          <w14:textFill>
            <w14:solidFill>
              <w14:schemeClr w14:val="tx1"/>
            </w14:solidFill>
          </w14:textFill>
        </w:rPr>
        <w:t>2.建设单位、发包人与承包人签订了《珠江新城A3-3（B）地块项目施工总承包合同》（以下简称“总承包合同”），承包人负责主体施工总承包工程，</w:t>
      </w:r>
      <w:r>
        <w:rPr>
          <w:rFonts w:hint="eastAsia" w:ascii="宋体" w:hAnsi="宋体" w:cs="宋体"/>
          <w:color w:val="000000" w:themeColor="text1"/>
          <w:lang w:val="zh-CN" w:bidi="zh-CN"/>
          <w14:textFill>
            <w14:solidFill>
              <w14:schemeClr w14:val="tx1"/>
            </w14:solidFill>
          </w14:textFill>
        </w:rPr>
        <w:t>建设单位或由建设单位指定的项目公司（子公司或分公司）</w:t>
      </w:r>
      <w:r>
        <w:rPr>
          <w:rFonts w:hint="eastAsia" w:ascii="宋体" w:hAnsi="宋体" w:cs="宋体"/>
          <w:color w:val="000000" w:themeColor="text1"/>
          <w:lang w:bidi="zh-CN"/>
          <w14:textFill>
            <w14:solidFill>
              <w14:schemeClr w14:val="tx1"/>
            </w14:solidFill>
          </w14:textFill>
        </w:rPr>
        <w:t>负责按总承包合同约定</w:t>
      </w:r>
      <w:r>
        <w:rPr>
          <w:rFonts w:hint="eastAsia" w:ascii="宋体" w:hAnsi="宋体" w:cs="宋体"/>
          <w:color w:val="000000" w:themeColor="text1"/>
          <w:lang w:val="zh-CN" w:bidi="zh-CN"/>
          <w14:textFill>
            <w14:solidFill>
              <w14:schemeClr w14:val="tx1"/>
            </w14:solidFill>
          </w14:textFill>
        </w:rPr>
        <w:t>支付</w:t>
      </w:r>
      <w:r>
        <w:rPr>
          <w:rFonts w:hint="eastAsia" w:ascii="宋体" w:hAnsi="宋体" w:cs="宋体"/>
          <w:color w:val="000000" w:themeColor="text1"/>
          <w:lang w:bidi="zh-CN"/>
          <w14:textFill>
            <w14:solidFill>
              <w14:schemeClr w14:val="tx1"/>
            </w14:solidFill>
          </w14:textFill>
        </w:rPr>
        <w:t>工程款</w:t>
      </w:r>
      <w:r>
        <w:rPr>
          <w:rFonts w:hint="eastAsia" w:ascii="宋体" w:hAnsi="宋体" w:cs="宋体"/>
          <w:color w:val="000000" w:themeColor="text1"/>
          <w:lang w:val="zh-CN" w:bidi="zh-CN"/>
          <w14:textFill>
            <w14:solidFill>
              <w14:schemeClr w14:val="tx1"/>
            </w14:solidFill>
          </w14:textFill>
        </w:rPr>
        <w:t>。</w:t>
      </w:r>
    </w:p>
    <w:p w14:paraId="4E9C294D">
      <w:pPr>
        <w:numPr>
          <w:ilvl w:val="255"/>
          <w:numId w:val="0"/>
        </w:numPr>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珠江新城</w:t>
      </w:r>
      <w:r>
        <w:rPr>
          <w:rFonts w:ascii="宋体" w:hAnsi="宋体" w:cs="宋体"/>
          <w:color w:val="000000" w:themeColor="text1"/>
          <w:u w:val="single"/>
          <w14:textFill>
            <w14:solidFill>
              <w14:schemeClr w14:val="tx1"/>
            </w14:solidFill>
          </w14:textFill>
        </w:rPr>
        <w:t>A3-3</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B</w:t>
      </w:r>
      <w:r>
        <w:rPr>
          <w:rFonts w:hint="eastAsia" w:ascii="宋体" w:hAnsi="宋体" w:cs="宋体"/>
          <w:color w:val="000000" w:themeColor="text1"/>
          <w:u w:val="single"/>
          <w14:textFill>
            <w14:solidFill>
              <w14:schemeClr w14:val="tx1"/>
            </w14:solidFill>
          </w14:textFill>
        </w:rPr>
        <w:t>）地块项目幕墙工程专业承包工程（以下简称“本工程”）为总承包合同项下暂估价工程，承包人按总承包合同约定招标采购分包人承担本工程施工工作。</w:t>
      </w:r>
    </w:p>
    <w:p w14:paraId="635E8900">
      <w:pPr>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依照《中华人民共和国民法典》《中华人民共和国建筑法》及其他有关法律、行政法规，循平等、自愿、公平和诚实信用的原则，承包人和分包人双方就本工程施工事项协商一致，订立本合同。</w:t>
      </w:r>
    </w:p>
    <w:p w14:paraId="6CAA36E0">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 </w:t>
      </w:r>
      <w:r>
        <w:rPr>
          <w:color w:val="000000" w:themeColor="text1"/>
          <w14:textFill>
            <w14:solidFill>
              <w14:schemeClr w14:val="tx1"/>
            </w14:solidFill>
          </w14:textFill>
        </w:rPr>
        <w:t>工程概况</w:t>
      </w:r>
    </w:p>
    <w:p w14:paraId="7D06C92C">
      <w:pPr>
        <w:pStyle w:val="56"/>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1.1.工程名称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珠江新城</w:t>
      </w:r>
      <w:r>
        <w:rPr>
          <w:rFonts w:ascii="宋体" w:hAnsi="宋体" w:eastAsia="宋体" w:cs="宋体"/>
          <w:color w:val="000000" w:themeColor="text1"/>
          <w:u w:val="single"/>
          <w14:textFill>
            <w14:solidFill>
              <w14:schemeClr w14:val="tx1"/>
            </w14:solidFill>
          </w14:textFill>
        </w:rPr>
        <w:t>A3-3</w:t>
      </w:r>
      <w:r>
        <w:rPr>
          <w:rFonts w:hint="eastAsia" w:ascii="宋体" w:hAnsi="宋体" w:eastAsia="宋体" w:cs="宋体"/>
          <w:color w:val="000000" w:themeColor="text1"/>
          <w:u w:val="single"/>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B</w:t>
      </w:r>
      <w:r>
        <w:rPr>
          <w:rFonts w:hint="eastAsia" w:ascii="宋体" w:hAnsi="宋体" w:eastAsia="宋体" w:cs="宋体"/>
          <w:color w:val="000000" w:themeColor="text1"/>
          <w:u w:val="single"/>
          <w14:textFill>
            <w14:solidFill>
              <w14:schemeClr w14:val="tx1"/>
            </w14:solidFill>
          </w14:textFill>
        </w:rPr>
        <w:t>）地块项目幕墙工程专业承包工程（以下简称“本工程”）</w:t>
      </w:r>
    </w:p>
    <w:p w14:paraId="062EB957">
      <w:pPr>
        <w:pStyle w:val="56"/>
        <w:ind w:firstLine="48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1.2.工程地点：</w:t>
      </w:r>
      <w:r>
        <w:rPr>
          <w:rFonts w:hint="eastAsia" w:ascii="宋体" w:hAnsi="宋体" w:eastAsia="宋体" w:cs="宋体"/>
          <w:color w:val="000000" w:themeColor="text1"/>
          <w:u w:val="single"/>
          <w14:textFill>
            <w14:solidFill>
              <w14:schemeClr w14:val="tx1"/>
            </w14:solidFill>
          </w14:textFill>
        </w:rPr>
        <w:t>广州市天河区冼村街道珠江新城华强路</w:t>
      </w:r>
    </w:p>
    <w:p w14:paraId="293C30BE">
      <w:pPr>
        <w:ind w:firstLine="480" w:firstLineChars="200"/>
        <w:rPr>
          <w:color w:val="000000" w:themeColor="text1"/>
          <w:sz w:val="28"/>
          <w:szCs w:val="28"/>
          <w14:textFill>
            <w14:solidFill>
              <w14:schemeClr w14:val="tx1"/>
            </w14:solidFill>
          </w14:textFill>
        </w:rPr>
      </w:pPr>
      <w:r>
        <w:rPr>
          <w:rFonts w:hint="eastAsia" w:ascii="宋体" w:hAnsi="宋体" w:cs="宋体"/>
          <w:bCs/>
          <w:color w:val="000000" w:themeColor="text1"/>
          <w14:textFill>
            <w14:solidFill>
              <w14:schemeClr w14:val="tx1"/>
            </w14:solidFill>
          </w14:textFill>
        </w:rPr>
        <w:t>1.3.工程概况：</w:t>
      </w:r>
    </w:p>
    <w:p w14:paraId="685DA6ED">
      <w:pPr>
        <w:ind w:firstLine="480" w:firstLineChars="200"/>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珠江新城</w:t>
      </w:r>
      <w:r>
        <w:rPr>
          <w:color w:val="000000" w:themeColor="text1"/>
          <w:u w:val="single"/>
          <w14:textFill>
            <w14:solidFill>
              <w14:schemeClr w14:val="tx1"/>
            </w14:solidFill>
          </w14:textFill>
        </w:rPr>
        <w:t>A3-3（B）地块项目</w:t>
      </w:r>
      <w:r>
        <w:rPr>
          <w:rFonts w:hint="eastAsia"/>
          <w:color w:val="000000" w:themeColor="text1"/>
          <w:u w:val="single"/>
          <w14:textFill>
            <w14:solidFill>
              <w14:schemeClr w14:val="tx1"/>
            </w14:solidFill>
          </w14:textFill>
        </w:rPr>
        <w:t>位于华强路与华穗路交汇处西南角，</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地理位置优越，</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东侧为中山大学中山眼科中心（</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珠江新城院区）</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南侧为威珀斯酒店，</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西侧为广东省人民检察院，</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北侧为广州市天河第一小学（</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华穗校区）</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。本项目地块南北狭长，用地面积较小，项目总用地面积</w:t>
      </w:r>
      <w:r>
        <w:rPr>
          <w:color w:val="000000" w:themeColor="text1"/>
          <w:u w:val="single"/>
          <w14:textFill>
            <w14:solidFill>
              <w14:schemeClr w14:val="tx1"/>
            </w14:solidFill>
          </w14:textFill>
        </w:rPr>
        <w:t>3257.22</w:t>
      </w:r>
      <w:r>
        <w:rPr>
          <w:rFonts w:hint="eastAsia"/>
          <w:color w:val="000000" w:themeColor="text1"/>
          <w:u w:val="single"/>
          <w14:textFill>
            <w14:solidFill>
              <w14:schemeClr w14:val="tx1"/>
            </w14:solidFill>
          </w14:textFill>
        </w:rPr>
        <w:t>㎡，总建筑面积</w:t>
      </w:r>
      <w:r>
        <w:rPr>
          <w:color w:val="000000" w:themeColor="text1"/>
          <w:u w:val="single"/>
          <w14:textFill>
            <w14:solidFill>
              <w14:schemeClr w14:val="tx1"/>
            </w14:solidFill>
          </w14:textFill>
        </w:rPr>
        <w:t>33245</w:t>
      </w:r>
      <w:r>
        <w:rPr>
          <w:rFonts w:hint="eastAsia"/>
          <w:color w:val="000000" w:themeColor="text1"/>
          <w:u w:val="single"/>
          <w14:textFill>
            <w14:solidFill>
              <w14:schemeClr w14:val="tx1"/>
            </w14:solidFill>
          </w14:textFill>
        </w:rPr>
        <w:t>㎡，建筑高度</w:t>
      </w:r>
      <w:r>
        <w:rPr>
          <w:color w:val="000000" w:themeColor="text1"/>
          <w:u w:val="single"/>
          <w14:textFill>
            <w14:solidFill>
              <w14:schemeClr w14:val="tx1"/>
            </w14:solidFill>
          </w14:textFill>
        </w:rPr>
        <w:t>99.85m</w:t>
      </w:r>
      <w:r>
        <w:rPr>
          <w:rFonts w:hint="eastAsia"/>
          <w:color w:val="000000" w:themeColor="text1"/>
          <w:u w:val="single"/>
          <w14:textFill>
            <w14:solidFill>
              <w14:schemeClr w14:val="tx1"/>
            </w14:solidFill>
          </w14:textFill>
        </w:rPr>
        <w:t>，地下3层，地上20层，项目的建筑功能主要为酒店、办公。幕墙高度</w:t>
      </w:r>
      <w:r>
        <w:rPr>
          <w:color w:val="000000" w:themeColor="text1"/>
          <w:u w:val="single"/>
          <w14:textFill>
            <w14:solidFill>
              <w14:schemeClr w14:val="tx1"/>
            </w14:solidFill>
          </w14:textFill>
        </w:rPr>
        <w:t>110.7</w:t>
      </w:r>
      <w:r>
        <w:rPr>
          <w:rFonts w:hint="eastAsia"/>
          <w:color w:val="000000" w:themeColor="text1"/>
          <w:u w:val="single"/>
          <w14:textFill>
            <w14:solidFill>
              <w14:schemeClr w14:val="tx1"/>
            </w14:solidFill>
          </w14:textFill>
        </w:rPr>
        <w:t>m，幕墙总面积约21357㎡，约有12种幕墙细分系统。</w:t>
      </w:r>
    </w:p>
    <w:p w14:paraId="2B09AF8F">
      <w:pPr>
        <w:pStyle w:val="56"/>
        <w:ind w:firstLine="0" w:firstLineChars="0"/>
        <w:rPr>
          <w:color w:val="000000" w:themeColor="text1"/>
          <w:u w:val="single"/>
          <w14:textFill>
            <w14:solidFill>
              <w14:schemeClr w14:val="tx1"/>
            </w14:solidFill>
          </w14:textFill>
        </w:rPr>
      </w:pPr>
      <w:r>
        <w:rPr>
          <w:rFonts w:eastAsia="黑体"/>
          <w:bCs/>
          <w:color w:val="000000" w:themeColor="text1"/>
          <w:kern w:val="2"/>
          <w:sz w:val="30"/>
          <w14:textFill>
            <w14:solidFill>
              <w14:schemeClr w14:val="tx1"/>
            </w14:solidFill>
          </w14:textFill>
        </w:rPr>
        <w:t>2.</w:t>
      </w:r>
      <w:r>
        <w:rPr>
          <w:rFonts w:hint="eastAsia" w:eastAsia="黑体"/>
          <w:bCs/>
          <w:color w:val="000000" w:themeColor="text1"/>
          <w:kern w:val="2"/>
          <w:sz w:val="30"/>
          <w14:textFill>
            <w14:solidFill>
              <w14:schemeClr w14:val="tx1"/>
            </w14:solidFill>
          </w14:textFill>
        </w:rPr>
        <w:t xml:space="preserve"> 承包方式</w:t>
      </w:r>
    </w:p>
    <w:p w14:paraId="7EDE073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本合同约定范围、招标文件、图纸内容、工程技术文件、工程量清单等有关资料及说明实行专业工程承包，即包深化设计、包人工、包材料、包机械设备、包工期、包质量、包安全、包文明施工、包对本工程相关的其他相关各专业工程提供协调及配合服务、包验收移交、包保修。</w:t>
      </w:r>
    </w:p>
    <w:p w14:paraId="1278F7BF">
      <w:pPr>
        <w:pStyle w:val="77"/>
        <w:rPr>
          <w:color w:val="000000" w:themeColor="text1"/>
          <w14:textFill>
            <w14:solidFill>
              <w14:schemeClr w14:val="tx1"/>
            </w14:solidFill>
          </w14:textFill>
        </w:rPr>
      </w:pPr>
      <w:bookmarkStart w:id="15" w:name="_Toc44492400"/>
      <w:bookmarkStart w:id="16" w:name="_Toc402450432"/>
      <w:bookmarkStart w:id="17" w:name="_Toc15151"/>
      <w:bookmarkStart w:id="18" w:name="_Toc1181"/>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承包范围</w:t>
      </w:r>
      <w:bookmarkEnd w:id="15"/>
      <w:bookmarkEnd w:id="16"/>
      <w:bookmarkEnd w:id="17"/>
      <w:bookmarkEnd w:id="18"/>
    </w:p>
    <w:p w14:paraId="39607746">
      <w:pPr>
        <w:adjustRightInd w:val="0"/>
        <w:snapToGrid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3.1 </w:t>
      </w:r>
      <w:r>
        <w:rPr>
          <w:rFonts w:hint="eastAsia"/>
          <w:color w:val="000000" w:themeColor="text1"/>
          <w14:textFill>
            <w14:solidFill>
              <w14:schemeClr w14:val="tx1"/>
            </w14:solidFill>
          </w14:textFill>
        </w:rPr>
        <w:t>承包范围</w:t>
      </w:r>
    </w:p>
    <w:p w14:paraId="15A93666">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3.1.1 珠江新城A3-3（B）地块项目幕墙工程，包括但不限于以下工作：</w:t>
      </w:r>
    </w:p>
    <w:p w14:paraId="34893E73">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1）单元式玻璃幕墙、框架式玻璃幕墙、光伏幕墙系统、精致钢幕墙、全玻幕墙系统、铝合金百叶和格栅、蜂窝石材系统、蜂窝铝板系统、雨棚系统、吊顶系统、铝合金窗系统、栏杆及扶手等；</w:t>
      </w:r>
    </w:p>
    <w:p w14:paraId="79F85979">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2）幕墙工程相关的报批报建手续；</w:t>
      </w:r>
    </w:p>
    <w:p w14:paraId="661FEACD">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3）幕墙工程深化设计；</w:t>
      </w:r>
    </w:p>
    <w:p w14:paraId="4C304126">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4）幕墙工程样板；</w:t>
      </w:r>
    </w:p>
    <w:p w14:paraId="1748AE6E">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5）材料采购、加工、安装；</w:t>
      </w:r>
    </w:p>
    <w:p w14:paraId="6F5D7531">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6）电动开启扇和擦窗机（包含采购、安装、调试、培训、移交等）</w:t>
      </w:r>
    </w:p>
    <w:p w14:paraId="0BE5FFD1">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7）泛光照明工程的预留、型材开槽、防水、安装协调、标识预留预埋等配合工作；幕墙防雷；燃气管紧固件；竖向防火封堵；</w:t>
      </w:r>
    </w:p>
    <w:p w14:paraId="39DA9179">
      <w:pPr>
        <w:adjustRightInd w:val="0"/>
        <w:snapToGrid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）成品保护；幕墙工程收边收口工作；</w:t>
      </w:r>
    </w:p>
    <w:p w14:paraId="69544C9F">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9）应用BIM技术等数字化管理技术，保障项目高品质建设、精细化管理；</w:t>
      </w:r>
    </w:p>
    <w:p w14:paraId="599E155A">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）幕墙工程验收、交付；</w:t>
      </w:r>
    </w:p>
    <w:p w14:paraId="20F40806">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）工程保修、档案移交和竣工结算。</w:t>
      </w:r>
    </w:p>
    <w:p w14:paraId="5CC5120A">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最终的承包范围以施工图纸及合同文件内容为准。</w:t>
      </w:r>
    </w:p>
    <w:p w14:paraId="5D801428">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3.1.2本工程承包范围的描述只是概括的，不应该认为是全面的、完整无缺的，也不仅限于工程量清单，应认为是本工程施工图纸、工程变更、招标文件和招标答疑纪要、技术要求、标准、规范等所包括的所有工程内容；具体要求详见合同条款。</w:t>
      </w:r>
    </w:p>
    <w:p w14:paraId="5C5E35E0">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3.1.3分包人被认为已详细阅读过构成本合同文件的所有组成文件及其附件，如合同文件、施工图纸、招标文件和招标答疑纪要等，完全了解本工程的实际范围。分包人须按设计图纸和招标文件要求，负责完成整个工程所有的施工任务，包括材料设备采购、工程施工、成品或半成品保护及工程质量缺陷保修，不论是永久性质的和临时性质的。</w:t>
      </w:r>
    </w:p>
    <w:p w14:paraId="5A4FA8C2">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3.1.4分包人不得拒绝执行完成全部工程所需执行的可能遗漏的工作、发包人发出的为完成本工程所需的任何工作的指令。</w:t>
      </w:r>
    </w:p>
    <w:p w14:paraId="51A242EA">
      <w:pPr>
        <w:ind w:firstLine="480" w:firstLineChars="200"/>
        <w:rPr>
          <w:rFonts w:ascii="宋体" w:hAnsi="宋体"/>
          <w:color w:val="000000" w:themeColor="text1"/>
          <w:szCs w:val="21"/>
          <w14:textFill>
            <w14:solidFill>
              <w14:schemeClr w14:val="tx1"/>
            </w14:solidFill>
          </w14:textFill>
        </w:rPr>
      </w:pPr>
      <w:bookmarkStart w:id="19" w:name="_Toc26249"/>
      <w:bookmarkStart w:id="20" w:name="_Toc44492401"/>
      <w:bookmarkStart w:id="21" w:name="_Toc6945"/>
      <w:r>
        <w:rPr>
          <w:rFonts w:hint="eastAsia" w:ascii="宋体" w:hAnsi="宋体"/>
          <w:color w:val="000000" w:themeColor="text1"/>
          <w:szCs w:val="21"/>
          <w14:textFill>
            <w14:solidFill>
              <w14:schemeClr w14:val="tx1"/>
            </w14:solidFill>
          </w14:textFill>
        </w:rPr>
        <w:t>3.2 分包人详细承包范围及施工界面划分详见附件2《</w:t>
      </w:r>
      <w:r>
        <w:rPr>
          <w:rFonts w:ascii="宋体" w:hAnsi="宋体"/>
          <w:color w:val="000000" w:themeColor="text1"/>
          <w:szCs w:val="21"/>
          <w14:textFill>
            <w14:solidFill>
              <w14:schemeClr w14:val="tx1"/>
            </w14:solidFill>
          </w14:textFill>
        </w:rPr>
        <w:t>幕墙工作</w:t>
      </w:r>
      <w:r>
        <w:rPr>
          <w:rFonts w:hint="eastAsia" w:ascii="宋体" w:hAnsi="宋体"/>
          <w:color w:val="000000" w:themeColor="text1"/>
          <w:szCs w:val="21"/>
          <w14:textFill>
            <w14:solidFill>
              <w14:schemeClr w14:val="tx1"/>
            </w14:solidFill>
          </w14:textFill>
        </w:rPr>
        <w:t>界面划分表》。</w:t>
      </w:r>
    </w:p>
    <w:p w14:paraId="24F7492E">
      <w:pPr>
        <w:adjustRightInd w:val="0"/>
        <w:snapToGrid w:val="0"/>
        <w:ind w:left="480" w:left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3.3</w:t>
      </w:r>
      <w:r>
        <w:rPr>
          <w:rFonts w:hint="eastAsia" w:ascii="宋体" w:hAnsi="宋体"/>
          <w:color w:val="000000" w:themeColor="text1"/>
          <w:szCs w:val="21"/>
          <w14:textFill>
            <w14:solidFill>
              <w14:schemeClr w14:val="tx1"/>
            </w14:solidFill>
          </w14:textFill>
        </w:rPr>
        <w:t xml:space="preserve"> 与第三方单位的配合工作</w:t>
      </w:r>
    </w:p>
    <w:p w14:paraId="4F9E7EEE">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.1分包人应配合第三方检测试验、质量和安全第三方检查评估单位、第三方服务单位的工作，配合的相关费用在投标报价中已综合考虑，并已包含在签约合同价中，不再另行计量支付；</w:t>
      </w:r>
      <w:r>
        <w:rPr>
          <w:rFonts w:hint="eastAsia" w:ascii="宋体" w:hAnsi="宋体"/>
          <w:color w:val="000000" w:themeColor="text1"/>
          <w:szCs w:val="21"/>
          <w14:textFill>
            <w14:solidFill>
              <w14:schemeClr w14:val="tx1"/>
            </w14:solidFill>
          </w14:textFill>
        </w:rPr>
        <w:t>本合同工程相关的第</w:t>
      </w:r>
      <w:r>
        <w:rPr>
          <w:rFonts w:hint="eastAsia" w:ascii="宋体" w:hAnsi="宋体"/>
          <w:bCs/>
          <w:color w:val="000000" w:themeColor="text1"/>
          <w:szCs w:val="21"/>
          <w14:textFill>
            <w14:solidFill>
              <w14:schemeClr w14:val="tx1"/>
            </w14:solidFill>
          </w14:textFill>
        </w:rPr>
        <w:t>三方检测由发包人另行委托</w:t>
      </w:r>
      <w:r>
        <w:rPr>
          <w:rFonts w:hint="eastAsia" w:ascii="宋体" w:hAnsi="宋体"/>
          <w:color w:val="000000" w:themeColor="text1"/>
          <w:szCs w:val="21"/>
          <w14:textFill>
            <w14:solidFill>
              <w14:schemeClr w14:val="tx1"/>
            </w14:solidFill>
          </w14:textFill>
        </w:rPr>
        <w:t>。但分包人需提供检测所需的材料并承担材料及材料损耗及检测配合的相关费用。</w:t>
      </w:r>
    </w:p>
    <w:p w14:paraId="2E3A62D3">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.2分包人应配合各专业工程分包人的施工，按合同和设计图纸要求配合做好预留预埋、交接、施工配合等工作，承担幕墙工程预留预埋及相关配合工作的质量责任。</w:t>
      </w:r>
    </w:p>
    <w:p w14:paraId="055EB013">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.3对于发包人、承包人、监理人在相关会议、书面通知中确定的分包人限期内需为第三方单位和其他单位提供配合的事项，分包人必须及时履行，否则由此造成的工期延误或其他任何损失均由分包人负责赔偿。</w:t>
      </w:r>
    </w:p>
    <w:p w14:paraId="1FFB5AB1">
      <w:pPr>
        <w:adjustRightInd w:val="0"/>
        <w:snapToGrid w:val="0"/>
        <w:ind w:firstLine="482"/>
        <w:rPr>
          <w:bCs/>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4分包人必须配合发包人上级单位委托的第三方单位对于该工程施工质量、安全文明施工的监督检查，对检查发现不符合标准规范或合同要求的，分包人应按要求整改并对整改过程和结果负责，整改发生的费用由分包人承担。</w:t>
      </w:r>
    </w:p>
    <w:p w14:paraId="65AE961E">
      <w:pPr>
        <w:pStyle w:val="77"/>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 合同工期</w:t>
      </w:r>
      <w:bookmarkEnd w:id="19"/>
      <w:bookmarkEnd w:id="20"/>
      <w:bookmarkEnd w:id="21"/>
    </w:p>
    <w:p w14:paraId="6B63AE7E">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rFonts w:hint="eastAsia" w:eastAsia="宋体"/>
          <w:color w:val="000000" w:themeColor="text1"/>
          <w:kern w:val="2"/>
          <w:szCs w:val="22"/>
          <w14:textFill>
            <w14:solidFill>
              <w14:schemeClr w14:val="tx1"/>
            </w14:solidFill>
          </w14:textFill>
        </w:rPr>
        <w:t>合同工期：</w:t>
      </w:r>
      <w:r>
        <w:rPr>
          <w:rFonts w:hint="eastAsia" w:eastAsia="宋体"/>
          <w:color w:val="000000" w:themeColor="text1"/>
          <w:kern w:val="2"/>
          <w:szCs w:val="22"/>
          <w:u w:val="single"/>
          <w14:textFill>
            <w14:solidFill>
              <w14:schemeClr w14:val="tx1"/>
            </w14:solidFill>
          </w14:textFill>
        </w:rPr>
        <w:t>288</w:t>
      </w:r>
      <w:r>
        <w:rPr>
          <w:rFonts w:hint="eastAsia" w:eastAsia="宋体"/>
          <w:color w:val="000000" w:themeColor="text1"/>
          <w:kern w:val="2"/>
          <w:szCs w:val="22"/>
          <w14:textFill>
            <w14:solidFill>
              <w14:schemeClr w14:val="tx1"/>
            </w14:solidFill>
          </w14:textFill>
        </w:rPr>
        <w:t>日历天(除非合同另有明确约定,合同工期不做任何调整)；</w:t>
      </w:r>
    </w:p>
    <w:p w14:paraId="7AD5F1DE">
      <w:pPr>
        <w:pStyle w:val="56"/>
        <w:ind w:firstLine="480"/>
        <w:rPr>
          <w:rFonts w:eastAsia="宋体"/>
          <w:color w:val="000000" w:themeColor="text1"/>
          <w:kern w:val="2"/>
          <w:szCs w:val="22"/>
          <w14:textFill>
            <w14:solidFill>
              <w14:schemeClr w14:val="tx1"/>
            </w14:solidFill>
          </w14:textFill>
        </w:rPr>
      </w:pPr>
      <w:r>
        <w:rPr>
          <w:rFonts w:hint="eastAsia" w:eastAsia="宋体"/>
          <w:color w:val="000000" w:themeColor="text1"/>
          <w:kern w:val="2"/>
          <w:szCs w:val="22"/>
          <w14:textFill>
            <w14:solidFill>
              <w14:schemeClr w14:val="tx1"/>
            </w14:solidFill>
          </w14:textFill>
        </w:rPr>
        <w:t>以上工期已充分考虑各种形式的雨雪、冰雹、大风、高温、停水、停电、节假日、国家庆典、外交来访、重大活动（如国际会议、大型运动会、大型阅兵庆典等）、中考、高考期间、召开“两会”期间的施工管制、交通管制、扰民、道路施工影响等不利因素，并已考虑分包人与承包人、其他分包单位之间的配合时间</w:t>
      </w:r>
      <w:r>
        <w:rPr>
          <w:rFonts w:eastAsia="宋体"/>
          <w:color w:val="000000" w:themeColor="text1"/>
          <w:kern w:val="2"/>
          <w:szCs w:val="22"/>
          <w14:textFill>
            <w14:solidFill>
              <w14:schemeClr w14:val="tx1"/>
            </w14:solidFill>
          </w14:textFill>
        </w:rPr>
        <w:t>，</w:t>
      </w:r>
      <w:r>
        <w:rPr>
          <w:rFonts w:hint="eastAsia" w:eastAsia="宋体"/>
          <w:color w:val="000000" w:themeColor="text1"/>
          <w:kern w:val="2"/>
          <w:szCs w:val="22"/>
          <w14:textFill>
            <w14:solidFill>
              <w14:schemeClr w14:val="tx1"/>
            </w14:solidFill>
          </w14:textFill>
        </w:rPr>
        <w:t>除不可抗力原因，分包人不得以上述因素申请工期的延长。分包人已到工地考察并充分了解工地位置、情况、道路、施工场地、装卸限制、脚手架</w:t>
      </w:r>
      <w:r>
        <w:rPr>
          <w:rFonts w:eastAsia="宋体"/>
          <w:color w:val="000000" w:themeColor="text1"/>
          <w:kern w:val="2"/>
          <w:szCs w:val="22"/>
          <w14:textFill>
            <w14:solidFill>
              <w14:schemeClr w14:val="tx1"/>
            </w14:solidFill>
          </w14:textFill>
        </w:rPr>
        <w:t>等施工措施</w:t>
      </w:r>
      <w:r>
        <w:rPr>
          <w:rFonts w:hint="eastAsia" w:eastAsia="宋体"/>
          <w:color w:val="000000" w:themeColor="text1"/>
          <w:kern w:val="2"/>
          <w:szCs w:val="22"/>
          <w14:textFill>
            <w14:solidFill>
              <w14:schemeClr w14:val="tx1"/>
            </w14:solidFill>
          </w14:textFill>
        </w:rPr>
        <w:t>设置及任何其他足以影响投标报价的情况，任何因忽视或误解工地情况而导致的索赔或工期延长申请将不被批准。</w:t>
      </w:r>
    </w:p>
    <w:p w14:paraId="6F367DBD">
      <w:pPr>
        <w:pStyle w:val="56"/>
        <w:ind w:firstLine="480"/>
        <w:rPr>
          <w:rFonts w:eastAsia="宋体"/>
          <w:color w:val="000000" w:themeColor="text1"/>
          <w:kern w:val="2"/>
          <w:szCs w:val="22"/>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eastAsia="宋体"/>
          <w:color w:val="000000" w:themeColor="text1"/>
          <w:kern w:val="2"/>
          <w:szCs w:val="22"/>
          <w14:textFill>
            <w14:solidFill>
              <w14:schemeClr w14:val="tx1"/>
            </w14:solidFill>
          </w14:textFill>
        </w:rPr>
        <w:t>开工日期</w:t>
      </w:r>
    </w:p>
    <w:p w14:paraId="51569BBE">
      <w:pPr>
        <w:pStyle w:val="56"/>
        <w:ind w:firstLine="480"/>
        <w:rPr>
          <w:rFonts w:eastAsia="宋体"/>
          <w:color w:val="000000" w:themeColor="text1"/>
          <w:kern w:val="2"/>
          <w:szCs w:val="22"/>
          <w14:textFill>
            <w14:solidFill>
              <w14:schemeClr w14:val="tx1"/>
            </w14:solidFill>
          </w14:textFill>
        </w:rPr>
      </w:pPr>
      <w:r>
        <w:rPr>
          <w:rFonts w:hint="eastAsia" w:eastAsia="宋体"/>
          <w:color w:val="000000" w:themeColor="text1"/>
          <w:kern w:val="2"/>
          <w:szCs w:val="22"/>
          <w14:textFill>
            <w14:solidFill>
              <w14:schemeClr w14:val="tx1"/>
            </w14:solidFill>
          </w14:textFill>
        </w:rPr>
        <w:t>计划开工日期：暂定为</w:t>
      </w:r>
      <w:r>
        <w:rPr>
          <w:rFonts w:hint="eastAsia" w:eastAsia="宋体"/>
          <w:color w:val="000000" w:themeColor="text1"/>
          <w:kern w:val="2"/>
          <w:szCs w:val="22"/>
          <w:u w:val="single"/>
          <w14:textFill>
            <w14:solidFill>
              <w14:schemeClr w14:val="tx1"/>
            </w14:solidFill>
          </w14:textFill>
        </w:rPr>
        <w:t>2</w:t>
      </w:r>
      <w:r>
        <w:rPr>
          <w:rFonts w:eastAsia="宋体"/>
          <w:color w:val="000000" w:themeColor="text1"/>
          <w:kern w:val="2"/>
          <w:szCs w:val="22"/>
          <w:u w:val="single"/>
          <w14:textFill>
            <w14:solidFill>
              <w14:schemeClr w14:val="tx1"/>
            </w14:solidFill>
          </w14:textFill>
        </w:rPr>
        <w:t>024</w:t>
      </w:r>
      <w:r>
        <w:rPr>
          <w:rFonts w:hint="eastAsia" w:eastAsia="宋体"/>
          <w:color w:val="000000" w:themeColor="text1"/>
          <w:kern w:val="2"/>
          <w:szCs w:val="22"/>
          <w14:textFill>
            <w14:solidFill>
              <w14:schemeClr w14:val="tx1"/>
            </w14:solidFill>
          </w14:textFill>
        </w:rPr>
        <w:t>年</w:t>
      </w:r>
      <w:r>
        <w:rPr>
          <w:rFonts w:eastAsia="宋体"/>
          <w:color w:val="000000" w:themeColor="text1"/>
          <w:kern w:val="2"/>
          <w:szCs w:val="22"/>
          <w:u w:val="single"/>
          <w14:textFill>
            <w14:solidFill>
              <w14:schemeClr w14:val="tx1"/>
            </w14:solidFill>
          </w14:textFill>
        </w:rPr>
        <w:t>9</w:t>
      </w:r>
      <w:r>
        <w:rPr>
          <w:rFonts w:hint="eastAsia" w:eastAsia="宋体"/>
          <w:color w:val="000000" w:themeColor="text1"/>
          <w:kern w:val="2"/>
          <w:szCs w:val="22"/>
          <w14:textFill>
            <w14:solidFill>
              <w14:schemeClr w14:val="tx1"/>
            </w14:solidFill>
          </w14:textFill>
        </w:rPr>
        <w:t>月</w:t>
      </w:r>
      <w:r>
        <w:rPr>
          <w:rFonts w:eastAsia="宋体"/>
          <w:color w:val="000000" w:themeColor="text1"/>
          <w:kern w:val="2"/>
          <w:szCs w:val="22"/>
          <w:u w:val="single"/>
          <w14:textFill>
            <w14:solidFill>
              <w14:schemeClr w14:val="tx1"/>
            </w14:solidFill>
          </w14:textFill>
        </w:rPr>
        <w:t>15</w:t>
      </w:r>
      <w:r>
        <w:rPr>
          <w:rFonts w:hint="eastAsia" w:eastAsia="宋体"/>
          <w:color w:val="000000" w:themeColor="text1"/>
          <w:kern w:val="2"/>
          <w:szCs w:val="22"/>
          <w14:textFill>
            <w14:solidFill>
              <w14:schemeClr w14:val="tx1"/>
            </w14:solidFill>
          </w14:textFill>
        </w:rPr>
        <w:t>日；</w:t>
      </w:r>
    </w:p>
    <w:p w14:paraId="6F3D7E62">
      <w:pPr>
        <w:pStyle w:val="56"/>
        <w:ind w:firstLine="480"/>
        <w:rPr>
          <w:rFonts w:eastAsia="宋体"/>
          <w:color w:val="000000" w:themeColor="text1"/>
          <w:kern w:val="2"/>
          <w:szCs w:val="22"/>
          <w:u w:val="single"/>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eastAsia="宋体"/>
          <w:color w:val="000000" w:themeColor="text1"/>
          <w:kern w:val="2"/>
          <w:szCs w:val="22"/>
          <w14:textFill>
            <w14:solidFill>
              <w14:schemeClr w14:val="tx1"/>
            </w14:solidFill>
          </w14:textFill>
        </w:rPr>
        <w:t>验收日期</w:t>
      </w:r>
    </w:p>
    <w:p w14:paraId="50FA2F93">
      <w:pPr>
        <w:adjustRightInd w:val="0"/>
        <w:snapToGrid w:val="0"/>
        <w:ind w:firstLine="480" w:firstLineChars="20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本工程验收日期暂定为：</w:t>
      </w:r>
      <w:r>
        <w:rPr>
          <w:color w:val="000000" w:themeColor="text1"/>
          <w:u w:val="single"/>
          <w14:textFill>
            <w14:solidFill>
              <w14:schemeClr w14:val="tx1"/>
            </w14:solidFill>
          </w14:textFill>
        </w:rPr>
        <w:t>2025</w:t>
      </w:r>
      <w:r>
        <w:rPr>
          <w:rFonts w:hint="eastAsia"/>
          <w:color w:val="000000" w:themeColor="text1"/>
          <w:u w:val="single"/>
          <w14:textFill>
            <w14:solidFill>
              <w14:schemeClr w14:val="tx1"/>
            </w14:solidFill>
          </w14:textFill>
        </w:rPr>
        <w:t>年</w:t>
      </w:r>
      <w:r>
        <w:rPr>
          <w:color w:val="000000" w:themeColor="text1"/>
          <w:u w:val="single"/>
          <w14:textFill>
            <w14:solidFill>
              <w14:schemeClr w14:val="tx1"/>
            </w14:solidFill>
          </w14:textFill>
        </w:rPr>
        <w:t>6</w:t>
      </w:r>
      <w:r>
        <w:rPr>
          <w:rFonts w:hint="eastAsia"/>
          <w:color w:val="000000" w:themeColor="text1"/>
          <w:u w:val="single"/>
          <w14:textFill>
            <w14:solidFill>
              <w14:schemeClr w14:val="tx1"/>
            </w14:solidFill>
          </w14:textFill>
        </w:rPr>
        <w:t>月</w:t>
      </w:r>
      <w:r>
        <w:rPr>
          <w:color w:val="000000" w:themeColor="text1"/>
          <w:u w:val="single"/>
          <w14:textFill>
            <w14:solidFill>
              <w14:schemeClr w14:val="tx1"/>
            </w14:solidFill>
          </w14:textFill>
        </w:rPr>
        <w:t>3</w:t>
      </w:r>
      <w:r>
        <w:rPr>
          <w:rFonts w:hint="eastAsia"/>
          <w:color w:val="000000" w:themeColor="text1"/>
          <w:u w:val="single"/>
          <w14:textFill>
            <w14:solidFill>
              <w14:schemeClr w14:val="tx1"/>
            </w14:solidFill>
          </w14:textFill>
        </w:rPr>
        <w:t>0日</w:t>
      </w:r>
      <w:r>
        <w:rPr>
          <w:rFonts w:hint="eastAsia"/>
          <w:color w:val="000000" w:themeColor="text1"/>
          <w14:textFill>
            <w14:solidFill>
              <w14:schemeClr w14:val="tx1"/>
            </w14:solidFill>
          </w14:textFill>
        </w:rPr>
        <w:t>；</w:t>
      </w:r>
    </w:p>
    <w:p w14:paraId="7E1C0929">
      <w:pPr>
        <w:adjustRightInd w:val="0"/>
        <w:snapToGrid w:val="0"/>
        <w:ind w:firstLine="480" w:firstLineChars="20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项目整体竣工备案通过日期：</w:t>
      </w:r>
      <w:r>
        <w:rPr>
          <w:color w:val="000000" w:themeColor="text1"/>
          <w:u w:val="single"/>
          <w14:textFill>
            <w14:solidFill>
              <w14:schemeClr w14:val="tx1"/>
            </w14:solidFill>
          </w14:textFill>
        </w:rPr>
        <w:t>2025</w:t>
      </w:r>
      <w:r>
        <w:rPr>
          <w:rFonts w:hint="eastAsia"/>
          <w:color w:val="000000" w:themeColor="text1"/>
          <w:u w:val="single"/>
          <w14:textFill>
            <w14:solidFill>
              <w14:schemeClr w14:val="tx1"/>
            </w14:solidFill>
          </w14:textFill>
        </w:rPr>
        <w:t>年</w:t>
      </w:r>
      <w:r>
        <w:rPr>
          <w:color w:val="000000" w:themeColor="text1"/>
          <w:u w:val="single"/>
          <w14:textFill>
            <w14:solidFill>
              <w14:schemeClr w14:val="tx1"/>
            </w14:solidFill>
          </w14:textFill>
        </w:rPr>
        <w:t>9</w:t>
      </w:r>
      <w:r>
        <w:rPr>
          <w:rFonts w:hint="eastAsia"/>
          <w:color w:val="000000" w:themeColor="text1"/>
          <w:u w:val="single"/>
          <w14:textFill>
            <w14:solidFill>
              <w14:schemeClr w14:val="tx1"/>
            </w14:solidFill>
          </w14:textFill>
        </w:rPr>
        <w:t>月</w:t>
      </w:r>
      <w:r>
        <w:rPr>
          <w:color w:val="000000" w:themeColor="text1"/>
          <w:u w:val="single"/>
          <w14:textFill>
            <w14:solidFill>
              <w14:schemeClr w14:val="tx1"/>
            </w14:solidFill>
          </w14:textFill>
        </w:rPr>
        <w:t>19</w:t>
      </w:r>
      <w:r>
        <w:rPr>
          <w:rFonts w:hint="eastAsia"/>
          <w:color w:val="000000" w:themeColor="text1"/>
          <w:u w:val="single"/>
          <w14:textFill>
            <w14:solidFill>
              <w14:schemeClr w14:val="tx1"/>
            </w14:solidFill>
          </w14:textFill>
        </w:rPr>
        <w:t>日；</w:t>
      </w:r>
    </w:p>
    <w:p w14:paraId="67D3430E">
      <w:pPr>
        <w:ind w:firstLine="480" w:firstLineChars="200"/>
        <w:rPr>
          <w:rFonts w:ascii="仿宋" w:hAnsi="仿宋" w:eastAsia="仿宋" w:cs="仿宋"/>
          <w:color w:val="000000" w:themeColor="text1"/>
          <w:lang w:bidi="ar"/>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4</w:t>
      </w:r>
      <w:r>
        <w:rPr>
          <w:rFonts w:hint="eastAsia" w:ascii="Times New Roman" w:hAnsi="Times New Roman" w:eastAsia="仿宋_GB2312"/>
          <w:color w:val="000000" w:themeColor="text1"/>
          <w:kern w:val="0"/>
          <w:szCs w:val="32"/>
          <w14:textFill>
            <w14:solidFill>
              <w14:schemeClr w14:val="tx1"/>
            </w14:solidFill>
          </w14:textFill>
        </w:rPr>
        <w:t xml:space="preserve">.4. </w:t>
      </w:r>
      <w:r>
        <w:rPr>
          <w:rFonts w:hint="eastAsia"/>
          <w:color w:val="000000" w:themeColor="text1"/>
          <w14:textFill>
            <w14:solidFill>
              <w14:schemeClr w14:val="tx1"/>
            </w14:solidFill>
          </w14:textFill>
        </w:rPr>
        <w:t>若本工程开工日期顺延的，则本工程相应的节点工期相应调整，分包人需采取相应措施，确保不影响幕墙工程验收和项目整体竣工备案通过日期。</w:t>
      </w:r>
      <w:r>
        <w:rPr>
          <w:rFonts w:hint="eastAsia" w:ascii="仿宋" w:hAnsi="仿宋" w:eastAsia="仿宋" w:cs="仿宋"/>
          <w:color w:val="000000" w:themeColor="text1"/>
          <w:lang w:bidi="ar"/>
          <w14:textFill>
            <w14:solidFill>
              <w14:schemeClr w14:val="tx1"/>
            </w14:solidFill>
          </w14:textFill>
        </w:rPr>
        <w:t xml:space="preserve"> </w:t>
      </w:r>
    </w:p>
    <w:p w14:paraId="47044717">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4.5.</w:t>
      </w:r>
      <w:r>
        <w:rPr>
          <w:rFonts w:hint="eastAsia"/>
          <w:color w:val="000000" w:themeColor="text1"/>
          <w14:textFill>
            <w14:solidFill>
              <w14:schemeClr w14:val="tx1"/>
            </w14:solidFill>
          </w14:textFill>
        </w:rPr>
        <w:t xml:space="preserve"> 具体施工计划要求，分包人应依据总承包工程施工进度计划编制幕墙工程总进度计划，计划中应设置关键工期节点包括不限于图纸深化并审核通过、幕墙材料封样、四性试验及施工样板通过、首批板块上墙、大面积幕墙工程完成节点等；施工进度计划报承包人、监理人、发包人确认后作为对本工程关键工期节点的控制依据，关键工期节点同时应满足以下要求：</w:t>
      </w:r>
    </w:p>
    <w:p w14:paraId="28CA5664">
      <w:pPr>
        <w:ind w:firstLine="480" w:firstLineChars="200"/>
        <w:rPr>
          <w:rFonts w:ascii="Times New Roman" w:hAnsi="Times New Roman"/>
          <w:color w:val="000000" w:themeColor="text1"/>
          <w:u w:val="single"/>
          <w14:textFill>
            <w14:solidFill>
              <w14:schemeClr w14:val="tx1"/>
            </w14:solidFill>
          </w14:textFill>
        </w:rPr>
      </w:pPr>
      <w:bookmarkStart w:id="22" w:name="_Toc44492402"/>
      <w:bookmarkStart w:id="23" w:name="_Toc30316"/>
      <w:bookmarkStart w:id="24" w:name="_Toc17381"/>
      <w:r>
        <w:rPr>
          <w:rFonts w:hint="eastAsia" w:ascii="Times New Roman" w:hAnsi="Times New Roman"/>
          <w:color w:val="000000" w:themeColor="text1"/>
          <w:u w:val="single"/>
          <w14:textFill>
            <w14:solidFill>
              <w14:schemeClr w14:val="tx1"/>
            </w14:solidFill>
          </w14:textFill>
        </w:rPr>
        <w:t>大面积幕墙工程完成时间（不含收口部位）：主体结构封顶、塔楼爬架拆除后</w:t>
      </w:r>
      <w:r>
        <w:rPr>
          <w:rFonts w:ascii="Times New Roman" w:hAnsi="Times New Roman"/>
          <w:color w:val="000000" w:themeColor="text1"/>
          <w:u w:val="single"/>
          <w14:textFill>
            <w14:solidFill>
              <w14:schemeClr w14:val="tx1"/>
            </w14:solidFill>
          </w14:textFill>
        </w:rPr>
        <w:t>3</w:t>
      </w:r>
      <w:r>
        <w:rPr>
          <w:rFonts w:hint="eastAsia" w:ascii="Times New Roman" w:hAnsi="Times New Roman"/>
          <w:color w:val="000000" w:themeColor="text1"/>
          <w:u w:val="single"/>
          <w14:textFill>
            <w14:solidFill>
              <w14:schemeClr w14:val="tx1"/>
            </w14:solidFill>
          </w14:textFill>
        </w:rPr>
        <w:t>个月内完成大面积幕墙施工（包含屋面区域幕墙）。</w:t>
      </w:r>
    </w:p>
    <w:p w14:paraId="4BB22CD1">
      <w:pPr>
        <w:ind w:firstLine="480" w:firstLineChars="20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外立面收口完成时间：外立面施工设备拆除完成并移交工作面后2</w:t>
      </w:r>
      <w:r>
        <w:rPr>
          <w:rFonts w:ascii="Times New Roman" w:hAnsi="Times New Roman"/>
          <w:color w:val="000000" w:themeColor="text1"/>
          <w:u w:val="single"/>
          <w14:textFill>
            <w14:solidFill>
              <w14:schemeClr w14:val="tx1"/>
            </w14:solidFill>
          </w14:textFill>
        </w:rPr>
        <w:t>0天内完成收口</w:t>
      </w:r>
      <w:r>
        <w:rPr>
          <w:rFonts w:hint="eastAsia" w:ascii="Times New Roman" w:hAnsi="Times New Roman"/>
          <w:color w:val="000000" w:themeColor="text1"/>
          <w:u w:val="single"/>
          <w14:textFill>
            <w14:solidFill>
              <w14:schemeClr w14:val="tx1"/>
            </w14:solidFill>
          </w14:textFill>
        </w:rPr>
        <w:t>，且整体收口时间不得晚于幕墙工程整体验收完成时间。</w:t>
      </w:r>
    </w:p>
    <w:p w14:paraId="021B3B22">
      <w:pPr>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项目工期以分包人收到中标通知书后第5天开始计算，视为分包人进场开展相关工作。实际工期为分包人收到中标通知书后第5天至实际竣工日期的天数。分包人收到中标通知书后即具备进场条件，如技术准备、临时设施选址及布置等前置准备工作，由分包人自行考虑在开工前予以完善。</w:t>
      </w:r>
    </w:p>
    <w:p w14:paraId="7D0218EC">
      <w:pPr>
        <w:pStyle w:val="77"/>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 质量标准</w:t>
      </w:r>
      <w:bookmarkEnd w:id="22"/>
      <w:bookmarkEnd w:id="23"/>
      <w:bookmarkEnd w:id="24"/>
    </w:p>
    <w:p w14:paraId="0440F3DB">
      <w:pPr>
        <w:pStyle w:val="56"/>
        <w:ind w:firstLine="480"/>
        <w:rPr>
          <w:rFonts w:eastAsia="宋体"/>
          <w:color w:val="000000" w:themeColor="text1"/>
          <w:kern w:val="2"/>
          <w:szCs w:val="22"/>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rFonts w:hint="eastAsia" w:eastAsia="宋体"/>
          <w:color w:val="000000" w:themeColor="text1"/>
          <w:kern w:val="2"/>
          <w:szCs w:val="22"/>
          <w14:textFill>
            <w14:solidFill>
              <w14:schemeClr w14:val="tx1"/>
            </w14:solidFill>
          </w14:textFill>
        </w:rPr>
        <w:t>质量合格，满足本项目创优要求。应达到包括不限于《建筑工程质量标准》《建筑工程施工质量验收统一标准》《建筑装饰装修工程质量验收规范》等国家规范、行业标准、地方标准、施工操作规程的相关要求，确保分部分项工程达到100%合格</w:t>
      </w:r>
      <w:r>
        <w:rPr>
          <w:rFonts w:eastAsia="宋体"/>
          <w:color w:val="000000" w:themeColor="text1"/>
          <w:kern w:val="2"/>
          <w:szCs w:val="22"/>
          <w14:textFill>
            <w14:solidFill>
              <w14:schemeClr w14:val="tx1"/>
            </w14:solidFill>
          </w14:textFill>
        </w:rPr>
        <w:t>，并</w:t>
      </w:r>
      <w:r>
        <w:rPr>
          <w:rFonts w:hint="eastAsia" w:eastAsia="宋体"/>
          <w:color w:val="000000" w:themeColor="text1"/>
          <w:kern w:val="2"/>
          <w:szCs w:val="22"/>
          <w14:textFill>
            <w14:solidFill>
              <w14:schemeClr w14:val="tx1"/>
            </w14:solidFill>
          </w14:textFill>
        </w:rPr>
        <w:t>通过本工程验收、项目竣工备案。</w:t>
      </w:r>
    </w:p>
    <w:p w14:paraId="5EFD40F9">
      <w:pPr>
        <w:adjustRightInd w:val="0"/>
        <w:snapToGrid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.2.如技术文件、设计图纸（含设计说明）中确定适用的技术标准或规范要求、检验测试要求及验收要求不一致时，本工程实施按其中标准较高、要求较严格的要求执行。</w:t>
      </w:r>
    </w:p>
    <w:p w14:paraId="2467CE9D">
      <w:pPr>
        <w:pStyle w:val="77"/>
        <w:rPr>
          <w:color w:val="000000" w:themeColor="text1"/>
          <w14:textFill>
            <w14:solidFill>
              <w14:schemeClr w14:val="tx1"/>
            </w14:solidFill>
          </w14:textFill>
        </w:rPr>
      </w:pPr>
      <w:bookmarkStart w:id="25" w:name="_Toc10430"/>
      <w:bookmarkStart w:id="26" w:name="_Toc28544"/>
      <w:bookmarkStart w:id="27" w:name="_Toc44492403"/>
      <w:r>
        <w:rPr>
          <w:color w:val="000000" w:themeColor="text1"/>
          <w14:textFill>
            <w14:solidFill>
              <w14:schemeClr w14:val="tx1"/>
            </w14:solidFill>
          </w14:textFill>
        </w:rPr>
        <w:t>6</w:t>
      </w:r>
      <w:r>
        <w:rPr>
          <w:rFonts w:hint="eastAsia"/>
          <w:color w:val="000000" w:themeColor="text1"/>
          <w14:textFill>
            <w14:solidFill>
              <w14:schemeClr w14:val="tx1"/>
            </w14:solidFill>
          </w14:textFill>
        </w:rPr>
        <w:t>.安全</w:t>
      </w:r>
      <w:bookmarkEnd w:id="25"/>
      <w:bookmarkEnd w:id="26"/>
      <w:bookmarkEnd w:id="27"/>
      <w:r>
        <w:rPr>
          <w:rFonts w:hint="eastAsia"/>
          <w:color w:val="000000" w:themeColor="text1"/>
          <w14:textFill>
            <w14:solidFill>
              <w14:schemeClr w14:val="tx1"/>
            </w14:solidFill>
          </w14:textFill>
        </w:rPr>
        <w:t>生产目标</w:t>
      </w:r>
    </w:p>
    <w:p w14:paraId="3120BA95">
      <w:pPr>
        <w:pStyle w:val="56"/>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确保责任事故死亡率为零，确保工程无重大安全事故，工伤频率控制在</w:t>
      </w:r>
      <w:r>
        <w:rPr>
          <w:rFonts w:hint="eastAsia" w:ascii="宋体" w:hAnsi="宋体" w:eastAsia="宋体" w:cs="宋体"/>
          <w:color w:val="000000" w:themeColor="text1"/>
          <w:u w:val="single"/>
          <w14:textFill>
            <w14:solidFill>
              <w14:schemeClr w14:val="tx1"/>
            </w14:solidFill>
          </w14:textFill>
        </w:rPr>
        <w:t xml:space="preserve"> 广州 </w:t>
      </w:r>
      <w:r>
        <w:rPr>
          <w:rFonts w:hint="eastAsia" w:ascii="宋体" w:hAnsi="宋体" w:eastAsia="宋体" w:cs="宋体"/>
          <w:color w:val="000000" w:themeColor="text1"/>
          <w14:textFill>
            <w14:solidFill>
              <w14:schemeClr w14:val="tx1"/>
            </w14:solidFill>
          </w14:textFill>
        </w:rPr>
        <w:t>市建筑施工安全管理法规规定的指标要求范围内，并配合获得广东省安全文明双优工地。</w:t>
      </w:r>
    </w:p>
    <w:p w14:paraId="4C80C381">
      <w:pPr>
        <w:pStyle w:val="77"/>
        <w:rPr>
          <w:color w:val="000000" w:themeColor="text1"/>
          <w14:textFill>
            <w14:solidFill>
              <w14:schemeClr w14:val="tx1"/>
            </w14:solidFill>
          </w14:textFill>
        </w:rPr>
      </w:pPr>
      <w:bookmarkStart w:id="28" w:name="_Toc29176"/>
      <w:bookmarkStart w:id="29" w:name="_Toc27904"/>
      <w:bookmarkStart w:id="30" w:name="_Toc44492404"/>
      <w:r>
        <w:rPr>
          <w:color w:val="000000" w:themeColor="text1"/>
          <w14:textFill>
            <w14:solidFill>
              <w14:schemeClr w14:val="tx1"/>
            </w14:solidFill>
          </w14:textFill>
        </w:rPr>
        <w:t>7</w:t>
      </w:r>
      <w:r>
        <w:rPr>
          <w:rFonts w:hint="eastAsia"/>
          <w:color w:val="000000" w:themeColor="text1"/>
          <w14:textFill>
            <w14:solidFill>
              <w14:schemeClr w14:val="tx1"/>
            </w14:solidFill>
          </w14:textFill>
        </w:rPr>
        <w:t>. 合同价款</w:t>
      </w:r>
      <w:bookmarkEnd w:id="28"/>
      <w:bookmarkEnd w:id="29"/>
      <w:bookmarkEnd w:id="30"/>
    </w:p>
    <w:p w14:paraId="7C392C5F">
      <w:pPr>
        <w:pStyle w:val="56"/>
        <w:ind w:firstLine="48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本合同以上文约定的计价方式确定合同价款，合同含税总价为：￥               元（大写：人民币             ）。其中绿色施工安全防护措施费为         元，增值税税率为  %，增值税税金为        元。合同价款组成明细具体详见本合同附件9《已标价工程量清单》。</w:t>
      </w:r>
    </w:p>
    <w:p w14:paraId="580A2AE5">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如因包括但不限于法律、行政法规、规章、政府政策等的修订或变化导致增值税税率调整的，则增值税税率、税额及合同暂定价格需作相应调整，但不含税价款不因此而调整。</w:t>
      </w:r>
    </w:p>
    <w:p w14:paraId="523A60A4">
      <w:pPr>
        <w:pStyle w:val="77"/>
        <w:rPr>
          <w:color w:val="000000" w:themeColor="text1"/>
          <w14:textFill>
            <w14:solidFill>
              <w14:schemeClr w14:val="tx1"/>
            </w14:solidFill>
          </w14:textFill>
        </w:rPr>
      </w:pPr>
      <w:bookmarkStart w:id="31" w:name="_Toc44492405"/>
      <w:bookmarkStart w:id="32" w:name="_Toc20860"/>
      <w:bookmarkStart w:id="33" w:name="_Toc12138"/>
      <w:r>
        <w:rPr>
          <w:color w:val="000000" w:themeColor="text1"/>
          <w14:textFill>
            <w14:solidFill>
              <w14:schemeClr w14:val="tx1"/>
            </w14:solidFill>
          </w14:textFill>
        </w:rPr>
        <w:t>8</w:t>
      </w:r>
      <w:r>
        <w:rPr>
          <w:rFonts w:hint="eastAsia"/>
          <w:color w:val="000000" w:themeColor="text1"/>
          <w14:textFill>
            <w14:solidFill>
              <w14:schemeClr w14:val="tx1"/>
            </w14:solidFill>
          </w14:textFill>
        </w:rPr>
        <w:t>. 合同份数及生效</w:t>
      </w:r>
      <w:bookmarkEnd w:id="31"/>
      <w:bookmarkEnd w:id="32"/>
      <w:bookmarkEnd w:id="33"/>
    </w:p>
    <w:p w14:paraId="0B06BA35">
      <w:pPr>
        <w:pStyle w:val="56"/>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本合同一式</w:t>
      </w:r>
      <w:r>
        <w:rPr>
          <w:rFonts w:hint="eastAsia" w:ascii="宋体" w:hAnsi="宋体" w:eastAsia="宋体" w:cs="宋体"/>
          <w:color w:val="000000" w:themeColor="text1"/>
          <w:u w:val="single"/>
          <w14:textFill>
            <w14:solidFill>
              <w14:schemeClr w14:val="tx1"/>
            </w14:solidFill>
          </w14:textFill>
        </w:rPr>
        <w:t xml:space="preserve">　壹拾叁 </w:t>
      </w:r>
      <w:r>
        <w:rPr>
          <w:rFonts w:hint="eastAsia" w:ascii="宋体" w:hAnsi="宋体" w:eastAsia="宋体" w:cs="宋体"/>
          <w:color w:val="000000" w:themeColor="text1"/>
          <w14:textFill>
            <w14:solidFill>
              <w14:schemeClr w14:val="tx1"/>
            </w14:solidFill>
          </w14:textFill>
        </w:rPr>
        <w:t>份，发包人执</w:t>
      </w:r>
      <w:r>
        <w:rPr>
          <w:rFonts w:hint="eastAsia" w:ascii="宋体" w:hAnsi="宋体" w:eastAsia="宋体" w:cs="宋体"/>
          <w:color w:val="000000" w:themeColor="text1"/>
          <w:u w:val="single"/>
          <w14:textFill>
            <w14:solidFill>
              <w14:schemeClr w14:val="tx1"/>
            </w14:solidFill>
          </w14:textFill>
        </w:rPr>
        <w:t xml:space="preserve"> 伍  </w:t>
      </w:r>
      <w:r>
        <w:rPr>
          <w:rFonts w:hint="eastAsia" w:ascii="宋体" w:hAnsi="宋体" w:eastAsia="宋体" w:cs="宋体"/>
          <w:color w:val="000000" w:themeColor="text1"/>
          <w14:textFill>
            <w14:solidFill>
              <w14:schemeClr w14:val="tx1"/>
            </w14:solidFill>
          </w14:textFill>
        </w:rPr>
        <w:t>份，承包人执</w:t>
      </w:r>
      <w:r>
        <w:rPr>
          <w:rFonts w:hint="eastAsia" w:ascii="宋体" w:hAnsi="宋体" w:eastAsia="宋体" w:cs="宋体"/>
          <w:color w:val="000000" w:themeColor="text1"/>
          <w:u w:val="single"/>
          <w14:textFill>
            <w14:solidFill>
              <w14:schemeClr w14:val="tx1"/>
            </w14:solidFill>
          </w14:textFill>
        </w:rPr>
        <w:t xml:space="preserve"> 肆 </w:t>
      </w:r>
      <w:r>
        <w:rPr>
          <w:rFonts w:hint="eastAsia" w:ascii="宋体" w:hAnsi="宋体" w:eastAsia="宋体" w:cs="宋体"/>
          <w:color w:val="000000" w:themeColor="text1"/>
          <w14:textFill>
            <w14:solidFill>
              <w14:schemeClr w14:val="tx1"/>
            </w14:solidFill>
          </w14:textFill>
        </w:rPr>
        <w:t>份，分包人执</w:t>
      </w:r>
      <w:r>
        <w:rPr>
          <w:rFonts w:hint="eastAsia" w:ascii="宋体" w:hAnsi="宋体" w:eastAsia="宋体" w:cs="宋体"/>
          <w:color w:val="000000" w:themeColor="text1"/>
          <w:u w:val="single"/>
          <w14:textFill>
            <w14:solidFill>
              <w14:schemeClr w14:val="tx1"/>
            </w14:solidFill>
          </w14:textFill>
        </w:rPr>
        <w:t xml:space="preserve"> 肆  </w:t>
      </w:r>
      <w:r>
        <w:rPr>
          <w:rFonts w:hint="eastAsia" w:ascii="宋体" w:hAnsi="宋体" w:eastAsia="宋体" w:cs="宋体"/>
          <w:color w:val="000000" w:themeColor="text1"/>
          <w14:textFill>
            <w14:solidFill>
              <w14:schemeClr w14:val="tx1"/>
            </w14:solidFill>
          </w14:textFill>
        </w:rPr>
        <w:t>份。本合同经承包人、分包人双方加盖公章或合同专用章，法定代表人或其委托代理人签字或盖章生效。</w:t>
      </w:r>
    </w:p>
    <w:p w14:paraId="18E1DDF6">
      <w:pPr>
        <w:adjustRightInd w:val="0"/>
        <w:snapToGrid w:val="0"/>
        <w:ind w:firstLine="480" w:firstLineChars="200"/>
        <w:rPr>
          <w:rFonts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(以下无正文)</w:t>
      </w:r>
    </w:p>
    <w:p w14:paraId="1E7D905D">
      <w:pPr>
        <w:pStyle w:val="56"/>
        <w:ind w:firstLine="0" w:firstLineChars="0"/>
        <w:rPr>
          <w:rFonts w:ascii="宋体" w:hAnsi="宋体" w:eastAsia="宋体" w:cs="宋体"/>
          <w:color w:val="000000" w:themeColor="text1"/>
          <w14:textFill>
            <w14:solidFill>
              <w14:schemeClr w14:val="tx1"/>
            </w14:solidFill>
          </w14:textFill>
        </w:rPr>
      </w:pPr>
    </w:p>
    <w:p w14:paraId="2ECC71CA">
      <w:pPr>
        <w:pStyle w:val="56"/>
        <w:ind w:firstLine="0" w:firstLineChars="0"/>
        <w:rPr>
          <w:rFonts w:ascii="宋体" w:hAnsi="宋体" w:eastAsia="宋体" w:cs="宋体"/>
          <w:color w:val="000000" w:themeColor="text1"/>
          <w14:textFill>
            <w14:solidFill>
              <w14:schemeClr w14:val="tx1"/>
            </w14:solidFill>
          </w14:textFill>
        </w:rPr>
      </w:pPr>
    </w:p>
    <w:p w14:paraId="6A7C8FAF">
      <w:pPr>
        <w:pStyle w:val="56"/>
        <w:ind w:firstLine="0" w:firstLineChars="0"/>
        <w:rPr>
          <w:rFonts w:ascii="宋体" w:hAnsi="宋体" w:eastAsia="宋体" w:cs="宋体"/>
          <w:color w:val="000000" w:themeColor="text1"/>
          <w14:textFill>
            <w14:solidFill>
              <w14:schemeClr w14:val="tx1"/>
            </w14:solidFill>
          </w14:textFill>
        </w:rPr>
      </w:pPr>
    </w:p>
    <w:p w14:paraId="0ABB0C93">
      <w:pPr>
        <w:pStyle w:val="56"/>
        <w:ind w:firstLine="0" w:firstLineChars="0"/>
        <w:rPr>
          <w:rFonts w:ascii="宋体" w:hAnsi="宋体" w:eastAsia="宋体" w:cs="宋体"/>
          <w:color w:val="000000" w:themeColor="text1"/>
          <w14:textFill>
            <w14:solidFill>
              <w14:schemeClr w14:val="tx1"/>
            </w14:solidFill>
          </w14:textFill>
        </w:rPr>
      </w:pPr>
    </w:p>
    <w:p w14:paraId="58AD9FEB">
      <w:pPr>
        <w:pStyle w:val="56"/>
        <w:ind w:firstLine="0" w:firstLineChars="0"/>
        <w:rPr>
          <w:rFonts w:ascii="宋体" w:hAnsi="宋体" w:eastAsia="宋体" w:cs="宋体"/>
          <w:color w:val="000000" w:themeColor="text1"/>
          <w14:textFill>
            <w14:solidFill>
              <w14:schemeClr w14:val="tx1"/>
            </w14:solidFill>
          </w14:textFill>
        </w:rPr>
      </w:pPr>
    </w:p>
    <w:p w14:paraId="17B90993">
      <w:pPr>
        <w:pStyle w:val="56"/>
        <w:ind w:firstLine="0" w:firstLineChars="0"/>
        <w:rPr>
          <w:rFonts w:ascii="宋体" w:hAnsi="宋体" w:eastAsia="宋体" w:cs="宋体"/>
          <w:color w:val="000000" w:themeColor="text1"/>
          <w14:textFill>
            <w14:solidFill>
              <w14:schemeClr w14:val="tx1"/>
            </w14:solidFill>
          </w14:textFill>
        </w:rPr>
      </w:pPr>
    </w:p>
    <w:p w14:paraId="12164D2E">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719FB83E">
      <w:pPr>
        <w:pStyle w:val="56"/>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（本页为签署页，无正文）</w:t>
      </w:r>
    </w:p>
    <w:p w14:paraId="14475BE3">
      <w:pPr>
        <w:pStyle w:val="56"/>
        <w:ind w:firstLine="0" w:firstLineChars="0"/>
        <w:rPr>
          <w:color w:val="000000" w:themeColor="text1"/>
          <w14:textFill>
            <w14:solidFill>
              <w14:schemeClr w14:val="tx1"/>
            </w14:solidFill>
          </w14:textFill>
        </w:rPr>
      </w:pPr>
    </w:p>
    <w:p w14:paraId="0EE16A1A">
      <w:pPr>
        <w:pStyle w:val="117"/>
        <w:snapToGrid w:val="0"/>
        <w:spacing w:before="0" w:after="0"/>
        <w:ind w:left="0" w:right="244"/>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发包人（公章）：</w:t>
      </w:r>
      <w:r>
        <w:rPr>
          <w:rFonts w:hint="eastAsia" w:ascii="宋体" w:hAnsi="宋体" w:cs="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3BE4D3A5">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地  址：                    </w:t>
      </w:r>
      <w:r>
        <w:rPr>
          <w:rFonts w:ascii="宋体" w:hAnsi="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50D7D6ED">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法定代表人或委托代理人：                                     </w:t>
      </w:r>
    </w:p>
    <w:p w14:paraId="0ED6F6EA">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电  话：                                 </w:t>
      </w:r>
    </w:p>
    <w:p w14:paraId="29774C0F">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开户银行：</w:t>
      </w:r>
    </w:p>
    <w:p w14:paraId="67758B0D">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账   号：</w:t>
      </w:r>
    </w:p>
    <w:p w14:paraId="65452242">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p>
    <w:p w14:paraId="2BA66BC7">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签订日期：     年    月   日 </w:t>
      </w:r>
    </w:p>
    <w:p w14:paraId="054D5AD0">
      <w:pPr>
        <w:pStyle w:val="56"/>
        <w:ind w:firstLine="0" w:firstLineChars="0"/>
        <w:rPr>
          <w:color w:val="000000" w:themeColor="text1"/>
          <w14:textFill>
            <w14:solidFill>
              <w14:schemeClr w14:val="tx1"/>
            </w14:solidFill>
          </w14:textFill>
        </w:rPr>
      </w:pPr>
    </w:p>
    <w:p w14:paraId="6317E0D6">
      <w:pPr>
        <w:pStyle w:val="56"/>
        <w:ind w:firstLine="0" w:firstLineChars="0"/>
        <w:rPr>
          <w:color w:val="000000" w:themeColor="text1"/>
          <w14:textFill>
            <w14:solidFill>
              <w14:schemeClr w14:val="tx1"/>
            </w14:solidFill>
          </w14:textFill>
        </w:rPr>
      </w:pPr>
    </w:p>
    <w:p w14:paraId="7EC7399D">
      <w:pPr>
        <w:pStyle w:val="117"/>
        <w:snapToGrid w:val="0"/>
        <w:spacing w:before="0" w:after="0"/>
        <w:ind w:left="0" w:right="244"/>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承包人（公章）：</w:t>
      </w:r>
      <w:r>
        <w:rPr>
          <w:rFonts w:hint="eastAsia" w:ascii="宋体" w:hAnsi="宋体" w:cs="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7A452A42">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地  址：                    </w:t>
      </w:r>
      <w:r>
        <w:rPr>
          <w:rFonts w:ascii="宋体" w:hAnsi="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0B46F0D4">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法定代表人或委托代理人：                                     </w:t>
      </w:r>
    </w:p>
    <w:p w14:paraId="1802EF7A">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电  话：                                 </w:t>
      </w:r>
    </w:p>
    <w:p w14:paraId="31F5A43A">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开户银行：</w:t>
      </w:r>
    </w:p>
    <w:p w14:paraId="49682768">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账   号：</w:t>
      </w:r>
    </w:p>
    <w:p w14:paraId="4676DC77">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p>
    <w:p w14:paraId="36EA2904">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签订日期：     年    月   日 </w:t>
      </w:r>
    </w:p>
    <w:p w14:paraId="52E9EF66">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p>
    <w:p w14:paraId="2E9BDB6E">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分包人（公章）： </w:t>
      </w:r>
    </w:p>
    <w:p w14:paraId="541647F6">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地   址：</w:t>
      </w:r>
    </w:p>
    <w:p w14:paraId="31CA504E">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法定代表人或委托代理人：</w:t>
      </w:r>
    </w:p>
    <w:p w14:paraId="6D91C331">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电  话：</w:t>
      </w:r>
    </w:p>
    <w:p w14:paraId="3113588F">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 户 银 行：</w:t>
      </w:r>
    </w:p>
    <w:p w14:paraId="0D6CA9C8">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账  号：                                </w:t>
      </w:r>
    </w:p>
    <w:p w14:paraId="3873D555">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p>
    <w:p w14:paraId="4ACFDDA1">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签订日期：     年    月   日</w:t>
      </w:r>
    </w:p>
    <w:p w14:paraId="32DFC874">
      <w:pPr>
        <w:pStyle w:val="56"/>
        <w:ind w:firstLine="0" w:firstLineChars="0"/>
        <w:rPr>
          <w:color w:val="000000" w:themeColor="text1"/>
          <w14:textFill>
            <w14:solidFill>
              <w14:schemeClr w14:val="tx1"/>
            </w14:solidFill>
          </w14:textFill>
        </w:rPr>
      </w:pPr>
    </w:p>
    <w:p w14:paraId="36C2E956">
      <w:pPr>
        <w:pStyle w:val="72"/>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34" w:name="_Toc44227949"/>
      <w:bookmarkStart w:id="35" w:name="_Toc27237"/>
      <w:bookmarkStart w:id="36" w:name="_Toc4504"/>
      <w:bookmarkStart w:id="37" w:name="_Toc10706"/>
      <w:bookmarkStart w:id="38" w:name="_Toc40186510"/>
      <w:bookmarkStart w:id="39" w:name="_Toc44492406"/>
      <w:bookmarkStart w:id="40" w:name="_Toc32399"/>
      <w:bookmarkStart w:id="41" w:name="_Toc402450437"/>
      <w:bookmarkStart w:id="42" w:name="_Toc1924"/>
      <w:r>
        <w:rPr>
          <w:rFonts w:hint="eastAsia"/>
          <w:color w:val="000000" w:themeColor="text1"/>
          <w14:textFill>
            <w14:solidFill>
              <w14:schemeClr w14:val="tx1"/>
            </w14:solidFill>
          </w14:textFill>
        </w:rPr>
        <w:t>第二部分 通用条款</w:t>
      </w:r>
      <w:bookmarkEnd w:id="34"/>
      <w:bookmarkEnd w:id="35"/>
      <w:bookmarkEnd w:id="36"/>
      <w:bookmarkEnd w:id="37"/>
      <w:bookmarkEnd w:id="38"/>
      <w:bookmarkEnd w:id="39"/>
      <w:bookmarkEnd w:id="40"/>
      <w:bookmarkEnd w:id="41"/>
      <w:bookmarkEnd w:id="42"/>
    </w:p>
    <w:p w14:paraId="27853A1E">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bookmarkStart w:id="43" w:name="_Toc402450438"/>
      <w:r>
        <w:rPr>
          <w:rFonts w:hint="eastAsia" w:ascii="仿宋" w:hAnsi="仿宋" w:eastAsia="仿宋"/>
          <w:b w:val="0"/>
          <w:color w:val="000000" w:themeColor="text1"/>
          <w:szCs w:val="28"/>
          <w14:textFill>
            <w14:solidFill>
              <w14:schemeClr w14:val="tx1"/>
            </w14:solidFill>
          </w14:textFill>
        </w:rPr>
        <w:fldChar w:fldCharType="begin"/>
      </w:r>
      <w:r>
        <w:rPr>
          <w:rFonts w:hint="eastAsia" w:ascii="仿宋" w:hAnsi="仿宋" w:eastAsia="仿宋"/>
          <w:b w:val="0"/>
          <w:color w:val="000000" w:themeColor="text1"/>
          <w:szCs w:val="28"/>
          <w14:textFill>
            <w14:solidFill>
              <w14:schemeClr w14:val="tx1"/>
            </w14:solidFill>
          </w14:textFill>
        </w:rPr>
        <w:instrText xml:space="preserve"> TOC \b p2 \o "1-2" \h \z \u </w:instrText>
      </w:r>
      <w:r>
        <w:rPr>
          <w:rFonts w:hint="eastAsia" w:ascii="仿宋" w:hAnsi="仿宋" w:eastAsia="仿宋"/>
          <w:b w:val="0"/>
          <w:color w:val="000000" w:themeColor="text1"/>
          <w:szCs w:val="28"/>
          <w14:textFill>
            <w14:solidFill>
              <w14:schemeClr w14:val="tx1"/>
            </w14:solidFill>
          </w14:textFill>
        </w:rPr>
        <w:fldChar w:fldCharType="separate"/>
      </w:r>
      <w:r>
        <w:fldChar w:fldCharType="begin"/>
      </w:r>
      <w:r>
        <w:instrText xml:space="preserve"> HYPERLINK \l "_Toc91082293" </w:instrText>
      </w:r>
      <w:r>
        <w:fldChar w:fldCharType="separate"/>
      </w:r>
      <w:r>
        <w:rPr>
          <w:rStyle w:val="48"/>
          <w:b w:val="0"/>
          <w:color w:val="000000" w:themeColor="text1"/>
          <w:sz w:val="24"/>
          <w:szCs w:val="24"/>
          <w14:textFill>
            <w14:solidFill>
              <w14:schemeClr w14:val="tx1"/>
            </w14:solidFill>
          </w14:textFill>
        </w:rPr>
        <w:t>1.</w:t>
      </w:r>
      <w:r>
        <w:rPr>
          <w:rStyle w:val="48"/>
          <w:rFonts w:hint="eastAsia"/>
          <w:b w:val="0"/>
          <w:color w:val="000000" w:themeColor="text1"/>
          <w:sz w:val="24"/>
          <w:szCs w:val="24"/>
          <w14:textFill>
            <w14:solidFill>
              <w14:schemeClr w14:val="tx1"/>
            </w14:solidFill>
          </w14:textFill>
        </w:rPr>
        <w:t>一般约定</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8</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2D421D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"_Toc91082294" </w:instrText>
      </w:r>
      <w:r>
        <w:fldChar w:fldCharType="separate"/>
      </w:r>
      <w:r>
        <w:rPr>
          <w:rStyle w:val="48"/>
          <w:b w:val="0"/>
          <w:color w:val="000000" w:themeColor="text1"/>
          <w:sz w:val="24"/>
          <w:szCs w:val="24"/>
          <w14:textFill>
            <w14:solidFill>
              <w14:schemeClr w14:val="tx1"/>
            </w14:solidFill>
          </w14:textFill>
        </w:rPr>
        <w:t>2.</w:t>
      </w:r>
      <w:r>
        <w:rPr>
          <w:rStyle w:val="48"/>
          <w:rFonts w:hint="eastAsia"/>
          <w:b w:val="0"/>
          <w:color w:val="000000" w:themeColor="text1"/>
          <w:sz w:val="24"/>
          <w:szCs w:val="24"/>
          <w14:textFill>
            <w14:solidFill>
              <w14:schemeClr w14:val="tx1"/>
            </w14:solidFill>
          </w14:textFill>
        </w:rPr>
        <w:t>分包人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20B52EF">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"_Toc91082295" </w:instrText>
      </w:r>
      <w:r>
        <w:fldChar w:fldCharType="separate"/>
      </w:r>
      <w:r>
        <w:rPr>
          <w:rStyle w:val="48"/>
          <w:b w:val="0"/>
          <w:color w:val="000000" w:themeColor="text1"/>
          <w:sz w:val="24"/>
          <w:szCs w:val="24"/>
          <w14:textFill>
            <w14:solidFill>
              <w14:schemeClr w14:val="tx1"/>
            </w14:solidFill>
          </w14:textFill>
        </w:rPr>
        <w:t>3.</w:t>
      </w:r>
      <w:r>
        <w:rPr>
          <w:rStyle w:val="48"/>
          <w:rFonts w:hint="eastAsia"/>
          <w:b w:val="0"/>
          <w:color w:val="000000" w:themeColor="text1"/>
          <w:sz w:val="24"/>
          <w:szCs w:val="24"/>
          <w14:textFill>
            <w14:solidFill>
              <w14:schemeClr w14:val="tx1"/>
            </w14:solidFill>
          </w14:textFill>
        </w:rPr>
        <w:t>监理人及造价咨询人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ED511FF">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"_Toc91082296" </w:instrText>
      </w:r>
      <w:r>
        <w:fldChar w:fldCharType="separate"/>
      </w:r>
      <w:r>
        <w:rPr>
          <w:rStyle w:val="48"/>
          <w:b w:val="0"/>
          <w:color w:val="000000" w:themeColor="text1"/>
          <w:sz w:val="24"/>
          <w:szCs w:val="24"/>
          <w14:textFill>
            <w14:solidFill>
              <w14:schemeClr w14:val="tx1"/>
            </w14:solidFill>
          </w14:textFill>
        </w:rPr>
        <w:t>4.</w:t>
      </w:r>
      <w:r>
        <w:rPr>
          <w:rStyle w:val="48"/>
          <w:rFonts w:hint="eastAsia"/>
          <w:b w:val="0"/>
          <w:color w:val="000000" w:themeColor="text1"/>
          <w:sz w:val="24"/>
          <w:szCs w:val="24"/>
          <w14:textFill>
            <w14:solidFill>
              <w14:schemeClr w14:val="tx1"/>
            </w14:solidFill>
          </w14:textFill>
        </w:rPr>
        <w:t>分包人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626971A9">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"_Toc91082297" </w:instrText>
      </w:r>
      <w:r>
        <w:fldChar w:fldCharType="separate"/>
      </w:r>
      <w:r>
        <w:rPr>
          <w:rStyle w:val="48"/>
          <w:b w:val="0"/>
          <w:color w:val="000000" w:themeColor="text1"/>
          <w:sz w:val="24"/>
          <w:szCs w:val="24"/>
          <w14:textFill>
            <w14:solidFill>
              <w14:schemeClr w14:val="tx1"/>
            </w14:solidFill>
          </w14:textFill>
        </w:rPr>
        <w:t>5.</w:t>
      </w:r>
      <w:r>
        <w:rPr>
          <w:rStyle w:val="48"/>
          <w:rFonts w:hint="eastAsia"/>
          <w:b w:val="0"/>
          <w:color w:val="000000" w:themeColor="text1"/>
          <w:sz w:val="24"/>
          <w:szCs w:val="24"/>
          <w14:textFill>
            <w14:solidFill>
              <w14:schemeClr w14:val="tx1"/>
            </w14:solidFill>
          </w14:textFill>
        </w:rPr>
        <w:t>材料和工程设备</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FF5E5F3">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"_Toc91082298" </w:instrText>
      </w:r>
      <w:r>
        <w:fldChar w:fldCharType="separate"/>
      </w:r>
      <w:r>
        <w:rPr>
          <w:rStyle w:val="48"/>
          <w:b w:val="0"/>
          <w:color w:val="000000" w:themeColor="text1"/>
          <w:sz w:val="24"/>
          <w:szCs w:val="24"/>
          <w14:textFill>
            <w14:solidFill>
              <w14:schemeClr w14:val="tx1"/>
            </w14:solidFill>
          </w14:textFill>
        </w:rPr>
        <w:t>6.</w:t>
      </w:r>
      <w:r>
        <w:rPr>
          <w:rStyle w:val="48"/>
          <w:rFonts w:hint="eastAsia"/>
          <w:b w:val="0"/>
          <w:color w:val="000000" w:themeColor="text1"/>
          <w:sz w:val="24"/>
          <w:szCs w:val="24"/>
          <w14:textFill>
            <w14:solidFill>
              <w14:schemeClr w14:val="tx1"/>
            </w14:solidFill>
          </w14:textFill>
        </w:rPr>
        <w:t>施工设备和临时设施</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A1EEFAF">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"_Toc91082299" </w:instrText>
      </w:r>
      <w:r>
        <w:fldChar w:fldCharType="separate"/>
      </w:r>
      <w:r>
        <w:rPr>
          <w:rStyle w:val="48"/>
          <w:b w:val="0"/>
          <w:color w:val="000000" w:themeColor="text1"/>
          <w:sz w:val="24"/>
          <w:szCs w:val="24"/>
          <w14:textFill>
            <w14:solidFill>
              <w14:schemeClr w14:val="tx1"/>
            </w14:solidFill>
          </w14:textFill>
        </w:rPr>
        <w:t>7.</w:t>
      </w:r>
      <w:r>
        <w:rPr>
          <w:rStyle w:val="48"/>
          <w:rFonts w:hint="eastAsia"/>
          <w:b w:val="0"/>
          <w:color w:val="000000" w:themeColor="text1"/>
          <w:sz w:val="24"/>
          <w:szCs w:val="24"/>
          <w14:textFill>
            <w14:solidFill>
              <w14:schemeClr w14:val="tx1"/>
            </w14:solidFill>
          </w14:textFill>
        </w:rPr>
        <w:t>交通运输</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_Toc91082299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849AA5E">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"_Toc91082300" </w:instrText>
      </w:r>
      <w:r>
        <w:fldChar w:fldCharType="separate"/>
      </w:r>
      <w:r>
        <w:rPr>
          <w:rStyle w:val="48"/>
          <w:b w:val="0"/>
          <w:color w:val="000000" w:themeColor="text1"/>
          <w:sz w:val="24"/>
          <w:szCs w:val="24"/>
          <w14:textFill>
            <w14:solidFill>
              <w14:schemeClr w14:val="tx1"/>
            </w14:solidFill>
          </w14:textFill>
        </w:rPr>
        <w:t>8.</w:t>
      </w:r>
      <w:r>
        <w:rPr>
          <w:rStyle w:val="48"/>
          <w:rFonts w:hint="eastAsia"/>
          <w:b w:val="0"/>
          <w:color w:val="000000" w:themeColor="text1"/>
          <w:sz w:val="24"/>
          <w:szCs w:val="24"/>
          <w14:textFill>
            <w14:solidFill>
              <w14:schemeClr w14:val="tx1"/>
            </w14:solidFill>
          </w14:textFill>
        </w:rPr>
        <w:t>测量放线</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_Toc91082300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1799E5A">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"_Toc91082301" </w:instrText>
      </w:r>
      <w:r>
        <w:fldChar w:fldCharType="separate"/>
      </w:r>
      <w:r>
        <w:rPr>
          <w:rStyle w:val="48"/>
          <w:b w:val="0"/>
          <w:color w:val="000000" w:themeColor="text1"/>
          <w:sz w:val="24"/>
          <w:szCs w:val="24"/>
          <w14:textFill>
            <w14:solidFill>
              <w14:schemeClr w14:val="tx1"/>
            </w14:solidFill>
          </w14:textFill>
        </w:rPr>
        <w:t>9.</w:t>
      </w:r>
      <w:r>
        <w:rPr>
          <w:rStyle w:val="48"/>
          <w:rFonts w:hint="eastAsia"/>
          <w:b w:val="0"/>
          <w:color w:val="000000" w:themeColor="text1"/>
          <w:sz w:val="24"/>
          <w:szCs w:val="24"/>
          <w14:textFill>
            <w14:solidFill>
              <w14:schemeClr w14:val="tx1"/>
            </w14:solidFill>
          </w14:textFill>
        </w:rPr>
        <w:t>施工安全、治安保卫和环境保护</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_Toc91082301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F4021AF">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"_Toc91082302" </w:instrText>
      </w:r>
      <w:r>
        <w:fldChar w:fldCharType="separate"/>
      </w:r>
      <w:r>
        <w:rPr>
          <w:rStyle w:val="48"/>
          <w:b w:val="0"/>
          <w:color w:val="000000" w:themeColor="text1"/>
          <w:sz w:val="24"/>
          <w:szCs w:val="24"/>
          <w14:textFill>
            <w14:solidFill>
              <w14:schemeClr w14:val="tx1"/>
            </w14:solidFill>
          </w14:textFill>
        </w:rPr>
        <w:t>10.</w:t>
      </w:r>
      <w:r>
        <w:rPr>
          <w:rStyle w:val="48"/>
          <w:rFonts w:hint="eastAsia"/>
          <w:b w:val="0"/>
          <w:color w:val="000000" w:themeColor="text1"/>
          <w:sz w:val="24"/>
          <w:szCs w:val="24"/>
          <w14:textFill>
            <w14:solidFill>
              <w14:schemeClr w14:val="tx1"/>
            </w14:solidFill>
          </w14:textFill>
        </w:rPr>
        <w:t>进度计划</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_Toc91082302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63DF88EB">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"_Toc91082303" </w:instrText>
      </w:r>
      <w:r>
        <w:fldChar w:fldCharType="separate"/>
      </w:r>
      <w:r>
        <w:rPr>
          <w:rStyle w:val="48"/>
          <w:b w:val="0"/>
          <w:color w:val="000000" w:themeColor="text1"/>
          <w:sz w:val="24"/>
          <w:szCs w:val="24"/>
          <w14:textFill>
            <w14:solidFill>
              <w14:schemeClr w14:val="tx1"/>
            </w14:solidFill>
          </w14:textFill>
        </w:rPr>
        <w:t>11.</w:t>
      </w:r>
      <w:r>
        <w:rPr>
          <w:rStyle w:val="48"/>
          <w:rFonts w:hint="eastAsia"/>
          <w:b w:val="0"/>
          <w:color w:val="000000" w:themeColor="text1"/>
          <w:sz w:val="24"/>
          <w:szCs w:val="24"/>
          <w14:textFill>
            <w14:solidFill>
              <w14:schemeClr w14:val="tx1"/>
            </w14:solidFill>
          </w14:textFill>
        </w:rPr>
        <w:t>开工和竣工</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27</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77C5CC0">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"_Toc91082304" </w:instrText>
      </w:r>
      <w:r>
        <w:fldChar w:fldCharType="separate"/>
      </w:r>
      <w:r>
        <w:rPr>
          <w:rStyle w:val="48"/>
          <w:b w:val="0"/>
          <w:color w:val="000000" w:themeColor="text1"/>
          <w:sz w:val="24"/>
          <w:szCs w:val="24"/>
          <w14:textFill>
            <w14:solidFill>
              <w14:schemeClr w14:val="tx1"/>
            </w14:solidFill>
          </w14:textFill>
        </w:rPr>
        <w:t>12.</w:t>
      </w:r>
      <w:r>
        <w:rPr>
          <w:rStyle w:val="48"/>
          <w:rFonts w:hint="eastAsia"/>
          <w:b w:val="0"/>
          <w:color w:val="000000" w:themeColor="text1"/>
          <w:sz w:val="24"/>
          <w:szCs w:val="24"/>
          <w14:textFill>
            <w14:solidFill>
              <w14:schemeClr w14:val="tx1"/>
            </w14:solidFill>
          </w14:textFill>
        </w:rPr>
        <w:t>暂停施工</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29</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1A7754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"_Toc91082305" </w:instrText>
      </w:r>
      <w:r>
        <w:fldChar w:fldCharType="separate"/>
      </w:r>
      <w:r>
        <w:rPr>
          <w:rStyle w:val="48"/>
          <w:b w:val="0"/>
          <w:color w:val="000000" w:themeColor="text1"/>
          <w:sz w:val="24"/>
          <w:szCs w:val="24"/>
          <w14:textFill>
            <w14:solidFill>
              <w14:schemeClr w14:val="tx1"/>
            </w14:solidFill>
          </w14:textFill>
        </w:rPr>
        <w:t>13.</w:t>
      </w:r>
      <w:r>
        <w:rPr>
          <w:rStyle w:val="48"/>
          <w:rFonts w:hint="eastAsia"/>
          <w:b w:val="0"/>
          <w:color w:val="000000" w:themeColor="text1"/>
          <w:sz w:val="24"/>
          <w:szCs w:val="24"/>
          <w14:textFill>
            <w14:solidFill>
              <w14:schemeClr w14:val="tx1"/>
            </w14:solidFill>
          </w14:textFill>
        </w:rPr>
        <w:t>工程质量</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30</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1EF57C1">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"_Toc91082306" </w:instrText>
      </w:r>
      <w:r>
        <w:fldChar w:fldCharType="separate"/>
      </w:r>
      <w:r>
        <w:rPr>
          <w:rStyle w:val="48"/>
          <w:b w:val="0"/>
          <w:color w:val="000000" w:themeColor="text1"/>
          <w:sz w:val="24"/>
          <w:szCs w:val="24"/>
          <w14:textFill>
            <w14:solidFill>
              <w14:schemeClr w14:val="tx1"/>
            </w14:solidFill>
          </w14:textFill>
        </w:rPr>
        <w:t>14.</w:t>
      </w:r>
      <w:r>
        <w:rPr>
          <w:rStyle w:val="48"/>
          <w:rFonts w:hint="eastAsia"/>
          <w:b w:val="0"/>
          <w:color w:val="000000" w:themeColor="text1"/>
          <w:sz w:val="24"/>
          <w:szCs w:val="24"/>
          <w14:textFill>
            <w14:solidFill>
              <w14:schemeClr w14:val="tx1"/>
            </w14:solidFill>
          </w14:textFill>
        </w:rPr>
        <w:t>试验和检验</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39E1ADD">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"_Toc91082307" </w:instrText>
      </w:r>
      <w:r>
        <w:fldChar w:fldCharType="separate"/>
      </w:r>
      <w:r>
        <w:rPr>
          <w:rStyle w:val="48"/>
          <w:b w:val="0"/>
          <w:color w:val="000000" w:themeColor="text1"/>
          <w:sz w:val="24"/>
          <w:szCs w:val="24"/>
          <w14:textFill>
            <w14:solidFill>
              <w14:schemeClr w14:val="tx1"/>
            </w14:solidFill>
          </w14:textFill>
        </w:rPr>
        <w:t>15.</w:t>
      </w:r>
      <w:r>
        <w:rPr>
          <w:rStyle w:val="48"/>
          <w:rFonts w:hint="eastAsia"/>
          <w:b w:val="0"/>
          <w:color w:val="000000" w:themeColor="text1"/>
          <w:sz w:val="24"/>
          <w:szCs w:val="24"/>
          <w14:textFill>
            <w14:solidFill>
              <w14:schemeClr w14:val="tx1"/>
            </w14:solidFill>
          </w14:textFill>
        </w:rPr>
        <w:t>变更</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6421AFAC">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"_Toc91082308" </w:instrText>
      </w:r>
      <w:r>
        <w:fldChar w:fldCharType="separate"/>
      </w:r>
      <w:r>
        <w:rPr>
          <w:rStyle w:val="48"/>
          <w:b w:val="0"/>
          <w:color w:val="000000" w:themeColor="text1"/>
          <w:sz w:val="24"/>
          <w:szCs w:val="24"/>
          <w14:textFill>
            <w14:solidFill>
              <w14:schemeClr w14:val="tx1"/>
            </w14:solidFill>
          </w14:textFill>
        </w:rPr>
        <w:t>16.</w:t>
      </w:r>
      <w:r>
        <w:rPr>
          <w:rStyle w:val="48"/>
          <w:rFonts w:hint="eastAsia"/>
          <w:b w:val="0"/>
          <w:color w:val="000000" w:themeColor="text1"/>
          <w:sz w:val="24"/>
          <w:szCs w:val="24"/>
          <w14:textFill>
            <w14:solidFill>
              <w14:schemeClr w14:val="tx1"/>
            </w14:solidFill>
          </w14:textFill>
        </w:rPr>
        <w:t>价格调整</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A1EEACF">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"_Toc91082309" </w:instrText>
      </w:r>
      <w:r>
        <w:fldChar w:fldCharType="separate"/>
      </w:r>
      <w:r>
        <w:rPr>
          <w:rStyle w:val="48"/>
          <w:b w:val="0"/>
          <w:color w:val="000000" w:themeColor="text1"/>
          <w:sz w:val="24"/>
          <w:szCs w:val="24"/>
          <w14:textFill>
            <w14:solidFill>
              <w14:schemeClr w14:val="tx1"/>
            </w14:solidFill>
          </w14:textFill>
        </w:rPr>
        <w:t>17.</w:t>
      </w:r>
      <w:r>
        <w:rPr>
          <w:rStyle w:val="48"/>
          <w:rFonts w:hint="eastAsia"/>
          <w:b w:val="0"/>
          <w:color w:val="000000" w:themeColor="text1"/>
          <w:sz w:val="24"/>
          <w:szCs w:val="24"/>
          <w14:textFill>
            <w14:solidFill>
              <w14:schemeClr w14:val="tx1"/>
            </w14:solidFill>
          </w14:textFill>
        </w:rPr>
        <w:t>计量与支付</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_Toc91082309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FF0B0AF">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"_Toc91082310" </w:instrText>
      </w:r>
      <w:r>
        <w:fldChar w:fldCharType="separate"/>
      </w:r>
      <w:r>
        <w:rPr>
          <w:rStyle w:val="48"/>
          <w:b w:val="0"/>
          <w:color w:val="000000" w:themeColor="text1"/>
          <w:sz w:val="24"/>
          <w:szCs w:val="24"/>
          <w14:textFill>
            <w14:solidFill>
              <w14:schemeClr w14:val="tx1"/>
            </w14:solidFill>
          </w14:textFill>
        </w:rPr>
        <w:t>18.</w:t>
      </w:r>
      <w:r>
        <w:rPr>
          <w:rStyle w:val="48"/>
          <w:rFonts w:hint="eastAsia"/>
          <w:b w:val="0"/>
          <w:color w:val="000000" w:themeColor="text1"/>
          <w:sz w:val="24"/>
          <w:szCs w:val="24"/>
          <w14:textFill>
            <w14:solidFill>
              <w14:schemeClr w14:val="tx1"/>
            </w14:solidFill>
          </w14:textFill>
        </w:rPr>
        <w:t>竣工验收</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_Toc91082310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EAB279D">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"_Toc91082311" </w:instrText>
      </w:r>
      <w:r>
        <w:fldChar w:fldCharType="separate"/>
      </w:r>
      <w:r>
        <w:rPr>
          <w:rStyle w:val="48"/>
          <w:b w:val="0"/>
          <w:color w:val="000000" w:themeColor="text1"/>
          <w:sz w:val="24"/>
          <w:szCs w:val="24"/>
          <w14:textFill>
            <w14:solidFill>
              <w14:schemeClr w14:val="tx1"/>
            </w14:solidFill>
          </w14:textFill>
        </w:rPr>
        <w:t>19.</w:t>
      </w:r>
      <w:r>
        <w:rPr>
          <w:rStyle w:val="48"/>
          <w:rFonts w:hint="eastAsia"/>
          <w:b w:val="0"/>
          <w:color w:val="000000" w:themeColor="text1"/>
          <w:sz w:val="24"/>
          <w:szCs w:val="24"/>
          <w14:textFill>
            <w14:solidFill>
              <w14:schemeClr w14:val="tx1"/>
            </w14:solidFill>
          </w14:textFill>
        </w:rPr>
        <w:t>缺陷责任与保修</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_Toc91082311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39</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8FF6B09">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"_Toc91082312" </w:instrText>
      </w:r>
      <w:r>
        <w:fldChar w:fldCharType="separate"/>
      </w:r>
      <w:r>
        <w:rPr>
          <w:rStyle w:val="48"/>
          <w:b w:val="0"/>
          <w:color w:val="000000" w:themeColor="text1"/>
          <w:sz w:val="24"/>
          <w:szCs w:val="24"/>
          <w14:textFill>
            <w14:solidFill>
              <w14:schemeClr w14:val="tx1"/>
            </w14:solidFill>
          </w14:textFill>
        </w:rPr>
        <w:t>20.</w:t>
      </w:r>
      <w:r>
        <w:rPr>
          <w:rStyle w:val="48"/>
          <w:rFonts w:hint="eastAsia"/>
          <w:b w:val="0"/>
          <w:color w:val="000000" w:themeColor="text1"/>
          <w:sz w:val="24"/>
          <w:szCs w:val="24"/>
          <w14:textFill>
            <w14:solidFill>
              <w14:schemeClr w14:val="tx1"/>
            </w14:solidFill>
          </w14:textFill>
        </w:rPr>
        <w:t>保险</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_Toc91082312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263D5E7">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"_Toc91082313" </w:instrText>
      </w:r>
      <w:r>
        <w:fldChar w:fldCharType="separate"/>
      </w:r>
      <w:r>
        <w:rPr>
          <w:rStyle w:val="48"/>
          <w:b w:val="0"/>
          <w:color w:val="000000" w:themeColor="text1"/>
          <w:sz w:val="24"/>
          <w:szCs w:val="24"/>
          <w14:textFill>
            <w14:solidFill>
              <w14:schemeClr w14:val="tx1"/>
            </w14:solidFill>
          </w14:textFill>
        </w:rPr>
        <w:t>21.</w:t>
      </w:r>
      <w:r>
        <w:rPr>
          <w:rStyle w:val="48"/>
          <w:rFonts w:hint="eastAsia"/>
          <w:b w:val="0"/>
          <w:color w:val="000000" w:themeColor="text1"/>
          <w:sz w:val="24"/>
          <w:szCs w:val="24"/>
          <w14:textFill>
            <w14:solidFill>
              <w14:schemeClr w14:val="tx1"/>
            </w14:solidFill>
          </w14:textFill>
        </w:rPr>
        <w:t>不可抗力</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AF72228">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"_Toc91082314" </w:instrText>
      </w:r>
      <w:r>
        <w:fldChar w:fldCharType="separate"/>
      </w:r>
      <w:r>
        <w:rPr>
          <w:rStyle w:val="48"/>
          <w:b w:val="0"/>
          <w:color w:val="000000" w:themeColor="text1"/>
          <w:sz w:val="24"/>
          <w:szCs w:val="24"/>
          <w14:textFill>
            <w14:solidFill>
              <w14:schemeClr w14:val="tx1"/>
            </w14:solidFill>
          </w14:textFill>
        </w:rPr>
        <w:t>22.</w:t>
      </w:r>
      <w:r>
        <w:rPr>
          <w:rStyle w:val="48"/>
          <w:rFonts w:hint="eastAsia"/>
          <w:b w:val="0"/>
          <w:color w:val="000000" w:themeColor="text1"/>
          <w:sz w:val="24"/>
          <w:szCs w:val="24"/>
          <w14:textFill>
            <w14:solidFill>
              <w14:schemeClr w14:val="tx1"/>
            </w14:solidFill>
          </w14:textFill>
        </w:rPr>
        <w:t>违约</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FB9DC1D">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"_Toc91082315" </w:instrText>
      </w:r>
      <w:r>
        <w:fldChar w:fldCharType="separate"/>
      </w:r>
      <w:r>
        <w:rPr>
          <w:rStyle w:val="48"/>
          <w:b w:val="0"/>
          <w:color w:val="000000" w:themeColor="text1"/>
          <w:sz w:val="24"/>
          <w:szCs w:val="24"/>
          <w14:textFill>
            <w14:solidFill>
              <w14:schemeClr w14:val="tx1"/>
            </w14:solidFill>
          </w14:textFill>
        </w:rPr>
        <w:t>23.</w:t>
      </w:r>
      <w:r>
        <w:rPr>
          <w:rStyle w:val="48"/>
          <w:rFonts w:hint="eastAsia"/>
          <w:b w:val="0"/>
          <w:color w:val="000000" w:themeColor="text1"/>
          <w:sz w:val="24"/>
          <w:szCs w:val="24"/>
          <w14:textFill>
            <w14:solidFill>
              <w14:schemeClr w14:val="tx1"/>
            </w14:solidFill>
          </w14:textFill>
        </w:rPr>
        <w:t>争议的解决</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6641E5FB">
      <w:pPr>
        <w:pStyle w:val="56"/>
        <w:adjustRightInd/>
        <w:spacing w:line="440" w:lineRule="exact"/>
        <w:ind w:firstLine="0" w:firstLine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fldChar w:fldCharType="end"/>
      </w:r>
    </w:p>
    <w:p w14:paraId="0213C15E">
      <w:pPr>
        <w:pStyle w:val="56"/>
        <w:ind w:firstLine="0" w:firstLineChars="0"/>
        <w:rPr>
          <w:rFonts w:ascii="仿宋" w:hAnsi="仿宋" w:eastAsia="仿宋"/>
          <w:color w:val="000000" w:themeColor="text1"/>
          <w14:textFill>
            <w14:solidFill>
              <w14:schemeClr w14:val="tx1"/>
            </w14:solidFill>
          </w14:textFill>
        </w:rPr>
      </w:pPr>
    </w:p>
    <w:p w14:paraId="7507CD04">
      <w:pPr>
        <w:pStyle w:val="77"/>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44" w:name="_Toc47512231"/>
      <w:bookmarkStart w:id="45" w:name="_Toc407355994"/>
      <w:bookmarkStart w:id="46" w:name="_Toc25459"/>
      <w:bookmarkStart w:id="47" w:name="_Toc91082293"/>
      <w:bookmarkStart w:id="48" w:name="_Toc2981"/>
      <w:bookmarkStart w:id="49" w:name="_Toc44227982"/>
      <w:bookmarkStart w:id="50" w:name="_Toc44492407"/>
      <w:bookmarkStart w:id="51" w:name="p2"/>
      <w:r>
        <w:rPr>
          <w:rFonts w:hint="eastAsia"/>
          <w:color w:val="000000" w:themeColor="text1"/>
          <w14:textFill>
            <w14:solidFill>
              <w14:schemeClr w14:val="tx1"/>
            </w14:solidFill>
          </w14:textFill>
        </w:rPr>
        <w:t>1.一般约定</w:t>
      </w:r>
      <w:bookmarkEnd w:id="43"/>
      <w:bookmarkEnd w:id="44"/>
      <w:bookmarkEnd w:id="45"/>
      <w:bookmarkEnd w:id="46"/>
      <w:bookmarkEnd w:id="47"/>
      <w:bookmarkEnd w:id="48"/>
      <w:bookmarkEnd w:id="49"/>
      <w:bookmarkEnd w:id="50"/>
    </w:p>
    <w:p w14:paraId="75794183">
      <w:pPr>
        <w:pStyle w:val="81"/>
        <w:ind w:firstLine="480"/>
        <w:rPr>
          <w:color w:val="000000" w:themeColor="text1"/>
          <w14:textFill>
            <w14:solidFill>
              <w14:schemeClr w14:val="tx1"/>
            </w14:solidFill>
          </w14:textFill>
        </w:rPr>
      </w:pPr>
      <w:bookmarkStart w:id="52" w:name="_Toc23169"/>
      <w:bookmarkStart w:id="53" w:name="_Toc44492408"/>
      <w:bookmarkStart w:id="54" w:name="_Toc11898"/>
      <w:r>
        <w:rPr>
          <w:rFonts w:hint="eastAsia"/>
          <w:color w:val="000000" w:themeColor="text1"/>
          <w14:textFill>
            <w14:solidFill>
              <w14:schemeClr w14:val="tx1"/>
            </w14:solidFill>
          </w14:textFill>
        </w:rPr>
        <w:t>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词语定义</w:t>
      </w:r>
      <w:bookmarkEnd w:id="52"/>
      <w:bookmarkEnd w:id="53"/>
      <w:bookmarkEnd w:id="54"/>
    </w:p>
    <w:p w14:paraId="5F29AD0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下列词语除专用条款另有约定外，应具有本条所赋予的定义：</w:t>
      </w:r>
    </w:p>
    <w:p w14:paraId="2F08EF93">
      <w:pPr>
        <w:pStyle w:val="79"/>
        <w:ind w:firstLine="482"/>
        <w:rPr>
          <w:color w:val="000000" w:themeColor="text1"/>
          <w14:textFill>
            <w14:solidFill>
              <w14:schemeClr w14:val="tx1"/>
            </w14:solidFill>
          </w14:textFill>
        </w:rPr>
      </w:pPr>
      <w:bookmarkStart w:id="55" w:name="_Toc20030"/>
      <w:r>
        <w:rPr>
          <w:rFonts w:hint="eastAsia"/>
          <w:color w:val="000000" w:themeColor="text1"/>
          <w14:textFill>
            <w14:solidFill>
              <w14:schemeClr w14:val="tx1"/>
            </w14:solidFill>
          </w14:textFill>
        </w:rPr>
        <w:t>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w:t>
      </w:r>
      <w:bookmarkEnd w:id="55"/>
    </w:p>
    <w:p w14:paraId="17A132E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合同文件（或称合同或本合同）：指协议书、补充合同、通用条款、专用条款、合同附件、图纸、已标价工程量及单价清单、招标文件、投标文件以及经双方认可的其他有关书面文件。</w:t>
      </w:r>
    </w:p>
    <w:p w14:paraId="2BD790A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技术标准和要求：是指构成合同的、施工应当遵守的或指导施工的国家、行业或地方的技术标准和要求，以及合同约定的技术标准和要求。</w:t>
      </w:r>
    </w:p>
    <w:p w14:paraId="6924F01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图纸：指包含在合同中的工程图纸，以及合同履行中由发包人按合同约定提供或批准的任何补充和修改的图纸，包括配套的说明等。</w:t>
      </w:r>
    </w:p>
    <w:p w14:paraId="08146B2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已标价工程量清单：指构成投标文件组成部分的由分包人按照规定的格式和要求填写并标明价格的工程量清单。</w:t>
      </w:r>
    </w:p>
    <w:p w14:paraId="305CE6A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中标通知书：指发包人/承包人通知分包人中标的函件。 </w:t>
      </w:r>
    </w:p>
    <w:p w14:paraId="39CBFFF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投标函：指构成投标文件组成部分的由分包人填写并签署的投标函。</w:t>
      </w:r>
    </w:p>
    <w:p w14:paraId="7E879AC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投标函附录：指附在投标函后构成合同文件的投标函附录。</w:t>
      </w:r>
    </w:p>
    <w:p w14:paraId="4923244A">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）变更：指图纸、技术标准和要求在设计、质量或数量上的改变包括工作的增减、变化、更换以及因发包人原因造成的施工条件的改变</w:t>
      </w:r>
      <w:r>
        <w:rPr>
          <w:color w:val="000000" w:themeColor="text1"/>
          <w14:textFill>
            <w14:solidFill>
              <w14:schemeClr w14:val="tx1"/>
            </w14:solidFill>
          </w14:textFill>
        </w:rPr>
        <w:t>。</w:t>
      </w:r>
    </w:p>
    <w:p w14:paraId="2AAED30D">
      <w:pPr>
        <w:pStyle w:val="79"/>
        <w:ind w:firstLine="482"/>
        <w:rPr>
          <w:color w:val="000000" w:themeColor="text1"/>
          <w14:textFill>
            <w14:solidFill>
              <w14:schemeClr w14:val="tx1"/>
            </w14:solidFill>
          </w14:textFill>
        </w:rPr>
      </w:pPr>
      <w:bookmarkStart w:id="56" w:name="_Toc16917"/>
      <w:r>
        <w:rPr>
          <w:rFonts w:hint="eastAsia"/>
          <w:color w:val="000000" w:themeColor="text1"/>
          <w14:textFill>
            <w14:solidFill>
              <w14:schemeClr w14:val="tx1"/>
            </w14:solidFill>
          </w14:textFill>
        </w:rPr>
        <w:t>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合同当事人和人员</w:t>
      </w:r>
      <w:bookmarkEnd w:id="56"/>
    </w:p>
    <w:p w14:paraId="46DD874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合同当事人:指承包人和（或）分包人。</w:t>
      </w:r>
    </w:p>
    <w:p w14:paraId="1AE0A23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发包人：指与承包人签订总承包合同的当事人。</w:t>
      </w:r>
    </w:p>
    <w:p w14:paraId="7BB391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发包人代表：指在专用条款中指明的，由发包人任命并派驻施工场地,在发包人授权的权限内行使发包人权利的代表。</w:t>
      </w:r>
    </w:p>
    <w:p w14:paraId="136E951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 承包人：指与发包人签订总承包合同的当事人。</w:t>
      </w:r>
    </w:p>
    <w:p w14:paraId="0B40B27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 承包人项目负责人：指承包人在总包合同专用条款中指定的负责施工管理和履行合同的代表。</w:t>
      </w:r>
    </w:p>
    <w:p w14:paraId="2A170FE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分包人：指与承包人签订协议书的当事人。</w:t>
      </w:r>
    </w:p>
    <w:p w14:paraId="1A7C207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分包人项目负责人：指在专用条款中指明的，分包人派驻施工场地的全权负责人。</w:t>
      </w:r>
    </w:p>
    <w:p w14:paraId="2A50899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监理人：指受发包人委托对合同履行实施管理的法人或其他组织。</w:t>
      </w:r>
    </w:p>
    <w:p w14:paraId="546E48D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总监理工程师（监理总监）：指经发包人同意后由监理人委派，代表监理人履行监理合同的现场负责人。</w:t>
      </w:r>
    </w:p>
    <w:p w14:paraId="4BF2000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造价咨询人：指发包人委托的负责本工程造价控制和管理的组织，以及取得该组织资格的合法继承人。</w:t>
      </w:r>
    </w:p>
    <w:p w14:paraId="222C509C">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设计人：指与发包人签订针对本工程设计合同的法人或其他组织。</w:t>
      </w:r>
    </w:p>
    <w:p w14:paraId="5AF2C33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顾问：指与发包人签订针对本工程顾问服务的法人或其他组织。</w:t>
      </w:r>
    </w:p>
    <w:p w14:paraId="25989A9C">
      <w:pPr>
        <w:pStyle w:val="79"/>
        <w:ind w:firstLine="482"/>
        <w:rPr>
          <w:color w:val="000000" w:themeColor="text1"/>
          <w14:textFill>
            <w14:solidFill>
              <w14:schemeClr w14:val="tx1"/>
            </w14:solidFill>
          </w14:textFill>
        </w:rPr>
      </w:pPr>
      <w:bookmarkStart w:id="57" w:name="_Toc11288"/>
      <w:r>
        <w:rPr>
          <w:rFonts w:hint="eastAsia"/>
          <w:color w:val="000000" w:themeColor="text1"/>
          <w14:textFill>
            <w14:solidFill>
              <w14:schemeClr w14:val="tx1"/>
            </w14:solidFill>
          </w14:textFill>
        </w:rPr>
        <w:t>1.1.3.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工程和设备</w:t>
      </w:r>
      <w:bookmarkEnd w:id="57"/>
    </w:p>
    <w:p w14:paraId="5F53F0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工程：指永久工程和（或）临时工程。</w:t>
      </w:r>
    </w:p>
    <w:p w14:paraId="43E0BC3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永久工程：指按合同约定建造并移交给发包人的工程，包括工程设备。</w:t>
      </w:r>
    </w:p>
    <w:p w14:paraId="3BD491D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临时工程：指为完成合同约定的永久工程所修建的各类临时性工程，不包括施工设备。</w:t>
      </w:r>
    </w:p>
    <w:p w14:paraId="1BD21DC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工程设备：指构成或计划构成永久工程一部分的机电设备、金属结构设备、仪器装置及其他类似的设备和装置。</w:t>
      </w:r>
    </w:p>
    <w:p w14:paraId="337CB2F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施工设备：指为完成合同约定的各项工作所需的设备、器具和其他物品，不包括临时工程和材料。</w:t>
      </w:r>
    </w:p>
    <w:p w14:paraId="1B26CF3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临时设施：指为完成合同约定的各项工作所服务的临时性生产和生活设施。</w:t>
      </w:r>
    </w:p>
    <w:p w14:paraId="657B3AD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分包人设备：指分包人自带的施工设备。</w:t>
      </w:r>
    </w:p>
    <w:p w14:paraId="00CE662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施工场地（或称工地、现场）：指用于合同工程施工的场所，以及在合同中指定作为施工场地组成部分的其他场所，包括永久占地和临时占地。</w:t>
      </w:r>
    </w:p>
    <w:p w14:paraId="3CAC38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永久占地：指为实施合同工程需永久占用的土地。</w:t>
      </w:r>
    </w:p>
    <w:p w14:paraId="6AB1C7C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临时占地：指为实施合同工程需临时占用的土地。</w:t>
      </w:r>
    </w:p>
    <w:p w14:paraId="4327DADE">
      <w:pPr>
        <w:pStyle w:val="79"/>
        <w:ind w:firstLine="482"/>
        <w:rPr>
          <w:color w:val="000000" w:themeColor="text1"/>
          <w14:textFill>
            <w14:solidFill>
              <w14:schemeClr w14:val="tx1"/>
            </w14:solidFill>
          </w14:textFill>
        </w:rPr>
      </w:pPr>
      <w:bookmarkStart w:id="58" w:name="_Toc8362"/>
      <w:r>
        <w:rPr>
          <w:rFonts w:hint="eastAsia"/>
          <w:color w:val="000000" w:themeColor="text1"/>
          <w14:textFill>
            <w14:solidFill>
              <w14:schemeClr w14:val="tx1"/>
            </w14:solidFill>
          </w14:textFill>
        </w:rPr>
        <w:t>1.1.4.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日期</w:t>
      </w:r>
      <w:bookmarkEnd w:id="58"/>
    </w:p>
    <w:p w14:paraId="4E4A19C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开工通知：指经发包人书面同意由监理人发出的通知分包人开工的函件。</w:t>
      </w:r>
    </w:p>
    <w:p w14:paraId="2E8C177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开工日期：指经发包人书面同意由监理人发出的开工通知中写明的开工日期。</w:t>
      </w:r>
    </w:p>
    <w:p w14:paraId="5EE6EB1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工期：指经发包人书面同意，承包人和分包人在协议书中约定的，按总日历天数（包括法定节假日）计算的从开工日期至竣工日期的天数。</w:t>
      </w:r>
    </w:p>
    <w:p w14:paraId="6164AA6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竣工日期：指经发包人书面同意，承包人和分包人在协议书中约定的本工程项目整体竣工验收合格日期。</w:t>
      </w:r>
    </w:p>
    <w:p w14:paraId="2EC32F1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 </w:t>
      </w:r>
      <w:r>
        <w:rPr>
          <w:color w:val="000000" w:themeColor="text1"/>
          <w14:textFill>
            <w14:solidFill>
              <w14:schemeClr w14:val="tx1"/>
            </w14:solidFill>
          </w14:textFill>
        </w:rPr>
        <w:t>项目整体竣工验收合格日期：指发包人与承包人约定的项目整体竣工验收合格日期。</w:t>
      </w:r>
    </w:p>
    <w:p w14:paraId="6A19C473">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天：除特别指明外，指日历天。合同中按天计算时间的，从开始之日计算，期限最后一天的截止时间为当天24:00。</w:t>
      </w:r>
    </w:p>
    <w:p w14:paraId="436392BC">
      <w:pPr>
        <w:pStyle w:val="79"/>
        <w:ind w:firstLine="482"/>
        <w:rPr>
          <w:color w:val="000000" w:themeColor="text1"/>
          <w14:textFill>
            <w14:solidFill>
              <w14:schemeClr w14:val="tx1"/>
            </w14:solidFill>
          </w14:textFill>
        </w:rPr>
      </w:pPr>
      <w:bookmarkStart w:id="59" w:name="_Toc24978"/>
      <w:r>
        <w:rPr>
          <w:rFonts w:hint="eastAsia"/>
          <w:color w:val="000000" w:themeColor="text1"/>
          <w14:textFill>
            <w14:solidFill>
              <w14:schemeClr w14:val="tx1"/>
            </w14:solidFill>
          </w14:textFill>
        </w:rPr>
        <w:t>1.1.5.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合同总价和费用</w:t>
      </w:r>
      <w:bookmarkEnd w:id="59"/>
    </w:p>
    <w:p w14:paraId="46CA12A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合同总价：指签订合同时协议书中写明的暂定合同总价， 已包括按已标价工程量清单所列工程量和综合单价所计价款、绿色施工安全防护措施费（又称安全文明施工防护措施费，下同）、暂估价及暂列金额。该暂定合同总价可按合同约定调整。分包人须承担</w:t>
      </w:r>
      <w:r>
        <w:rPr>
          <w:rFonts w:hint="eastAsia" w:ascii="宋体" w:hAnsi="宋体"/>
          <w:color w:val="000000" w:themeColor="text1"/>
          <w14:textFill>
            <w14:solidFill>
              <w14:schemeClr w14:val="tx1"/>
            </w14:solidFill>
          </w14:textFill>
        </w:rPr>
        <w:t>为履行此合同在中华人民共和国境内所必须缴纳的一切直接或间接税费及规费，包括但不限于增值税、企业所得税、个人所得税等以及国家及地方政府规定的其它一切税收及费用。此等税费及规费应已包括于合同价格和合同约定的各种款项内以及可能涉及的合同价格调整。</w:t>
      </w:r>
    </w:p>
    <w:p w14:paraId="2176C5F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费用：指为履行合同所发生的或将要发生的所有合理开支，包括管理费和应分摊的其他费用，但不包括利润。</w:t>
      </w:r>
    </w:p>
    <w:p w14:paraId="0A9EE95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暂估价：指发包人在工程量清单中给定的用于支付发生但暂时不能确定价格的材料、设备以及专业工程、服务的金额 。</w:t>
      </w:r>
    </w:p>
    <w:p w14:paraId="3477C4A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确认等的费用。</w:t>
      </w:r>
    </w:p>
    <w:p w14:paraId="6965253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计日工：指不能以实物量度的方法计价,而需以点工计算的零星工作。</w:t>
      </w:r>
    </w:p>
    <w:p w14:paraId="6D7893D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质量保证金：指承包人与分包人在合同中约定，从应付的工程款中预留，用以保证分包人在缺陷责任期内对建设工程出现的缺陷进行维修的资金。</w:t>
      </w:r>
    </w:p>
    <w:p w14:paraId="40EFC8BB">
      <w:pPr>
        <w:pStyle w:val="81"/>
        <w:ind w:firstLine="480"/>
        <w:rPr>
          <w:color w:val="000000" w:themeColor="text1"/>
          <w14:textFill>
            <w14:solidFill>
              <w14:schemeClr w14:val="tx1"/>
            </w14:solidFill>
          </w14:textFill>
        </w:rPr>
      </w:pPr>
      <w:bookmarkStart w:id="60" w:name="_Toc44492409"/>
      <w:bookmarkStart w:id="61" w:name="_Toc12894"/>
      <w:bookmarkStart w:id="62" w:name="_Toc24492"/>
      <w:r>
        <w:rPr>
          <w:rFonts w:hint="eastAsia"/>
          <w:color w:val="000000" w:themeColor="text1"/>
          <w14:textFill>
            <w14:solidFill>
              <w14:schemeClr w14:val="tx1"/>
            </w14:solidFill>
          </w14:textFill>
        </w:rPr>
        <w:t>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语言文字</w:t>
      </w:r>
      <w:bookmarkEnd w:id="60"/>
      <w:bookmarkEnd w:id="61"/>
      <w:bookmarkEnd w:id="62"/>
    </w:p>
    <w:p w14:paraId="556039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除专用术语外，合同使用的语言文字为中文，必要时专用术语应附有中文注释。若需要使用中文以外的语言文字，由合同当事人双方在专用条款内约定。</w:t>
      </w:r>
    </w:p>
    <w:p w14:paraId="24F630ED">
      <w:pPr>
        <w:pStyle w:val="81"/>
        <w:ind w:firstLine="480"/>
        <w:rPr>
          <w:color w:val="000000" w:themeColor="text1"/>
          <w14:textFill>
            <w14:solidFill>
              <w14:schemeClr w14:val="tx1"/>
            </w14:solidFill>
          </w14:textFill>
        </w:rPr>
      </w:pPr>
      <w:bookmarkStart w:id="63" w:name="_Toc3291"/>
      <w:bookmarkStart w:id="64" w:name="_Toc6885"/>
      <w:bookmarkStart w:id="65" w:name="_Toc44492410"/>
      <w:r>
        <w:rPr>
          <w:rFonts w:hint="eastAsia"/>
          <w:color w:val="000000" w:themeColor="text1"/>
          <w14:textFill>
            <w14:solidFill>
              <w14:schemeClr w14:val="tx1"/>
            </w14:solidFill>
          </w14:textFill>
        </w:rPr>
        <w:t>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适用法律、标准及规范</w:t>
      </w:r>
      <w:bookmarkEnd w:id="63"/>
      <w:bookmarkEnd w:id="64"/>
      <w:bookmarkEnd w:id="65"/>
    </w:p>
    <w:p w14:paraId="2D833ED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合同文件适用《中华人民共和国民法典》《中华人民共和国建筑法》《建设工程质量管理条例》《建设工程安全生产管理条例》等国家现行法律、法规和对本工程有管辖权的各级政府颁布的行政法规。需要特别明示的法律、行政法规由合同当事人双方在专用条款中约定。</w:t>
      </w:r>
    </w:p>
    <w:p w14:paraId="630FEE7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双方在专用条款内约定适用国家标准、规范的名称；没有国家标准、规范但有行业标准、规范的，约定适用行业标准、规范的名称；没有国家和行业标准、规范的，约定适用工程所在地地方标准、规范的名称。发包人要求使用国外标准、规范的，应负责提供中文译本。</w:t>
      </w:r>
    </w:p>
    <w:p w14:paraId="457763E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除上述第1.3.1条款所列技术标准及规范外，按专用条款约定本工程采用的其他技术标准及规范由承包人向分包人提出。</w:t>
      </w:r>
    </w:p>
    <w:p w14:paraId="65E6529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标准、规范之间如有差异，则分包人应无条件执行质量要求高的标准，且发包人无需为此额外支付任何费用，除非发包人另有指示。</w:t>
      </w:r>
    </w:p>
    <w:p w14:paraId="41D900E1">
      <w:pPr>
        <w:pStyle w:val="81"/>
        <w:ind w:firstLine="480"/>
        <w:rPr>
          <w:color w:val="000000" w:themeColor="text1"/>
          <w14:textFill>
            <w14:solidFill>
              <w14:schemeClr w14:val="tx1"/>
            </w14:solidFill>
          </w14:textFill>
        </w:rPr>
      </w:pPr>
      <w:bookmarkStart w:id="66" w:name="_Toc44492411"/>
      <w:bookmarkStart w:id="67" w:name="_Toc6311"/>
      <w:bookmarkStart w:id="68" w:name="_Toc4365"/>
      <w:r>
        <w:rPr>
          <w:rFonts w:hint="eastAsia"/>
          <w:color w:val="000000" w:themeColor="text1"/>
          <w14:textFill>
            <w14:solidFill>
              <w14:schemeClr w14:val="tx1"/>
            </w14:solidFill>
          </w14:textFill>
        </w:rPr>
        <w:t>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合同文件的优先顺序</w:t>
      </w:r>
      <w:bookmarkEnd w:id="66"/>
      <w:bookmarkEnd w:id="67"/>
      <w:bookmarkEnd w:id="68"/>
    </w:p>
    <w:p w14:paraId="58CF270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下列文件均为合同的组成部分，互为补充和解释。若合同文件中对本工程质量、进度、安全等要求有不一致的，分包人应在施工前通过承包人向发包人提出，除发包人和承包人明确指示分包人适用何种规定外，以对分包人义务、责任要求高者严者为准；其他内容出现不一致的，除本合同另有明文规定外，按以下排列在前者为准，同一顺序文件出现不一致的，以时间在后者为准；经发包人和承包人认定分包人的有关承诺比顺序在前的文件对发包人更有利的，就该承诺事项以该特定承诺为准。</w:t>
      </w:r>
    </w:p>
    <w:p w14:paraId="4EA8079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本合同的补充合同（若有）；</w:t>
      </w:r>
    </w:p>
    <w:p w14:paraId="1E50E15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协议书、本合同专用条款、通用条款及合同附件（若专用条款和通用条款有不一致的，则按照专用条款执行）；</w:t>
      </w:r>
    </w:p>
    <w:p w14:paraId="1234F3E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 技术标准和要求；</w:t>
      </w:r>
    </w:p>
    <w:p w14:paraId="4B93C4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图纸,已标价的工程量及单价清单（综合单价对应的工作内容及项目特征以已标价的工程量及单价清单为准）（另册）；</w:t>
      </w:r>
    </w:p>
    <w:p w14:paraId="64E3613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5）中标通知书；</w:t>
      </w:r>
    </w:p>
    <w:p w14:paraId="194E9B2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招标文件（另册）；</w:t>
      </w:r>
    </w:p>
    <w:p w14:paraId="2A07EFA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投标文件（另册，以符合招标文件和经发包人和承包人书面同意者为准,但投标文件承诺的投标人的义务、责任比招标文件更高更严者，适用该等对发包人和承包人有利的承诺）；</w:t>
      </w:r>
    </w:p>
    <w:p w14:paraId="0C9772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经双方认可的其他有关书面文件。</w:t>
      </w:r>
    </w:p>
    <w:p w14:paraId="4CC5B47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当本合同条款内容或本合同组成文件含糊不清或不相一致，并且不能依据合同约定的解释顺序阐述清楚时，以发包人的解释为准。</w:t>
      </w:r>
    </w:p>
    <w:p w14:paraId="2B9C04E9">
      <w:pPr>
        <w:pStyle w:val="81"/>
        <w:ind w:firstLine="480"/>
        <w:rPr>
          <w:color w:val="000000" w:themeColor="text1"/>
          <w14:textFill>
            <w14:solidFill>
              <w14:schemeClr w14:val="tx1"/>
            </w14:solidFill>
          </w14:textFill>
        </w:rPr>
      </w:pPr>
      <w:bookmarkStart w:id="69" w:name="_Toc8785"/>
      <w:bookmarkStart w:id="70" w:name="_Toc6825"/>
      <w:bookmarkStart w:id="71" w:name="_Toc44492412"/>
      <w:r>
        <w:rPr>
          <w:rFonts w:hint="eastAsia"/>
          <w:color w:val="000000" w:themeColor="text1"/>
          <w14:textFill>
            <w14:solidFill>
              <w14:schemeClr w14:val="tx1"/>
            </w14:solidFill>
          </w14:textFill>
        </w:rPr>
        <w:t>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协议书</w:t>
      </w:r>
      <w:bookmarkEnd w:id="69"/>
      <w:bookmarkEnd w:id="70"/>
      <w:bookmarkEnd w:id="71"/>
    </w:p>
    <w:p w14:paraId="7AA546F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分包人按中标通知书规定的时间与承包人签订协议书。</w:t>
      </w:r>
    </w:p>
    <w:p w14:paraId="619DC9EA">
      <w:pPr>
        <w:pStyle w:val="81"/>
        <w:ind w:firstLine="480"/>
        <w:rPr>
          <w:color w:val="000000" w:themeColor="text1"/>
          <w14:textFill>
            <w14:solidFill>
              <w14:schemeClr w14:val="tx1"/>
            </w14:solidFill>
          </w14:textFill>
        </w:rPr>
      </w:pPr>
      <w:bookmarkStart w:id="72" w:name="_Toc44492413"/>
      <w:bookmarkStart w:id="73" w:name="_Toc20209"/>
      <w:bookmarkStart w:id="74" w:name="_Toc16821"/>
      <w:r>
        <w:rPr>
          <w:rFonts w:hint="eastAsia"/>
          <w:color w:val="000000" w:themeColor="text1"/>
          <w14:textFill>
            <w14:solidFill>
              <w14:schemeClr w14:val="tx1"/>
            </w14:solidFill>
          </w14:textFill>
        </w:rPr>
        <w:t>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图纸和分包人文件</w:t>
      </w:r>
      <w:bookmarkEnd w:id="72"/>
      <w:bookmarkEnd w:id="73"/>
      <w:bookmarkEnd w:id="74"/>
    </w:p>
    <w:p w14:paraId="10E9F2A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承包人提供的图纸</w:t>
      </w:r>
    </w:p>
    <w:p w14:paraId="0689BA6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承包人提供的图纸和资料的数量与日期在专用条款中约定。分包人需要增加图纸套数的，承包人可代为复制，复制费用由分包人承担。</w:t>
      </w:r>
    </w:p>
    <w:p w14:paraId="1F7F0AD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设计图纸需要修改和(或)补充的，分包人应及时书面报告承包人。承包人收到书面报告确认需要修改和(或)补充后应及时通知发包人予以修改和(或)补充，并在合理的时间内按照合同当事人双方约定的时间和数量提供给分包人。分包人应按照发包人新提供的经设计人修改和(或)补充后的图纸施工。</w:t>
      </w:r>
    </w:p>
    <w:p w14:paraId="270EEE5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收到图纸后审查相关图纸中可能存在的不符合法律规定、适用标准、施工规范的任何错误、冲突，并在7天内通过承包人以书面方式报发包人及总监理工程师。对分包人已发现或作为有经验分包人应能发现的任何图纸的错漏碰缺，分包人未发现或发现后未及时报告承包人和发包人而造成工程造价增加或工期延误的，由分包人赔偿发包人损失，且工期不予延长。</w:t>
      </w:r>
    </w:p>
    <w:p w14:paraId="4124DA4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分包人有责任审核与本工程有关所有图纸，并作出协调和相应的配合，不论该等图纸是发自发包人和其它与本工程有关的施工单位。</w:t>
      </w:r>
    </w:p>
    <w:p w14:paraId="4111ED9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分包人保证只将图纸用于本合同履行，不得将图纸的任何部分泄漏给其他无关的第三方。除非因履行合同而必需，否则不经发包人同意，分包人不得为第三方复印、使用、或传输上述文件。</w:t>
      </w:r>
    </w:p>
    <w:p w14:paraId="0A94FAA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分包人提供的图纸</w:t>
      </w:r>
    </w:p>
    <w:p w14:paraId="4B0AB7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需要分包人进行深化设计的，分包人应具有相应的设计资质或委托具有相应设计资质的单位进行设计，并对工程设计的质量负责。分包人应当将相关图纸、规范、计算书及其他资料按专用条款约定的时间及数量报送承包人及监理人，并经监理人报发包人批准。</w:t>
      </w:r>
    </w:p>
    <w:p w14:paraId="7D45E88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分包人在本工程竣工后14天内，须按照专用条款约定的数量提交完整的竣工图给发包人使用，并配合竣工资料归档相关工作，此作为发包人进行工程竣工结算的前提条件。</w:t>
      </w:r>
    </w:p>
    <w:p w14:paraId="41D49618">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1.6.3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承包人逾期提供图纸</w:t>
      </w:r>
    </w:p>
    <w:p w14:paraId="45AD153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如果承包人收到发包人提供的图纸后，未能按照本合同1.6.1项约定的图纸供应计划向分包人提供合同图纸，并且分包人认为这种行为将要对工程进展造成影响，分包人应就此以书面形式通知承包人、发包人和监理人，同时说明所缺图纸的具体细节并解释该图纸的延误将如何影响工程的进展以及为避免这种影响该图纸必须提供的最晚时间。如果在该最晚时间以前，承包人因发包人原因仍然未能向分包人提供所需的图纸，则分包人应就此进一步通知承包人、发包人和监理人。如果确实影响了关键线路的施工，双方进行协商。</w:t>
      </w:r>
    </w:p>
    <w:p w14:paraId="2156B017">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）如果承包人之所以不能按约定提供图纸，是因为分包人未能提交合同约定应由其提交的图纸或提交的图纸有误，或是因为分包人的其他错误、拖延或其它违约所致，分包人无权要求发包人赔偿损失及顺延工期。</w:t>
      </w:r>
    </w:p>
    <w:p w14:paraId="23A4DB6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）如果分包人未能按本项上述约定通知承包人及发包人，分包人无权要求延长工期。</w:t>
      </w:r>
    </w:p>
    <w:p w14:paraId="4A7DB2A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图纸和分包人文件的保管</w:t>
      </w:r>
    </w:p>
    <w:p w14:paraId="539BF7E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把一整套的合同文件包括图纸、规范和已标价的工程量清单连同工程开始后签发的一切指示、附加图纸、补充工料规范、资料表和细节存放在工地，以便承包人、发包人、监理人及其工程顾问可随时查阅参考。不论本合同因何种原因中止或终止，分包人均应将前述所有资料无条件交付予承包人及发包人。此作为承包人及发包人进行工程竣工结算的前提条件。</w:t>
      </w:r>
    </w:p>
    <w:p w14:paraId="33C25E4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不论是发包人负责提供的还是分包人自费复印或自行深化设计的图纸，其知识产权都属于发包人所有，分包人不得将图纸用于任何本工程施工以外的目的。</w:t>
      </w:r>
    </w:p>
    <w:p w14:paraId="7D0023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作为一个具备相应专业资质及丰富施工经验的承包商，在查阅合同文件或在本工程实施过程中，发现有关的工程设计、工程技术要求、施工图纸或其他资料中有任何差错、遗漏或缺陷，应在施工前不少于三十（30）天前向承包人及发包人提出书面意见。如分包人作为一个专业的有经验的承包商本应发现上述差错、遗漏或缺陷而未发现，或已发现却隐瞒不报，并继续施工，因而导致的质量缺陷、返工修复、工期延误、以及发包人、其他分包人和其他人的经济损失与工期延误等责任，由此造成损失的50%由分包人承担。如分包人已在上述时间内通过承包人向发包人提出发现差错、遗漏或缺陷的书面意见，而发包人及承包人仍决定按原要求施工的，分包人应予以执行。</w:t>
      </w:r>
    </w:p>
    <w:p w14:paraId="32ADB09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1.6.5  施工方案 </w:t>
      </w:r>
    </w:p>
    <w:p w14:paraId="63A6B6B5">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1)</w:t>
      </w:r>
      <w:r>
        <w:rPr>
          <w:rFonts w:hint="eastAsia" w:ascii="Times New Roman" w:hAnsi="Times New Roman" w:eastAsia="仿宋_GB2312"/>
          <w:color w:val="000000" w:themeColor="text1"/>
          <w:kern w:val="0"/>
          <w:szCs w:val="32"/>
          <w14:textFill>
            <w14:solidFill>
              <w14:schemeClr w14:val="tx1"/>
            </w14:solidFill>
          </w14:textFill>
        </w:rPr>
        <w:tab/>
      </w:r>
      <w:r>
        <w:rPr>
          <w:rFonts w:hint="eastAsia" w:ascii="Times New Roman" w:hAnsi="Times New Roman" w:eastAsia="仿宋_GB2312"/>
          <w:color w:val="000000" w:themeColor="text1"/>
          <w:kern w:val="0"/>
          <w:szCs w:val="32"/>
          <w14:textFill>
            <w14:solidFill>
              <w14:schemeClr w14:val="tx1"/>
            </w14:solidFill>
          </w14:textFill>
        </w:rPr>
        <w:t>施工方案由分包人负责编制，经承包人及监理人报发包人书面确认后方可实施。</w:t>
      </w:r>
    </w:p>
    <w:p w14:paraId="6F62A066">
      <w:pPr>
        <w:ind w:left="720" w:leftChars="200" w:hanging="240" w:hangingChars="1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2)</w:t>
      </w:r>
      <w:r>
        <w:rPr>
          <w:rFonts w:hint="eastAsia" w:ascii="Times New Roman" w:hAnsi="Times New Roman" w:eastAsia="仿宋_GB2312"/>
          <w:color w:val="000000" w:themeColor="text1"/>
          <w:kern w:val="0"/>
          <w:szCs w:val="32"/>
          <w14:textFill>
            <w14:solidFill>
              <w14:schemeClr w14:val="tx1"/>
            </w14:solidFill>
          </w14:textFill>
        </w:rPr>
        <w:tab/>
      </w:r>
      <w:r>
        <w:rPr>
          <w:rFonts w:hint="eastAsia" w:ascii="Times New Roman" w:hAnsi="Times New Roman" w:eastAsia="仿宋_GB2312"/>
          <w:color w:val="000000" w:themeColor="text1"/>
          <w:kern w:val="0"/>
          <w:szCs w:val="32"/>
          <w14:textFill>
            <w14:solidFill>
              <w14:schemeClr w14:val="tx1"/>
            </w14:solidFill>
          </w14:textFill>
        </w:rPr>
        <w:t>符合以下特点的工作需要编制施工方案：危险性较大、工序较多、工作时间长、涉及多个单位配合、需要协调完成、其他需要报发包人的工作。</w:t>
      </w:r>
    </w:p>
    <w:p w14:paraId="36D28E08">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3）施工方案不作为本合同工程变更、价格调整、工程量增减、计价计量方式调整、技术标准调整等的依据。</w:t>
      </w:r>
    </w:p>
    <w:p w14:paraId="09717B10">
      <w:pPr>
        <w:pStyle w:val="81"/>
        <w:ind w:firstLine="480"/>
        <w:rPr>
          <w:color w:val="000000" w:themeColor="text1"/>
          <w14:textFill>
            <w14:solidFill>
              <w14:schemeClr w14:val="tx1"/>
            </w14:solidFill>
          </w14:textFill>
        </w:rPr>
      </w:pPr>
      <w:bookmarkStart w:id="75" w:name="_Toc7891"/>
      <w:bookmarkStart w:id="76" w:name="_Toc44492414"/>
      <w:bookmarkStart w:id="77" w:name="_Toc17332"/>
      <w:r>
        <w:rPr>
          <w:rFonts w:hint="eastAsia"/>
          <w:color w:val="000000" w:themeColor="text1"/>
          <w14:textFill>
            <w14:solidFill>
              <w14:schemeClr w14:val="tx1"/>
            </w14:solidFill>
          </w14:textFill>
        </w:rPr>
        <w:t>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转让</w:t>
      </w:r>
      <w:bookmarkEnd w:id="75"/>
      <w:bookmarkEnd w:id="76"/>
      <w:bookmarkEnd w:id="77"/>
    </w:p>
    <w:p w14:paraId="659A64C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除合同另有约定外，未经承包人及发包人同意，分包人不得将合同权利全部或部分转让给第三人，也不得全部或部分转移合同义务。</w:t>
      </w:r>
    </w:p>
    <w:p w14:paraId="6A8DE6B6">
      <w:pPr>
        <w:pStyle w:val="81"/>
        <w:ind w:firstLine="480"/>
        <w:rPr>
          <w:color w:val="000000" w:themeColor="text1"/>
          <w14:textFill>
            <w14:solidFill>
              <w14:schemeClr w14:val="tx1"/>
            </w14:solidFill>
          </w14:textFill>
        </w:rPr>
      </w:pPr>
      <w:bookmarkStart w:id="78" w:name="_Toc25034"/>
      <w:bookmarkStart w:id="79" w:name="_Toc44492415"/>
      <w:bookmarkStart w:id="80" w:name="_Toc17478"/>
      <w:r>
        <w:rPr>
          <w:rFonts w:hint="eastAsia"/>
          <w:color w:val="000000" w:themeColor="text1"/>
          <w14:textFill>
            <w14:solidFill>
              <w14:schemeClr w14:val="tx1"/>
            </w14:solidFill>
          </w14:textFill>
        </w:rPr>
        <w:t>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严禁贿赂</w:t>
      </w:r>
      <w:bookmarkEnd w:id="78"/>
      <w:bookmarkEnd w:id="79"/>
      <w:bookmarkEnd w:id="80"/>
    </w:p>
    <w:p w14:paraId="2208820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合同当事人双方不得以贿赂或变相贿赂的方式，谋取不当利益或损害对方权益。因贿赂造成对方损失的，行为人应赔偿损失，并承担相应的法律责任。</w:t>
      </w:r>
    </w:p>
    <w:p w14:paraId="0474DE8A">
      <w:pPr>
        <w:pStyle w:val="81"/>
        <w:ind w:firstLine="480"/>
        <w:rPr>
          <w:color w:val="000000" w:themeColor="text1"/>
          <w14:textFill>
            <w14:solidFill>
              <w14:schemeClr w14:val="tx1"/>
            </w14:solidFill>
          </w14:textFill>
        </w:rPr>
      </w:pPr>
      <w:bookmarkStart w:id="81" w:name="_Toc16087"/>
      <w:bookmarkStart w:id="82" w:name="_Toc44492416"/>
      <w:bookmarkStart w:id="83" w:name="_Toc4474"/>
      <w:r>
        <w:rPr>
          <w:rFonts w:hint="eastAsia"/>
          <w:color w:val="000000" w:themeColor="text1"/>
          <w14:textFill>
            <w14:solidFill>
              <w14:schemeClr w14:val="tx1"/>
            </w14:solidFill>
          </w14:textFill>
        </w:rPr>
        <w:t>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文物和地下障碍物</w:t>
      </w:r>
      <w:bookmarkEnd w:id="81"/>
      <w:bookmarkEnd w:id="82"/>
      <w:bookmarkEnd w:id="83"/>
    </w:p>
    <w:p w14:paraId="61725F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施工中发现古墓、古建筑遗址等文物及化石或其他有考古、地质研究等价值的物品时，分包人应立即保护好现场并于4小时内以书面形式通知承包人、发包人及监理人，承包人、发包人及监理人应于收到书面通知后24小时内报告当地文物管理部门，合同当事人双方按文物管理部门的要求采取妥善保护措施。由此导致工期延误超过7天的，顺延延误的工期。如发现后隐瞒不报，致使文物遭受破坏，责任者依法承担相应责任。</w:t>
      </w:r>
    </w:p>
    <w:p w14:paraId="46D1668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1.9.2.施工中发现影响施工的地下障碍物时，分包人应于8小时内以书面形式通知承包人及发包人，同时提出处置方案，承包人及发包人收到处置方案后24小时内予以认可或提出修正方案。承包人顺延延误的工期。所发现的地下障碍物有归属单位时，由发包人报请有关部门协同处置。</w:t>
      </w:r>
    </w:p>
    <w:p w14:paraId="0F9F2915">
      <w:pPr>
        <w:pStyle w:val="81"/>
        <w:ind w:firstLine="480"/>
        <w:rPr>
          <w:color w:val="000000" w:themeColor="text1"/>
          <w14:textFill>
            <w14:solidFill>
              <w14:schemeClr w14:val="tx1"/>
            </w14:solidFill>
          </w14:textFill>
        </w:rPr>
      </w:pPr>
      <w:bookmarkStart w:id="84" w:name="_Toc15474"/>
      <w:bookmarkStart w:id="85" w:name="_Toc44492417"/>
      <w:bookmarkStart w:id="86" w:name="_Toc21868"/>
      <w:r>
        <w:rPr>
          <w:rFonts w:hint="eastAsia"/>
          <w:color w:val="000000" w:themeColor="text1"/>
          <w14:textFill>
            <w14:solidFill>
              <w14:schemeClr w14:val="tx1"/>
            </w14:solidFill>
          </w14:textFill>
        </w:rPr>
        <w:t>1.10.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专利技术及特殊工艺</w:t>
      </w:r>
      <w:bookmarkEnd w:id="84"/>
      <w:bookmarkEnd w:id="85"/>
      <w:bookmarkEnd w:id="86"/>
    </w:p>
    <w:p w14:paraId="4030BA6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1.10.1.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分包人提出使用专利技术或特殊工艺，应取得承包人及发包人认可，分包人负责办理申报手续并承担有关费用。</w:t>
      </w:r>
    </w:p>
    <w:p w14:paraId="7613227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保证为本工程项目所提交的全部设计文件或产品、设备等未侵犯第三方的知识产权。若分包人所提供的设计文件或产品、设备等涉嫌侵犯第三方知识产权或其他权利的，分包人必须自费负责妥善解决，使承包人及发包人免遭任何损失，免于承担任何责任；若承包人及发包人被牵连诉讼或仲裁，法院或仲裁机构裁判发包人败诉，或任何调解、和解协议规定承包人或发包人需要向第三方支付赔偿或费用及/或承担其他法律责任的，应由分包人全额赔偿及/或承担其他法律责任；分包人须在法院或仲裁机构生效法律文书或该等协议书指定的支付期限到期前，按该等文件指定的款项先行赔付给承包人或发包人。</w:t>
      </w:r>
    </w:p>
    <w:p w14:paraId="52AF2147">
      <w:pPr>
        <w:pStyle w:val="81"/>
        <w:ind w:firstLine="480"/>
        <w:rPr>
          <w:color w:val="000000" w:themeColor="text1"/>
          <w14:textFill>
            <w14:solidFill>
              <w14:schemeClr w14:val="tx1"/>
            </w14:solidFill>
          </w14:textFill>
        </w:rPr>
      </w:pPr>
      <w:bookmarkStart w:id="87" w:name="_Toc44492418"/>
      <w:bookmarkStart w:id="88" w:name="_Toc5448"/>
      <w:bookmarkStart w:id="89" w:name="_Toc6747"/>
      <w:r>
        <w:rPr>
          <w:rFonts w:hint="eastAsia"/>
          <w:color w:val="000000" w:themeColor="text1"/>
          <w14:textFill>
            <w14:solidFill>
              <w14:schemeClr w14:val="tx1"/>
            </w14:solidFill>
          </w14:textFill>
        </w:rPr>
        <w:t>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图纸和文件的保密</w:t>
      </w:r>
      <w:bookmarkEnd w:id="87"/>
      <w:bookmarkEnd w:id="88"/>
      <w:bookmarkEnd w:id="89"/>
    </w:p>
    <w:p w14:paraId="36CDFE8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用于本合同的图纸和文件，未经发包人及承包人同意，分包人不得为合同以外的目的泄露给他人或公开发表与引用。</w:t>
      </w:r>
    </w:p>
    <w:p w14:paraId="0CBABA5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分包人提供的文件，未经分包人同意，发包人、监理人及承包人不得为合同以外的目的泄露给他人或公开发表与引用。</w:t>
      </w:r>
    </w:p>
    <w:p w14:paraId="1ECC971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分包人应履行保密义务，未经发包人同意，不得翻印、外传所有有关工程的资料包括文件、图纸、样板等，不得将本工程图纸及发包人或承包人提供的样板转给第三人。</w:t>
      </w:r>
    </w:p>
    <w:p w14:paraId="79D643E5">
      <w:pPr>
        <w:pStyle w:val="77"/>
        <w:rPr>
          <w:color w:val="000000" w:themeColor="text1"/>
          <w14:textFill>
            <w14:solidFill>
              <w14:schemeClr w14:val="tx1"/>
            </w14:solidFill>
          </w14:textFill>
        </w:rPr>
      </w:pPr>
      <w:bookmarkStart w:id="90" w:name="_Toc9731"/>
      <w:bookmarkStart w:id="91" w:name="_Toc407355995"/>
      <w:bookmarkStart w:id="92" w:name="_Toc44492419"/>
      <w:bookmarkStart w:id="93" w:name="_Toc44227983"/>
      <w:bookmarkStart w:id="94" w:name="_Toc7917"/>
      <w:bookmarkStart w:id="95" w:name="_Toc47512232"/>
      <w:bookmarkStart w:id="96" w:name="_Toc91082294"/>
      <w:r>
        <w:rPr>
          <w:rFonts w:hint="eastAsia"/>
          <w:color w:val="000000" w:themeColor="text1"/>
          <w14:textFill>
            <w14:solidFill>
              <w14:schemeClr w14:val="tx1"/>
            </w14:solidFill>
          </w14:textFill>
        </w:rPr>
        <w:t>2.</w:t>
      </w:r>
      <w:bookmarkEnd w:id="90"/>
      <w:bookmarkEnd w:id="91"/>
      <w:bookmarkEnd w:id="92"/>
      <w:bookmarkEnd w:id="93"/>
      <w:bookmarkEnd w:id="94"/>
      <w:bookmarkEnd w:id="95"/>
      <w:r>
        <w:rPr>
          <w:rFonts w:hint="eastAsia"/>
          <w:color w:val="000000" w:themeColor="text1"/>
          <w14:textFill>
            <w14:solidFill>
              <w14:schemeClr w14:val="tx1"/>
            </w14:solidFill>
          </w14:textFill>
        </w:rPr>
        <w:t>承包人</w:t>
      </w:r>
      <w:bookmarkEnd w:id="96"/>
    </w:p>
    <w:p w14:paraId="42730787">
      <w:pPr>
        <w:pStyle w:val="81"/>
        <w:ind w:firstLine="480"/>
        <w:rPr>
          <w:color w:val="000000" w:themeColor="text1"/>
          <w14:textFill>
            <w14:solidFill>
              <w14:schemeClr w14:val="tx1"/>
            </w14:solidFill>
          </w14:textFill>
        </w:rPr>
      </w:pPr>
      <w:bookmarkStart w:id="97" w:name="_Toc12683"/>
      <w:bookmarkStart w:id="98" w:name="_Toc17930"/>
      <w:bookmarkStart w:id="99" w:name="_Toc44492420"/>
      <w:r>
        <w:rPr>
          <w:rFonts w:hint="eastAsia"/>
          <w:color w:val="000000" w:themeColor="text1"/>
          <w14:textFill>
            <w14:solidFill>
              <w14:schemeClr w14:val="tx1"/>
            </w14:solidFill>
          </w14:textFill>
        </w:rPr>
        <w:t>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承包人代表</w:t>
      </w:r>
      <w:bookmarkEnd w:id="97"/>
      <w:bookmarkEnd w:id="98"/>
      <w:bookmarkEnd w:id="99"/>
    </w:p>
    <w:p w14:paraId="7506FE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承包人应任命承包人代表负责处理施工现场与发包人有关的具体事宜。承包人代表在承包人授权的权限内的行为由承包人承担法律责任。承包人代表姓名、职务在专用条款内写明。</w:t>
      </w:r>
    </w:p>
    <w:p w14:paraId="175E1D5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承包人代表的权限为：负责工程建设的内外部关系协调，对工程建设进行监督管理。承包人赋予的其他权限在专用条款中写明。</w:t>
      </w:r>
    </w:p>
    <w:p w14:paraId="2F26C5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本合同内容的任何修订、增加或减少项目、款项的支付、设计变更等，需要另外获得发包人的授权，并加盖承包人公章方可生效。在任何情形下，承包人代表都没有修改本合同的权利。分包人确知，承包人代表签署的可能修改合同条款的任何文件均无效。</w:t>
      </w:r>
    </w:p>
    <w:p w14:paraId="5E4CEDF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如更换承包人代表，承包人应以书面形式通知分包人，后任继续行使合同文件约定的前任的职权，履行前任的义务。</w:t>
      </w:r>
    </w:p>
    <w:p w14:paraId="53087AF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承包人代表可委派代表行使合同约定给自己的职权，并可在必要时撤回，委派和撤回均应以书面形式通知分包人。</w:t>
      </w:r>
    </w:p>
    <w:p w14:paraId="3C5C9416">
      <w:pPr>
        <w:pStyle w:val="81"/>
        <w:ind w:firstLine="480"/>
        <w:rPr>
          <w:color w:val="000000" w:themeColor="text1"/>
          <w14:textFill>
            <w14:solidFill>
              <w14:schemeClr w14:val="tx1"/>
            </w14:solidFill>
          </w14:textFill>
        </w:rPr>
      </w:pPr>
      <w:bookmarkStart w:id="100" w:name="_Toc25962"/>
      <w:bookmarkStart w:id="101" w:name="_Toc26489"/>
      <w:bookmarkStart w:id="102" w:name="_Toc44492421"/>
      <w:r>
        <w:rPr>
          <w:rFonts w:hint="eastAsia"/>
          <w:color w:val="000000" w:themeColor="text1"/>
          <w14:textFill>
            <w14:solidFill>
              <w14:schemeClr w14:val="tx1"/>
            </w14:solidFill>
          </w14:textFill>
        </w:rPr>
        <w:t>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承包人一般权利义务</w:t>
      </w:r>
      <w:bookmarkEnd w:id="100"/>
      <w:bookmarkEnd w:id="101"/>
      <w:bookmarkEnd w:id="102"/>
    </w:p>
    <w:p w14:paraId="32A27F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为保证进度、质量、绿色施工安全防护措施、销售配合等，承包人有权对所有相关事项发出指令进行变更或调整，包括但不限于：对设计图纸进行变更、调整工程量、调整施工进度、顺序和工艺、施工现场布置等。</w:t>
      </w:r>
    </w:p>
    <w:p w14:paraId="66E48B8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如分包人不按合同要求或发包人指令进行施工，承包人有权要求分包人暂停施工，待整改完毕后报承包人、发包人和监理验收通过后方可复工，由此造成的工期延误及经济损失由分包人负责。</w:t>
      </w:r>
    </w:p>
    <w:p w14:paraId="3C48285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承包人有权直接随时向分包人发出任何为达到施工、竣工或保修目的的图纸或指令，分包人应遵照执行并受其约束。</w:t>
      </w:r>
    </w:p>
    <w:p w14:paraId="63BD822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承包人完成以下工作：</w:t>
      </w:r>
    </w:p>
    <w:p w14:paraId="61E884EC">
      <w:pPr>
        <w:adjustRightInd w:val="0"/>
        <w:snapToGrid w:val="0"/>
        <w:ind w:firstLine="426"/>
        <w:jc w:val="left"/>
        <w:outlineLvl w:val="3"/>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在分包人应先行充分审图的前提下，发包人组织承包人、分包人和设计人进行图纸会审及设计交底。设计交底后，分包人应当继续审查相关图纸中可能存在的不符合法律规定、适用标准、施工规范的任何错误、冲突，并在专用条款约定的时间内以书面方式报承包人、发包人及监理人。</w:t>
      </w:r>
    </w:p>
    <w:p w14:paraId="5CB224E6">
      <w:pPr>
        <w:adjustRightInd w:val="0"/>
        <w:snapToGrid w:val="0"/>
        <w:ind w:firstLine="426"/>
        <w:jc w:val="left"/>
        <w:outlineLvl w:val="3"/>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2）及时支付合同款项。</w:t>
      </w:r>
    </w:p>
    <w:p w14:paraId="0CFC3BB2">
      <w:pPr>
        <w:adjustRightInd w:val="0"/>
        <w:snapToGrid w:val="0"/>
        <w:ind w:firstLine="426"/>
        <w:jc w:val="left"/>
        <w:outlineLvl w:val="3"/>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3）其他由承包人完成的工作在专用条款中约定。</w:t>
      </w:r>
    </w:p>
    <w:p w14:paraId="68921DA7">
      <w:pPr>
        <w:pStyle w:val="56"/>
        <w:ind w:firstLine="480"/>
        <w:rPr>
          <w:snapToGrid w:val="0"/>
          <w:color w:val="000000" w:themeColor="text1"/>
          <w14:textFill>
            <w14:solidFill>
              <w14:schemeClr w14:val="tx1"/>
            </w14:solidFill>
          </w14:textFill>
        </w:rPr>
      </w:pPr>
      <w:r>
        <w:rPr>
          <w:rFonts w:hint="eastAsia"/>
          <w:color w:val="000000" w:themeColor="text1"/>
          <w14:textFill>
            <w14:solidFill>
              <w14:schemeClr w14:val="tx1"/>
            </w14:solidFill>
          </w14:textFill>
        </w:rPr>
        <w:t>2.2.5.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施工所需水、电、电讯线路说明：</w:t>
      </w:r>
    </w:p>
    <w:p w14:paraId="45105786">
      <w:pPr>
        <w:pStyle w:val="6"/>
        <w:keepNext w:val="0"/>
        <w:keepLines w:val="0"/>
        <w:numPr>
          <w:ilvl w:val="0"/>
          <w:numId w:val="2"/>
        </w:numPr>
        <w:adjustRightInd w:val="0"/>
        <w:snapToGrid w:val="0"/>
        <w:spacing w:before="0" w:after="0" w:line="360" w:lineRule="auto"/>
        <w:ind w:left="0" w:firstLine="420" w:firstLineChars="200"/>
        <w:jc w:val="left"/>
        <w:rPr>
          <w:rFonts w:ascii="Times New Roman" w:hAnsi="Times New Roman" w:eastAsia="仿宋_GB2312"/>
          <w:b w:val="0"/>
          <w:bCs w:val="0"/>
          <w:color w:val="000000" w:themeColor="text1"/>
          <w:kern w:val="0"/>
          <w:sz w:val="21"/>
          <w:szCs w:val="32"/>
          <w14:textFill>
            <w14:solidFill>
              <w14:schemeClr w14:val="tx1"/>
            </w14:solidFill>
          </w14:textFill>
        </w:rPr>
      </w:pPr>
      <w:r>
        <w:rPr>
          <w:rFonts w:hint="eastAsia" w:ascii="Times New Roman" w:hAnsi="Times New Roman" w:eastAsia="仿宋_GB2312"/>
          <w:b w:val="0"/>
          <w:bCs w:val="0"/>
          <w:color w:val="000000" w:themeColor="text1"/>
          <w:kern w:val="0"/>
          <w:sz w:val="21"/>
          <w:szCs w:val="32"/>
          <w14:textFill>
            <w14:solidFill>
              <w14:schemeClr w14:val="tx1"/>
            </w14:solidFill>
          </w14:textFill>
        </w:rPr>
        <w:t>施工所需水、电按专用条款中相关要求提供。</w:t>
      </w:r>
    </w:p>
    <w:p w14:paraId="72EE110E">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通讯线路由分包人自行解决。</w:t>
      </w:r>
    </w:p>
    <w:p w14:paraId="413AC56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承包人委托分包人办理的具体工作内容及费用由合同当事人双方在专用条款内进行约定。</w:t>
      </w:r>
    </w:p>
    <w:p w14:paraId="2ECD6510">
      <w:pPr>
        <w:pStyle w:val="77"/>
        <w:rPr>
          <w:color w:val="000000" w:themeColor="text1"/>
          <w14:textFill>
            <w14:solidFill>
              <w14:schemeClr w14:val="tx1"/>
            </w14:solidFill>
          </w14:textFill>
        </w:rPr>
      </w:pPr>
      <w:bookmarkStart w:id="103" w:name="_Toc18190"/>
      <w:bookmarkStart w:id="104" w:name="_Toc47512233"/>
      <w:bookmarkStart w:id="105" w:name="_Toc28563"/>
      <w:bookmarkStart w:id="106" w:name="_Toc91082295"/>
      <w:bookmarkStart w:id="107" w:name="_Toc407355996"/>
      <w:bookmarkStart w:id="108" w:name="_Toc44227984"/>
      <w:bookmarkStart w:id="109" w:name="_Toc44492422"/>
      <w:r>
        <w:rPr>
          <w:rFonts w:hint="eastAsia"/>
          <w:color w:val="000000" w:themeColor="text1"/>
          <w14:textFill>
            <w14:solidFill>
              <w14:schemeClr w14:val="tx1"/>
            </w14:solidFill>
          </w14:textFill>
        </w:rPr>
        <w:t>3.监理人及造价咨询人</w:t>
      </w:r>
      <w:bookmarkEnd w:id="103"/>
      <w:bookmarkEnd w:id="104"/>
      <w:bookmarkEnd w:id="105"/>
      <w:bookmarkEnd w:id="106"/>
      <w:bookmarkEnd w:id="107"/>
      <w:bookmarkEnd w:id="108"/>
      <w:bookmarkEnd w:id="109"/>
    </w:p>
    <w:p w14:paraId="03D3F6E6">
      <w:pPr>
        <w:pStyle w:val="81"/>
        <w:ind w:firstLine="480"/>
        <w:rPr>
          <w:color w:val="000000" w:themeColor="text1"/>
          <w14:textFill>
            <w14:solidFill>
              <w14:schemeClr w14:val="tx1"/>
            </w14:solidFill>
          </w14:textFill>
        </w:rPr>
      </w:pPr>
      <w:bookmarkStart w:id="110" w:name="_Toc44492423"/>
      <w:bookmarkStart w:id="111" w:name="_Toc25831"/>
      <w:bookmarkStart w:id="112" w:name="_Toc17253"/>
      <w:r>
        <w:rPr>
          <w:rFonts w:hint="eastAsia"/>
          <w:color w:val="000000" w:themeColor="text1"/>
          <w14:textFill>
            <w14:solidFill>
              <w14:schemeClr w14:val="tx1"/>
            </w14:solidFill>
          </w14:textFill>
        </w:rPr>
        <w:t>3.1.</w:t>
      </w:r>
      <w:r>
        <w:rPr>
          <w:rFonts w:hint="eastAsia"/>
          <w:color w:val="000000" w:themeColor="text1"/>
          <w14:textFill>
            <w14:solidFill>
              <w14:schemeClr w14:val="tx1"/>
            </w14:solidFill>
          </w14:textFill>
        </w:rPr>
        <w:tab/>
      </w:r>
      <w:bookmarkEnd w:id="110"/>
      <w:bookmarkEnd w:id="111"/>
      <w:bookmarkEnd w:id="112"/>
      <w:r>
        <w:rPr>
          <w:rFonts w:hint="eastAsia"/>
          <w:color w:val="000000" w:themeColor="text1"/>
          <w14:textFill>
            <w14:solidFill>
              <w14:schemeClr w14:val="tx1"/>
            </w14:solidFill>
          </w14:textFill>
        </w:rPr>
        <w:t>监理人</w:t>
      </w:r>
    </w:p>
    <w:p w14:paraId="60B1EB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发包人应在实施监理前将委托的监理人名称、监理内容及监理权限以书面形式通知分包人。</w:t>
      </w:r>
    </w:p>
    <w:p w14:paraId="53DBF84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总监理工程师姓名、职务在专用条款内写明。</w:t>
      </w:r>
    </w:p>
    <w:p w14:paraId="7EAC213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监理人按发包人与监理人签署的监理委托合同的约定行使职权。</w:t>
      </w:r>
    </w:p>
    <w:p w14:paraId="307DAA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在任何情况下，监理人都无权修改本合同。监理人发出的通知、指示、同意、批准、证书、决定等，只要与本工程的暂定合同总价增减、工程变更、工程量增减、工程款数额、计量、计价、改变技术标准、改变施工方案、工期、改变工期、工程停工复工、索赔、处理事故、建筑使用功能、分包的范围与内容、分包人和供应商的选择、分包人主要管理人员的更换或撤回、工程验收以及其他可能影响发包人利益的事项有关，均须经过发包人的书面审核批准并加盖发包人公章，方可成为有约束力的文件，否则对发包人不具有约束力。监理人需要取得发包人批准才能行使的其他职权在专用条款里说明。</w:t>
      </w:r>
    </w:p>
    <w:p w14:paraId="79F6A32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本项目所有的监理人往来文件均需经总监理工程师或总监理工程师授权的代表签字、盖章后生效。</w:t>
      </w:r>
    </w:p>
    <w:p w14:paraId="45A526F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如需更换总监理工程师，发包人应以书面形式通知分包人，后任继续行使合同文件约定的前任的职权，履行前任的义务。</w:t>
      </w:r>
    </w:p>
    <w:p w14:paraId="05800C0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总监理工程师可按监理合同的约定委派代表行使合同约定给自己的职权，并可在必要时撤回，委派和撤回均应提前7天以书面形式通知分包人。</w:t>
      </w:r>
    </w:p>
    <w:p w14:paraId="516646F3">
      <w:pPr>
        <w:pStyle w:val="81"/>
        <w:ind w:firstLine="480"/>
        <w:rPr>
          <w:color w:val="000000" w:themeColor="text1"/>
          <w14:textFill>
            <w14:solidFill>
              <w14:schemeClr w14:val="tx1"/>
            </w14:solidFill>
          </w14:textFill>
        </w:rPr>
      </w:pPr>
      <w:bookmarkStart w:id="113" w:name="_Toc44492424"/>
      <w:bookmarkStart w:id="114" w:name="_Toc9075"/>
      <w:bookmarkStart w:id="115" w:name="_Toc24461"/>
      <w:r>
        <w:rPr>
          <w:rFonts w:hint="eastAsia"/>
          <w:color w:val="000000" w:themeColor="text1"/>
          <w14:textFill>
            <w14:solidFill>
              <w14:schemeClr w14:val="tx1"/>
            </w14:solidFill>
          </w14:textFill>
        </w:rPr>
        <w:t>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监理人的指示</w:t>
      </w:r>
      <w:bookmarkEnd w:id="113"/>
      <w:bookmarkEnd w:id="114"/>
      <w:bookmarkEnd w:id="115"/>
    </w:p>
    <w:p w14:paraId="0558C62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的指令以书面形式通过承包人交给分包人。确有必要时，监理人可发出口头指令，并在48小时内给予书面确认，承包人、分包人对指令应予执行。监理人不能及时给予书面确认的，承包人、分包人应于发出口头指令后7天内提出书面确认要求，分包人未提出要求的，责任由分包人承担。</w:t>
      </w:r>
    </w:p>
    <w:p w14:paraId="2330C81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监理人指令的签字、加盖公章的范围要求详见《监理合同》。</w:t>
      </w:r>
    </w:p>
    <w:p w14:paraId="6B4AD0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认为监理人指令不合理的，应在收到指令后24小时内通过承包人向监理人提出修改指令的书面报告，监理人在收到承包人报告后24小时内做出修改指令或继续执行原指令的决定，并以书面形式通过承包人通知分包人。紧急情况下，分包人虽有异议，但监理人决定仍继续执行的指令，分包人应予执行，分包人拒不执行指令的，属于分包人违约。</w:t>
      </w:r>
    </w:p>
    <w:p w14:paraId="07E8831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监理人在履行和行使其职权时，其任何行为不免除分包人履行本合同约定的任何职责和义务。</w:t>
      </w:r>
    </w:p>
    <w:p w14:paraId="71AEBA2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一般情况下，发包人和监理人的决定应是互补的和一致的；除非合同文件中另有约定，在发包人和监理人的决定出现矛盾或不一致时，发包人有最终决定权。</w:t>
      </w:r>
    </w:p>
    <w:p w14:paraId="7EA40822">
      <w:pPr>
        <w:pStyle w:val="81"/>
        <w:ind w:firstLine="480"/>
        <w:rPr>
          <w:color w:val="000000" w:themeColor="text1"/>
          <w14:textFill>
            <w14:solidFill>
              <w14:schemeClr w14:val="tx1"/>
            </w14:solidFill>
          </w14:textFill>
        </w:rPr>
      </w:pPr>
      <w:bookmarkStart w:id="116" w:name="_Toc28732"/>
      <w:bookmarkStart w:id="117" w:name="_Toc44492425"/>
      <w:bookmarkStart w:id="118" w:name="_Toc15978"/>
      <w:r>
        <w:rPr>
          <w:rFonts w:hint="eastAsia"/>
          <w:color w:val="000000" w:themeColor="text1"/>
          <w14:textFill>
            <w14:solidFill>
              <w14:schemeClr w14:val="tx1"/>
            </w14:solidFill>
          </w14:textFill>
        </w:rPr>
        <w:t>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造价咨询人</w:t>
      </w:r>
      <w:bookmarkEnd w:id="116"/>
      <w:bookmarkEnd w:id="117"/>
      <w:bookmarkEnd w:id="118"/>
    </w:p>
    <w:p w14:paraId="56B107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发包人有权将工程造价委托给造价咨询人管理。发包人委托造价咨询人的名称在专用条款中进行约定。</w:t>
      </w:r>
    </w:p>
    <w:p w14:paraId="317E79F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发包人委托造价咨询人的职权在专用条款里说明。</w:t>
      </w:r>
    </w:p>
    <w:p w14:paraId="0CDF812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造价咨询人就造价确认、工程款结算等问题进行的沟通、协商、确认仅为协商过程性的行为。除非发包人法定代表人签字并加盖发包人公章，任何形式的文件以及任何人的行为都不能视为发包人对工程结算的认可。发包人有权委托第三方进行造价咨询及审核。</w:t>
      </w:r>
    </w:p>
    <w:p w14:paraId="24F72146">
      <w:pPr>
        <w:pStyle w:val="77"/>
        <w:rPr>
          <w:color w:val="000000" w:themeColor="text1"/>
          <w14:textFill>
            <w14:solidFill>
              <w14:schemeClr w14:val="tx1"/>
            </w14:solidFill>
          </w14:textFill>
        </w:rPr>
      </w:pPr>
      <w:bookmarkStart w:id="119" w:name="_Toc47512234"/>
      <w:bookmarkStart w:id="120" w:name="_Toc407355997"/>
      <w:bookmarkStart w:id="121" w:name="_Toc4899"/>
      <w:bookmarkStart w:id="122" w:name="_Toc1200"/>
      <w:bookmarkStart w:id="123" w:name="_Toc44227985"/>
      <w:bookmarkStart w:id="124" w:name="_Toc44492426"/>
      <w:bookmarkStart w:id="125" w:name="_Toc91082296"/>
      <w:r>
        <w:rPr>
          <w:rFonts w:hint="eastAsia"/>
          <w:color w:val="000000" w:themeColor="text1"/>
          <w14:textFill>
            <w14:solidFill>
              <w14:schemeClr w14:val="tx1"/>
            </w14:solidFill>
          </w14:textFill>
        </w:rPr>
        <w:t>4.</w:t>
      </w:r>
      <w:bookmarkEnd w:id="119"/>
      <w:bookmarkEnd w:id="120"/>
      <w:bookmarkEnd w:id="121"/>
      <w:bookmarkEnd w:id="122"/>
      <w:bookmarkEnd w:id="123"/>
      <w:bookmarkEnd w:id="124"/>
      <w:r>
        <w:rPr>
          <w:rFonts w:hint="eastAsia"/>
          <w:color w:val="000000" w:themeColor="text1"/>
          <w14:textFill>
            <w14:solidFill>
              <w14:schemeClr w14:val="tx1"/>
            </w14:solidFill>
          </w14:textFill>
        </w:rPr>
        <w:t>分包人</w:t>
      </w:r>
      <w:bookmarkEnd w:id="125"/>
    </w:p>
    <w:p w14:paraId="1FDAC9DB">
      <w:pPr>
        <w:pStyle w:val="81"/>
        <w:ind w:firstLine="480"/>
        <w:rPr>
          <w:color w:val="000000" w:themeColor="text1"/>
          <w14:textFill>
            <w14:solidFill>
              <w14:schemeClr w14:val="tx1"/>
            </w14:solidFill>
          </w14:textFill>
        </w:rPr>
      </w:pPr>
      <w:bookmarkStart w:id="126" w:name="_Toc44492427"/>
      <w:bookmarkStart w:id="127" w:name="_Toc26575"/>
      <w:bookmarkStart w:id="128" w:name="_Toc20990"/>
      <w:r>
        <w:rPr>
          <w:rFonts w:hint="eastAsia"/>
          <w:color w:val="000000" w:themeColor="text1"/>
          <w14:textFill>
            <w14:solidFill>
              <w14:schemeClr w14:val="tx1"/>
            </w14:solidFill>
          </w14:textFill>
        </w:rPr>
        <w:t>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分包人的一般义务</w:t>
      </w:r>
      <w:bookmarkEnd w:id="126"/>
      <w:bookmarkEnd w:id="127"/>
      <w:bookmarkEnd w:id="128"/>
    </w:p>
    <w:p w14:paraId="105142C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完成以下各项承包工作</w:t>
      </w:r>
    </w:p>
    <w:p w14:paraId="4422CCC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实施、完成全部工程，并修补工程中的任何缺陷。除专用条款另有约定外，分包人应提供为完成合同工作所需的劳务、材料、施工设备、工程设备和其他物品，并按合同约定负责临时设施的设计、建造、运行、维护、管理和拆除。</w:t>
      </w:r>
    </w:p>
    <w:p w14:paraId="4CC70E5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根据发包人、承包人的委托，在其设计资质等级和业务允许的范围内，完成施工图设计或与工程配套的设计。</w:t>
      </w:r>
    </w:p>
    <w:p w14:paraId="12F51CB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对施工作业和施工方法的完备性负责</w:t>
      </w:r>
    </w:p>
    <w:p w14:paraId="276CBF0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分包人应按合同约定的工作内容和施工进度要求，编制施工组织设计和施工方案，并对所有施工作业和施工方法的完备性和安全可靠性负责。</w:t>
      </w:r>
    </w:p>
    <w:p w14:paraId="2EC4C0E1">
      <w:pPr>
        <w:pStyle w:val="56"/>
        <w:ind w:firstLine="480"/>
        <w:rPr>
          <w:color w:val="000000" w:themeColor="text1"/>
          <w14:textFill>
            <w14:solidFill>
              <w14:schemeClr w14:val="tx1"/>
            </w14:solidFill>
          </w14:textFill>
        </w:rPr>
      </w:pPr>
      <w:r>
        <w:rPr>
          <w:rFonts w:hint="eastAsia"/>
          <w:bCs/>
          <w:color w:val="000000" w:themeColor="text1"/>
          <w14:textFill>
            <w14:solidFill>
              <w14:schemeClr w14:val="tx1"/>
            </w14:solidFill>
          </w14:textFill>
        </w:rPr>
        <w:t>2）分包人负责办理各主管部门的相关报批报建验收手续，负责处理周边关系及相关政府部门关系，办理属于分包人承包范围内的有关证件。分包人负责办理施工临时占用道路手续并承担费用，发包人、承包人予以配合；使用临时路口、临时场地等保证金或押金由分包人负责缴纳，发包人、承包人配合提供有关资料。</w:t>
      </w:r>
    </w:p>
    <w:p w14:paraId="4EEC699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保证工程施工和人员的安全</w:t>
      </w:r>
    </w:p>
    <w:p w14:paraId="3CFF85A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分包人应按本合同约定采取施工安全措施，确保本合同工程及其人员、材料、设备和设施的安全，防止因工程施工造成的人身伤害和财产损失。</w:t>
      </w:r>
    </w:p>
    <w:p w14:paraId="1510E6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分包人应对所有工地作业和施工方法的适当性、可靠性及安全性负全责。在施工期间由于分包人原因而发生施工质量、安全事故，其责任及费用均由分包人负责并通过承包人报告发包人及有关部门。</w:t>
      </w:r>
    </w:p>
    <w:p w14:paraId="3ACD07D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负责施工场地及其周边环境与生态的保护工作</w:t>
      </w:r>
    </w:p>
    <w:p w14:paraId="3AD1F2C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分包人应按照合同约定负责施工场地及其周边环境与生态的保护工作。</w:t>
      </w:r>
    </w:p>
    <w:p w14:paraId="5D53980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分包人应遵守政府有关主管部门对施工场地交通、施工噪音以及环境保护、环境卫生和安全生产等的管理规定，按规定办理有关手续，并以书面形式通过承包人通知发包人，发生的费用由分包人承担。</w:t>
      </w:r>
    </w:p>
    <w:p w14:paraId="20EEC80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分包人应保证施工场地清洁符合环境卫生管理的有关要求，做到工完场清，即建筑垃圾须及时清运出场，否则承包人有权另行委托他人清理，发生的费用按在专用条款中约定处理。</w:t>
      </w:r>
    </w:p>
    <w:p w14:paraId="6CEC19D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避免施工对公众与他人的利益造成损害</w:t>
      </w:r>
    </w:p>
    <w:p w14:paraId="3DC03C5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在进行合同约定的各项工作时，不得侵害发包人与他人使用公用道路、水源、市政管网等公共设施的权利，避免对邻近的公共设施产生干扰。分包人占用或使用他人的施工场地，影响他人作业或生活的，应承担相应责任。</w:t>
      </w:r>
    </w:p>
    <w:p w14:paraId="5E0DFDB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因实施本工程而应向第三方支付的扰民费、噪音费、夜间施工费等由分包人负责，已经包含在分包人的合同暂定总价内。</w:t>
      </w:r>
    </w:p>
    <w:p w14:paraId="3F23683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为他人提供方便</w:t>
      </w:r>
    </w:p>
    <w:p w14:paraId="56A4A8C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分包人应按监理人的指示为他人在施工场地或附近实施与工程有关的其他各项工作提供可能的条件。</w:t>
      </w:r>
    </w:p>
    <w:p w14:paraId="468D0D6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分包人有责任在工程隐蔽验收、中间验收、竣工验收、档案验收过程中通过承包人为发包人提供与政府相关部门的沟通与协调的服务，并通过承包人协助发包人办理相应手续。</w:t>
      </w:r>
    </w:p>
    <w:p w14:paraId="44EAD9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分包人应负责处理好工地周边街道、社区、城管、治安、环保、安监等对本工程有管辖权的政府职能部门及机构的关系，以保证工程的顺利进行。</w:t>
      </w:r>
    </w:p>
    <w:p w14:paraId="0B66DE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必须按发包人或承包人要求的时间，将施工现场的临时设施及时拆除或清理，将施工人员（特别是施工班组人员）撤离施工现场，如分包人不能及时拆除或清理，发包人或现场监理人或承包人有权派人强行拆除并清理，造成的费用及责任均由分包人负责。</w:t>
      </w:r>
    </w:p>
    <w:p w14:paraId="69539C6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工程的维护和照管</w:t>
      </w:r>
    </w:p>
    <w:p w14:paraId="0897248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整体工程竣工验收合格前，分包人应负责照管和维护本合同工程，承担本合同工程交付前完工工程成品保护责任（具体约定见专用条款）。保护期间已完本合同工程发生损坏，分包人自费予以修复。</w:t>
      </w:r>
    </w:p>
    <w:p w14:paraId="345B057F">
      <w:pPr>
        <w:pStyle w:val="56"/>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4.1.8.分包人合规缴税和税费纠纷解决条款</w:t>
      </w:r>
    </w:p>
    <w:p w14:paraId="7FBDE9E1">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）分包人须遵从相关政府部门、事业单位的法律、条例和通知</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下称法定要求</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，并呈交所需的通知及申请，及支付所须的费用和税项</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下称法定费用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7081CEEE">
      <w:pPr>
        <w:pStyle w:val="56"/>
        <w:ind w:firstLine="480"/>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）若分包人未有缴交其应缴的法定费用，承包人可代缴该等法定费用，并从按本合同应付或将支付予分包人的款项中扣除；或以债项形式向分包人追讨；</w:t>
      </w:r>
    </w:p>
    <w:p w14:paraId="140789FB">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）分包人在收取工程款时，必须向承包人提供合法、有效及发包人按中国有关税务规定入账的发票。因分包人提供的发票不符合税务规定给承包人造成的损失，承包方应承担全部赔偿责任，赔偿包括但不限于：</w:t>
      </w:r>
      <w:r>
        <w:rPr>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承包人交纳的税款；</w:t>
      </w:r>
      <w:r>
        <w:rPr>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相关的滞纳金；</w:t>
      </w:r>
      <w:r>
        <w:rPr>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罚款。</w:t>
      </w:r>
    </w:p>
    <w:p w14:paraId="3561956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分包人的其它义务</w:t>
      </w:r>
    </w:p>
    <w:p w14:paraId="4081515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必须遵从承包人、监理人、发包人发出的指令，不得以指令所涉及的费用未确定为借口不执行或拖延执行。若分包人未有在合理时间之内执行已发出的指令，且在收到承包人催促执行的书面通知后7天之内仍未执行，则承包人或发包人有权聘请第三方执行该指示所要求的工作，由此产生的全部费用由分包人承担，承包人有权从本合同应付给分包人的款项中直接扣除。第三方完成的工作视为分包人完成工作，不减免分包人任何合同义务和责任。</w:t>
      </w:r>
    </w:p>
    <w:p w14:paraId="4554DD1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严格遵守国家、地方政府关于劳动合同、劳务用工的法律法规、女工、童工保护条例、职业健康与安全培训相关规定，及时足额支付员工薪酬和社保、劳务用工的劳务报酬。对承包人支付的工程款，分包人须优先用于支付所聘请员工薪酬和社保、劳务用工的劳务报酬。分包人有拖欠、克扣员工薪酬和社保、劳务用工的劳动劳务报酬行为的，承包人有权在分包人工程款中扣除相应款项，并直接支付给分包人所聘请员工、劳务用工。</w:t>
      </w:r>
    </w:p>
    <w:p w14:paraId="7DC12B8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于本合同约定分包人通过承包人提交给发包人审批、认可的事项，分包人均须预留给发包人充分合理的时间以便发包人正确的完成审批、认可。若因分包人迟交物料、样本、文件或工作并导致发包人没有充分合理的时间完成审批和认可，分包人需承担一切延误时间责任及经济责任。</w:t>
      </w:r>
    </w:p>
    <w:p w14:paraId="5A77B1A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分包人应遵守承包人及发包人发布的工程管理相关制度，并积极配合发包人的供方评估，评估中发现的问题分包人应积极改进。</w:t>
      </w:r>
    </w:p>
    <w:p w14:paraId="67FDA6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由于分包人原因在施工</w:t>
      </w:r>
      <w:r>
        <w:rPr>
          <w:rFonts w:hint="eastAsia"/>
          <w:color w:val="000000" w:themeColor="text1"/>
          <w14:textFill>
            <w14:solidFill>
              <w14:schemeClr w14:val="tx1"/>
            </w14:solidFill>
          </w14:textFill>
        </w:rPr>
        <w:t>场地</w:t>
      </w:r>
      <w:r>
        <w:rPr>
          <w:color w:val="000000" w:themeColor="text1"/>
          <w14:textFill>
            <w14:solidFill>
              <w14:schemeClr w14:val="tx1"/>
            </w14:solidFill>
          </w14:textFill>
        </w:rPr>
        <w:t>内及其毗邻造成的第三方人身</w:t>
      </w:r>
      <w:r>
        <w:rPr>
          <w:rFonts w:hint="eastAsia"/>
          <w:color w:val="000000" w:themeColor="text1"/>
          <w14:textFill>
            <w14:solidFill>
              <w14:schemeClr w14:val="tx1"/>
            </w14:solidFill>
          </w14:textFill>
        </w:rPr>
        <w:t>伤亡</w:t>
      </w:r>
      <w:r>
        <w:rPr>
          <w:color w:val="000000" w:themeColor="text1"/>
          <w14:textFill>
            <w14:solidFill>
              <w14:schemeClr w14:val="tx1"/>
            </w14:solidFill>
          </w14:textFill>
        </w:rPr>
        <w:t>和财产损失，由分包人负责赔偿和处理。</w:t>
      </w:r>
    </w:p>
    <w:p w14:paraId="1A38AA1F">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6）其它义务在专用条款中补充约定。</w:t>
      </w:r>
    </w:p>
    <w:p w14:paraId="006BE275">
      <w:pPr>
        <w:pStyle w:val="81"/>
        <w:ind w:firstLine="480"/>
        <w:rPr>
          <w:color w:val="000000" w:themeColor="text1"/>
          <w14:textFill>
            <w14:solidFill>
              <w14:schemeClr w14:val="tx1"/>
            </w14:solidFill>
          </w14:textFill>
        </w:rPr>
      </w:pPr>
      <w:bookmarkStart w:id="129" w:name="_Toc26162"/>
      <w:bookmarkStart w:id="130" w:name="_Toc44492428"/>
      <w:bookmarkStart w:id="131" w:name="_Toc28547"/>
      <w:r>
        <w:rPr>
          <w:rFonts w:hint="eastAsia"/>
          <w:color w:val="000000" w:themeColor="text1"/>
          <w14:textFill>
            <w14:solidFill>
              <w14:schemeClr w14:val="tx1"/>
            </w14:solidFill>
          </w14:textFill>
        </w:rPr>
        <w:t>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履约担保</w:t>
      </w:r>
      <w:bookmarkEnd w:id="129"/>
      <w:bookmarkEnd w:id="130"/>
      <w:bookmarkEnd w:id="131"/>
    </w:p>
    <w:p w14:paraId="6B01A1E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4.2.1分包人应向承包人提供履约保函，履约担保的格式见附件《履约保函》。分包人应按本合同所附履约保函格式，在合同签订后10天内向承包人提供不可撤销银行履约保函，其对承包人的保障不得低于合同所附履约保函格式的要求。履约保函的有效期从签发之日起至工程整体竣工验收符合要求且交付发包人使用（以时间较晚者为准）后第28天止。</w:t>
      </w:r>
    </w:p>
    <w:p w14:paraId="6C7E49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4.2.2分包人未严格按合同规定时间和格式提供履约保函的，经发包人书面确认，承包人可解除本合同。若承包人同意继续履行合同的，可以从应付给分包人的款项中扣除等额款项作为履约担保，直至分包人按合同规定格式提供履约担保至履约担保有效期结束时止。若分包人提供的履约保函有效期在4.2.1条款所要求的最长有效期前到期的，分包人应在其提供的履约保函到期前提前7天以上自动续期该履约保函，否则，承包人有权主张履约保函项下的全部金额，或从应付的合同价款中扣除等额款项作为履约担保。</w:t>
      </w:r>
    </w:p>
    <w:p w14:paraId="3E12CB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4.2.3履约保函的担保额度按专用条款约定。</w:t>
      </w:r>
    </w:p>
    <w:p w14:paraId="2AA4E04D">
      <w:pPr>
        <w:pStyle w:val="81"/>
        <w:ind w:firstLine="480"/>
        <w:rPr>
          <w:color w:val="000000" w:themeColor="text1"/>
          <w14:textFill>
            <w14:solidFill>
              <w14:schemeClr w14:val="tx1"/>
            </w14:solidFill>
          </w14:textFill>
        </w:rPr>
      </w:pPr>
      <w:bookmarkStart w:id="132" w:name="_Toc44492429"/>
      <w:bookmarkStart w:id="133" w:name="_Toc22100"/>
      <w:bookmarkStart w:id="134" w:name="_Toc22278"/>
      <w:r>
        <w:rPr>
          <w:rFonts w:hint="eastAsia"/>
          <w:color w:val="000000" w:themeColor="text1"/>
          <w14:textFill>
            <w14:solidFill>
              <w14:schemeClr w14:val="tx1"/>
            </w14:solidFill>
          </w14:textFill>
        </w:rPr>
        <w:t>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再分包</w:t>
      </w:r>
      <w:bookmarkEnd w:id="132"/>
      <w:bookmarkEnd w:id="133"/>
      <w:bookmarkEnd w:id="134"/>
    </w:p>
    <w:p w14:paraId="69102CE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本合同通用条款4.3.2的规定情况外，分包人不得将其承包的全部工程转包给第三人，不得将工程主体、关键性工作再分包给第三人,或将其承包的全部工程肢解后以分包的名义转包给第三人。分包人也不得将其承包的分包工程的全部或部分再分包给他人。如分包人将其承包的分包工程转包或再分包，将被视为违约，每次支付承包人2万元的违约金。</w:t>
      </w:r>
    </w:p>
    <w:p w14:paraId="15156D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分包人经承包人同意可以将劳务作业再分包给具有相应劳务分包资质的劳务分包企业。分包人应对再分包的劳务作业的质量等相关事宜进行督促和检查，并承担相关连带责任。</w:t>
      </w:r>
    </w:p>
    <w:p w14:paraId="31BEC887">
      <w:pPr>
        <w:pStyle w:val="81"/>
        <w:ind w:firstLine="480"/>
        <w:rPr>
          <w:color w:val="000000" w:themeColor="text1"/>
          <w14:textFill>
            <w14:solidFill>
              <w14:schemeClr w14:val="tx1"/>
            </w14:solidFill>
          </w14:textFill>
        </w:rPr>
      </w:pPr>
      <w:bookmarkStart w:id="135" w:name="_Toc13492"/>
      <w:bookmarkStart w:id="136" w:name="_Toc44492430"/>
      <w:bookmarkStart w:id="137" w:name="_Toc23812"/>
      <w:r>
        <w:rPr>
          <w:rFonts w:hint="eastAsia"/>
          <w:color w:val="000000" w:themeColor="text1"/>
          <w14:textFill>
            <w14:solidFill>
              <w14:schemeClr w14:val="tx1"/>
            </w14:solidFill>
          </w14:textFill>
        </w:rPr>
        <w:t>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w:t>
      </w:r>
      <w:bookmarkEnd w:id="135"/>
      <w:bookmarkEnd w:id="136"/>
      <w:bookmarkEnd w:id="137"/>
      <w:r>
        <w:rPr>
          <w:rFonts w:hint="eastAsia"/>
          <w:color w:val="000000" w:themeColor="text1"/>
          <w14:textFill>
            <w14:solidFill>
              <w14:schemeClr w14:val="tx1"/>
            </w14:solidFill>
          </w14:textFill>
        </w:rPr>
        <w:t>项目负责人</w:t>
      </w:r>
    </w:p>
    <w:p w14:paraId="18E14AE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项目负责人全权代表分包人对本工程的建设进行全面管理，行使合同约定的权利，履行合同约定的义务。项目负责人的姓名、职务在专用条款内写明，项目负责人必须常驻工地现场，其全部工作时间应用于本工程的管理，不得兼任其他工作。</w:t>
      </w:r>
    </w:p>
    <w:p w14:paraId="7E8005D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承包人及其授权代表给予项目负责人的任何指示将视为有效地给予了分包人。</w:t>
      </w:r>
    </w:p>
    <w:p w14:paraId="71A7CBF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对分包人项目负责人的管理要求在专用条款中说明。</w:t>
      </w:r>
    </w:p>
    <w:p w14:paraId="25C5CE6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分包人如需更换项目负责人，应至少提前7天将备选项目负责人资料通过承包人报发包人，征得承包人、发包人同意后方可更换项目负责人。后任继续行使合同文件约定的前任的职权，履行前任的义务。</w:t>
      </w:r>
    </w:p>
    <w:p w14:paraId="4C0791A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分包人为履行合同发出的一切函件均应盖有分包人授权的施工场地管理机构章，并由分包人项目负责人或其授权代表签字。</w:t>
      </w:r>
    </w:p>
    <w:p w14:paraId="5E1EEB5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项目负责人可以授权其下属人员履行其全部或部分职责，但应提前7日以上将这些人员的姓名和授权范围书面通知承包人、发包人和监理人，并经承包人、发包人和监理人书面同意后方可授权。任何授权或授权的撤销，应在承包人、发包人收到项目负责人签发的授权委托书或撤销授权的事先书面通知后生效。</w:t>
      </w:r>
    </w:p>
    <w:p w14:paraId="6E82720D">
      <w:pPr>
        <w:pStyle w:val="81"/>
        <w:ind w:firstLine="480"/>
        <w:rPr>
          <w:color w:val="000000" w:themeColor="text1"/>
          <w14:textFill>
            <w14:solidFill>
              <w14:schemeClr w14:val="tx1"/>
            </w14:solidFill>
          </w14:textFill>
        </w:rPr>
      </w:pPr>
      <w:bookmarkStart w:id="138" w:name="_Toc11855"/>
      <w:bookmarkStart w:id="139" w:name="_Toc44492431"/>
      <w:bookmarkStart w:id="140" w:name="_Toc11336"/>
      <w:r>
        <w:rPr>
          <w:rFonts w:hint="eastAsia"/>
          <w:color w:val="000000" w:themeColor="text1"/>
          <w14:textFill>
            <w14:solidFill>
              <w14:schemeClr w14:val="tx1"/>
            </w14:solidFill>
          </w14:textFill>
        </w:rPr>
        <w:t>4.5.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分包人人员的管理</w:t>
      </w:r>
      <w:bookmarkEnd w:id="138"/>
      <w:bookmarkEnd w:id="139"/>
      <w:bookmarkEnd w:id="140"/>
    </w:p>
    <w:p w14:paraId="563EECB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接到开工通知后28天内，通过承包人向监理人提交分包人在施工场地的管理机构以及人员安排的报告，其内容应包括管理机构的设置、各主要岗位的技术和管理人员名单及其资格的安排状况。分包人应通过承包人向监理人提交施工场地人员变动情况的报告。发包人或承包人对于其组成人员有异议的，分包人应提供证据证明被质疑人员有能力完成其岗位工作。</w:t>
      </w:r>
    </w:p>
    <w:p w14:paraId="79D5DE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为完成合同约定的各项工作，分包人应向施工场地派遣或雇佣足够数量的下列人员：</w:t>
      </w:r>
    </w:p>
    <w:p w14:paraId="110AC82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具有相应资格的专业技工和合格的普工；</w:t>
      </w:r>
    </w:p>
    <w:p w14:paraId="7DA15A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具有相应施工经验的技术人员；</w:t>
      </w:r>
    </w:p>
    <w:p w14:paraId="1A344A4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具有相应岗位资格的各级管理人员。</w:t>
      </w:r>
    </w:p>
    <w:p w14:paraId="688402A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分包人安排在施工场地的主要管理人员和技术骨干应相对稳定。分包人更换主要管理人员和技术骨干时，应取得承包人、监理人、发包人的同意。</w:t>
      </w:r>
    </w:p>
    <w:p w14:paraId="611B0F4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特殊岗位的工作人员均应持有相应的资格证明，监理人有权随时检查。监理人认为有必要时，可进行现场考核。</w:t>
      </w:r>
    </w:p>
    <w:p w14:paraId="234A4A3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4.5.5.分包人应自行承担施工人员的劳动报酬、社会保险和福利待遇等，办理工伤保险。分包人不得拖欠劳动报酬，若因分包人拖欠工人劳动报酬引起的一切法律、经济责任由分包人自行承担，若由此造成工程停工、工期延误或承包人由此导致的发包人的处罚的，由分包人负责赔偿。</w:t>
      </w:r>
    </w:p>
    <w:p w14:paraId="7A4A3EAE">
      <w:pPr>
        <w:pStyle w:val="81"/>
        <w:ind w:firstLine="480"/>
        <w:rPr>
          <w:color w:val="000000" w:themeColor="text1"/>
          <w14:textFill>
            <w14:solidFill>
              <w14:schemeClr w14:val="tx1"/>
            </w14:solidFill>
          </w14:textFill>
        </w:rPr>
      </w:pPr>
      <w:bookmarkStart w:id="141" w:name="_Toc44492432"/>
      <w:bookmarkStart w:id="142" w:name="_Toc23482"/>
      <w:bookmarkStart w:id="143" w:name="_Toc6831"/>
      <w:r>
        <w:rPr>
          <w:rFonts w:hint="eastAsia"/>
          <w:color w:val="000000" w:themeColor="text1"/>
          <w14:textFill>
            <w14:solidFill>
              <w14:schemeClr w14:val="tx1"/>
            </w14:solidFill>
          </w14:textFill>
        </w:rPr>
        <w:t>4.6.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撤换分包人项目负责人和其他人员</w:t>
      </w:r>
      <w:bookmarkEnd w:id="141"/>
      <w:bookmarkEnd w:id="142"/>
      <w:bookmarkEnd w:id="143"/>
    </w:p>
    <w:p w14:paraId="1670978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承包人应对其项目负责人和其他人员进行有效管理。发包人、监理人要求撤换不能胜任本职工作、行为不端或玩忽职守的分包人项目负责人和其他人员的，承包人应要求分包人予以撤换。</w:t>
      </w:r>
    </w:p>
    <w:p w14:paraId="64F6DB9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具体约定见专用条款。</w:t>
      </w:r>
    </w:p>
    <w:p w14:paraId="7897A435">
      <w:pPr>
        <w:pStyle w:val="81"/>
        <w:ind w:firstLine="480"/>
        <w:rPr>
          <w:color w:val="000000" w:themeColor="text1"/>
          <w14:textFill>
            <w14:solidFill>
              <w14:schemeClr w14:val="tx1"/>
            </w14:solidFill>
          </w14:textFill>
        </w:rPr>
      </w:pPr>
      <w:bookmarkStart w:id="144" w:name="_Toc31508"/>
      <w:bookmarkStart w:id="145" w:name="_Toc15216"/>
      <w:bookmarkStart w:id="146" w:name="_Toc44492433"/>
      <w:r>
        <w:rPr>
          <w:rFonts w:hint="eastAsia"/>
          <w:color w:val="000000" w:themeColor="text1"/>
          <w14:textFill>
            <w14:solidFill>
              <w14:schemeClr w14:val="tx1"/>
            </w14:solidFill>
          </w14:textFill>
        </w:rPr>
        <w:t>4.7.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保障分包人人员的合法权益</w:t>
      </w:r>
      <w:bookmarkEnd w:id="144"/>
      <w:bookmarkEnd w:id="145"/>
      <w:bookmarkEnd w:id="146"/>
    </w:p>
    <w:p w14:paraId="7FE03FC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分包人应与其雇佣的人员签订劳动合同，并按时发放工资。</w:t>
      </w:r>
    </w:p>
    <w:p w14:paraId="6F633A0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4.7.2.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分包人应为其雇佣人员提供必要的食宿条件，以及符合环境保护和卫生要求的生活环境，在远离城镇的施工场地，还应配备必要的伤病防治和急救的医务人员与医疗设施。</w:t>
      </w:r>
    </w:p>
    <w:p w14:paraId="1FC68E3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4.7.3.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国家有关劳动保护的规定，采取有效的防止粉尘、降低噪声、控制有害气体和保障高温、高寒、高空作业安全等劳动保护措施。其雇佣人员在施工中受到伤害的，分包人应立即采取有效措施进行抢救和治疗。</w:t>
      </w:r>
    </w:p>
    <w:p w14:paraId="11FFDEC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4.7.4.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w:t>
      </w:r>
      <w:r>
        <w:rPr>
          <w:color w:val="000000" w:themeColor="text1"/>
          <w14:textFill>
            <w14:solidFill>
              <w14:schemeClr w14:val="tx1"/>
            </w14:solidFill>
          </w14:textFill>
        </w:rPr>
        <w:t>有关法律</w:t>
      </w:r>
      <w:r>
        <w:rPr>
          <w:rFonts w:hint="eastAsia"/>
          <w:color w:val="000000" w:themeColor="text1"/>
          <w14:textFill>
            <w14:solidFill>
              <w14:schemeClr w14:val="tx1"/>
            </w14:solidFill>
          </w14:textFill>
        </w:rPr>
        <w:t>规定</w:t>
      </w:r>
      <w:r>
        <w:rPr>
          <w:color w:val="000000" w:themeColor="text1"/>
          <w14:textFill>
            <w14:solidFill>
              <w14:schemeClr w14:val="tx1"/>
            </w14:solidFill>
          </w14:textFill>
        </w:rPr>
        <w:t>和合同约定，为</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雇佣人员办理保险。</w:t>
      </w:r>
    </w:p>
    <w:p w14:paraId="2733DC76">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4.7.5.</w:t>
      </w:r>
      <w:r>
        <w:rPr>
          <w:rFonts w:hint="eastAsia"/>
          <w:color w:val="000000" w:themeColor="text1"/>
          <w14:textFill>
            <w14:solidFill>
              <w14:schemeClr w14:val="tx1"/>
            </w14:solidFill>
          </w14:textFill>
        </w:rPr>
        <w:t>分包人</w:t>
      </w:r>
      <w:r>
        <w:rPr>
          <w:color w:val="000000" w:themeColor="text1"/>
          <w14:textFill>
            <w14:solidFill>
              <w14:schemeClr w14:val="tx1"/>
            </w14:solidFill>
          </w14:textFill>
        </w:rPr>
        <w:t>应</w:t>
      </w:r>
      <w:r>
        <w:rPr>
          <w:rFonts w:hint="eastAsia"/>
          <w:color w:val="000000" w:themeColor="text1"/>
          <w14:textFill>
            <w14:solidFill>
              <w14:schemeClr w14:val="tx1"/>
            </w14:solidFill>
          </w14:textFill>
        </w:rPr>
        <w:t>负责处理其雇佣人员因工伤亡事故的善后事宜，</w:t>
      </w:r>
      <w:r>
        <w:rPr>
          <w:color w:val="000000" w:themeColor="text1"/>
          <w14:textFill>
            <w14:solidFill>
              <w14:schemeClr w14:val="tx1"/>
            </w14:solidFill>
          </w14:textFill>
        </w:rPr>
        <w:t>保障发包人和本工程不因其遭受任何滋扰，保障发</w:t>
      </w:r>
      <w:r>
        <w:rPr>
          <w:rFonts w:hint="eastAsia"/>
          <w:color w:val="000000" w:themeColor="text1"/>
          <w14:textFill>
            <w14:solidFill>
              <w14:schemeClr w14:val="tx1"/>
            </w14:solidFill>
          </w14:textFill>
        </w:rPr>
        <w:t>包</w:t>
      </w:r>
      <w:r>
        <w:rPr>
          <w:color w:val="000000" w:themeColor="text1"/>
          <w14:textFill>
            <w14:solidFill>
              <w14:schemeClr w14:val="tx1"/>
            </w14:solidFill>
          </w14:textFill>
        </w:rPr>
        <w:t>人不发生任何费用、损失</w:t>
      </w:r>
      <w:r>
        <w:rPr>
          <w:rFonts w:hint="eastAsia"/>
          <w:color w:val="000000" w:themeColor="text1"/>
          <w14:textFill>
            <w14:solidFill>
              <w14:schemeClr w14:val="tx1"/>
            </w14:solidFill>
          </w14:textFill>
        </w:rPr>
        <w:t>。</w:t>
      </w:r>
    </w:p>
    <w:p w14:paraId="5DD70561">
      <w:pPr>
        <w:pStyle w:val="81"/>
        <w:ind w:firstLine="480"/>
        <w:rPr>
          <w:color w:val="000000" w:themeColor="text1"/>
          <w14:textFill>
            <w14:solidFill>
              <w14:schemeClr w14:val="tx1"/>
            </w14:solidFill>
          </w14:textFill>
        </w:rPr>
      </w:pPr>
      <w:bookmarkStart w:id="147" w:name="_Toc22152"/>
      <w:bookmarkStart w:id="148" w:name="_Toc44492434"/>
      <w:bookmarkStart w:id="149" w:name="_Toc91"/>
      <w:r>
        <w:rPr>
          <w:rFonts w:hint="eastAsia"/>
          <w:color w:val="000000" w:themeColor="text1"/>
          <w14:textFill>
            <w14:solidFill>
              <w14:schemeClr w14:val="tx1"/>
            </w14:solidFill>
          </w14:textFill>
        </w:rPr>
        <w:t>4.8.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工程价款应专款专用</w:t>
      </w:r>
      <w:bookmarkEnd w:id="147"/>
      <w:bookmarkEnd w:id="148"/>
      <w:bookmarkEnd w:id="149"/>
    </w:p>
    <w:p w14:paraId="040E5CA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4.8.1.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承包人按合同约定支付给分包人的各项价款应专用于合同工程。</w:t>
      </w:r>
    </w:p>
    <w:p w14:paraId="22046F8A">
      <w:pPr>
        <w:pStyle w:val="81"/>
        <w:ind w:firstLine="480"/>
        <w:rPr>
          <w:color w:val="000000" w:themeColor="text1"/>
          <w14:textFill>
            <w14:solidFill>
              <w14:schemeClr w14:val="tx1"/>
            </w14:solidFill>
          </w14:textFill>
        </w:rPr>
      </w:pPr>
      <w:bookmarkStart w:id="150" w:name="_Toc4079"/>
      <w:bookmarkStart w:id="151" w:name="_Toc29091"/>
      <w:bookmarkStart w:id="152" w:name="_Toc44492435"/>
      <w:r>
        <w:rPr>
          <w:rFonts w:hint="eastAsia"/>
          <w:color w:val="000000" w:themeColor="text1"/>
          <w14:textFill>
            <w14:solidFill>
              <w14:schemeClr w14:val="tx1"/>
            </w14:solidFill>
          </w14:textFill>
        </w:rPr>
        <w:t>4.9.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分包人现场查勘</w:t>
      </w:r>
      <w:bookmarkEnd w:id="150"/>
      <w:bookmarkEnd w:id="151"/>
      <w:bookmarkEnd w:id="152"/>
      <w:r>
        <w:rPr>
          <w:rFonts w:hint="eastAsia"/>
          <w:color w:val="000000" w:themeColor="text1"/>
          <w14:textFill>
            <w14:solidFill>
              <w14:schemeClr w14:val="tx1"/>
            </w14:solidFill>
          </w14:textFill>
        </w:rPr>
        <w:t xml:space="preserve">                                                                                                           </w:t>
      </w:r>
    </w:p>
    <w:p w14:paraId="26F0AE0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4.9.</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对施工场地和周围环境进行查勘，并收集有关地质、水文、气象条件、交通条件、风俗习惯以及其他为完成合同工作有关的当地资料。在全部合同工作中，应视为分包人已充分估计了应承担的责任和风险，对相关资料进行了认真细致和全面的查勘和检查，并且已经就任何可能存在的疑问向承包人或发包人或监理人获取了足够的澄清和解答，有关的风险均视为已包括在分包人的暂定合同总价中。</w:t>
      </w:r>
    </w:p>
    <w:p w14:paraId="1E4DB1D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4.9.2. 承包人</w:t>
      </w:r>
      <w:r>
        <w:rPr>
          <w:color w:val="000000" w:themeColor="text1"/>
          <w14:textFill>
            <w14:solidFill>
              <w14:schemeClr w14:val="tx1"/>
            </w14:solidFill>
          </w14:textFill>
        </w:rPr>
        <w:t>人向分包人提供的其他资料在专用条款里写明。</w:t>
      </w:r>
    </w:p>
    <w:p w14:paraId="2DD7AFF6">
      <w:pPr>
        <w:pStyle w:val="81"/>
        <w:ind w:firstLine="480"/>
        <w:rPr>
          <w:color w:val="000000" w:themeColor="text1"/>
          <w14:textFill>
            <w14:solidFill>
              <w14:schemeClr w14:val="tx1"/>
            </w14:solidFill>
          </w14:textFill>
        </w:rPr>
      </w:pPr>
      <w:bookmarkStart w:id="153" w:name="_Toc22819"/>
      <w:bookmarkStart w:id="154" w:name="_Toc44492436"/>
      <w:bookmarkStart w:id="155" w:name="_Toc31588"/>
      <w:r>
        <w:rPr>
          <w:rFonts w:hint="eastAsia"/>
          <w:color w:val="000000" w:themeColor="text1"/>
          <w14:textFill>
            <w14:solidFill>
              <w14:schemeClr w14:val="tx1"/>
            </w14:solidFill>
          </w14:textFill>
        </w:rPr>
        <w:t>4.10.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不利物质条件</w:t>
      </w:r>
      <w:bookmarkEnd w:id="153"/>
      <w:bookmarkEnd w:id="154"/>
      <w:bookmarkEnd w:id="155"/>
    </w:p>
    <w:p w14:paraId="2DC9E74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4.10.1.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不利物质条件，除专用条款另有约定外，是指分包人在施工场地遇到的不可预见的自然物质条件、非自然的物质障碍和污染物，包括地下和水文条件，但不包括气候条件。</w:t>
      </w:r>
    </w:p>
    <w:p w14:paraId="6DB9D1A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分包人遇到不利物质条件时，应采取适应不利物质条件的合理措施继续施工，并及时通过承包人通知监理人。监理人应当及时发出指示，若指示构成变更的，按变更约定办理。</w:t>
      </w:r>
    </w:p>
    <w:p w14:paraId="1BC58362">
      <w:pPr>
        <w:pStyle w:val="77"/>
        <w:rPr>
          <w:color w:val="000000" w:themeColor="text1"/>
          <w14:textFill>
            <w14:solidFill>
              <w14:schemeClr w14:val="tx1"/>
            </w14:solidFill>
          </w14:textFill>
        </w:rPr>
      </w:pPr>
      <w:bookmarkStart w:id="156" w:name="_Toc91082297"/>
      <w:bookmarkStart w:id="157" w:name="_Toc47512235"/>
      <w:bookmarkStart w:id="158" w:name="_Toc16694"/>
      <w:bookmarkStart w:id="159" w:name="_Toc44492437"/>
      <w:bookmarkStart w:id="160" w:name="_Toc44227986"/>
      <w:bookmarkStart w:id="161" w:name="_Toc15947"/>
      <w:bookmarkStart w:id="162" w:name="_Toc407355998"/>
      <w:r>
        <w:rPr>
          <w:rFonts w:hint="eastAsia"/>
          <w:color w:val="000000" w:themeColor="text1"/>
          <w14:textFill>
            <w14:solidFill>
              <w14:schemeClr w14:val="tx1"/>
            </w14:solidFill>
          </w14:textFill>
        </w:rPr>
        <w:t>5.材料和工程设备</w:t>
      </w:r>
      <w:bookmarkEnd w:id="156"/>
      <w:bookmarkEnd w:id="157"/>
      <w:bookmarkEnd w:id="158"/>
      <w:bookmarkEnd w:id="159"/>
      <w:bookmarkEnd w:id="160"/>
      <w:bookmarkEnd w:id="161"/>
      <w:bookmarkEnd w:id="162"/>
    </w:p>
    <w:p w14:paraId="7126326B">
      <w:pPr>
        <w:pStyle w:val="81"/>
        <w:ind w:firstLine="480"/>
        <w:rPr>
          <w:color w:val="000000" w:themeColor="text1"/>
          <w14:textFill>
            <w14:solidFill>
              <w14:schemeClr w14:val="tx1"/>
            </w14:solidFill>
          </w14:textFill>
        </w:rPr>
      </w:pPr>
      <w:bookmarkStart w:id="163" w:name="_Toc44492438"/>
      <w:bookmarkStart w:id="164" w:name="_Toc4809"/>
      <w:bookmarkStart w:id="165" w:name="_Toc10651"/>
      <w:r>
        <w:rPr>
          <w:rFonts w:hint="eastAsia"/>
          <w:color w:val="000000" w:themeColor="text1"/>
          <w14:textFill>
            <w14:solidFill>
              <w14:schemeClr w14:val="tx1"/>
            </w14:solidFill>
          </w14:textFill>
        </w:rPr>
        <w:t>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分包人提供的材料和工程设备</w:t>
      </w:r>
      <w:bookmarkEnd w:id="163"/>
      <w:bookmarkEnd w:id="164"/>
      <w:bookmarkEnd w:id="165"/>
    </w:p>
    <w:p w14:paraId="113B466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甲控乙供的材料和工程设备在专用条款中说明。</w:t>
      </w:r>
    </w:p>
    <w:p w14:paraId="501BC8C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除专用条款另有约定外，分包人提供的材料和工程设备均由分包人负责采购、运输和保管。分包人应对其采购的材料和工程设备负责。</w:t>
      </w:r>
    </w:p>
    <w:p w14:paraId="68BAEA0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分包人提供的材料和工程设备必须符合合同文件的要求。</w:t>
      </w:r>
    </w:p>
    <w:p w14:paraId="7C04BD4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按专用条款中规定的时间通过承包人向监理人、发包人提交材料和工程设备的品牌、规格、价格、实验报告、产品合格证明、样品等资料，对材料和工程设备质量负责，经监理人、发包人认可后才能用于本工程。</w:t>
      </w:r>
    </w:p>
    <w:p w14:paraId="66D2309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样品</w:t>
      </w:r>
    </w:p>
    <w:p w14:paraId="7FDF75B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施工前，分包人应按照承包人、发包人和监理人的要求免费提供工程所需样品，并由发包人和监理人确认后，封存于发包人或监理人场所，作为以后验收货物和（或）工程的标准。发包人对任何样品的认可，并不会减轻或解除分包人按合同须履行的责任。若样品存在任何隐蔽瑕疵或任何缺陷，均不免除或减轻分包人在本合同项下的质量保证责任。</w:t>
      </w:r>
    </w:p>
    <w:p w14:paraId="0FD0E8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分包人需在材料和工程设备到场前24小时通知承包人、监理人、发包人进行验收清点。</w:t>
      </w:r>
    </w:p>
    <w:p w14:paraId="57C6F42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分包人提供的材料和工程设备在使用前，应按承包人或监理人或发包人的要求进行检验或试验，不合格的不得使用，检验或试验费用由分包人承担。</w:t>
      </w:r>
    </w:p>
    <w:p w14:paraId="5687591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工程按见证及监督取样送检的要求进行材料的检测，检测费用按专用条款的约定承担。在超出见证取样送检规定之外的情况下，若承包人或监理人或发包人对进场报验材料仍有异议，可按规定程序进行抽检，检验费用由分包人先行支付。若检验合格，检验费用由发包人承担；若检验不合格，检验费用由分包人承担，并由分包人承担由此给发包人造成的损失。</w:t>
      </w:r>
    </w:p>
    <w:p w14:paraId="7E147DD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采购和（或）使用不符合设计和合同要求的材料和工程设备时，应要求分包人负责修复、拆除或重新采购，并承担由此发生的费用，工期不予顺延。分包人不得将假冒伪劣材料设备用于本工程，否则按专用条款的约定进行承担相应的违约责任。</w:t>
      </w:r>
    </w:p>
    <w:p w14:paraId="79E7E8D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发包人、监理人对材料和工程设备的检验认可并不免除以后因材料和工程设备缺陷引起工程质量缺陷时分包人应承担的责任。</w:t>
      </w:r>
    </w:p>
    <w:p w14:paraId="60239F3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材料和工程设备的供应厂商提供使用、安装指导或其他售后服务的，分包人必须在施工过程中接受指导和监督、接受售后服务以确保材料和工程设备获得供应厂家质量保证，否则发包人有权要求分包人全部重新更换、返工或核减工程价款，造成工期延迟的，分包人应当承担工期违约责任。</w:t>
      </w:r>
    </w:p>
    <w:p w14:paraId="6FCBB60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分包人提供备品备件的要求在专用条款里说明。</w:t>
      </w:r>
    </w:p>
    <w:p w14:paraId="7123DEDD">
      <w:pPr>
        <w:pStyle w:val="81"/>
        <w:ind w:firstLine="480"/>
        <w:rPr>
          <w:color w:val="000000" w:themeColor="text1"/>
          <w14:textFill>
            <w14:solidFill>
              <w14:schemeClr w14:val="tx1"/>
            </w14:solidFill>
          </w14:textFill>
        </w:rPr>
      </w:pPr>
      <w:bookmarkStart w:id="166" w:name="_Toc17567"/>
      <w:bookmarkStart w:id="167" w:name="_Toc44492439"/>
      <w:bookmarkStart w:id="168" w:name="_Toc2958"/>
      <w:r>
        <w:rPr>
          <w:rFonts w:hint="eastAsia"/>
          <w:color w:val="000000" w:themeColor="text1"/>
          <w14:textFill>
            <w14:solidFill>
              <w14:schemeClr w14:val="tx1"/>
            </w14:solidFill>
          </w14:textFill>
        </w:rPr>
        <w:t>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w:t>
      </w:r>
      <w:bookmarkEnd w:id="166"/>
      <w:bookmarkEnd w:id="167"/>
      <w:bookmarkEnd w:id="168"/>
    </w:p>
    <w:p w14:paraId="0995776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发包人提供的材料和工程设备，应在专用条款中约定。</w:t>
      </w:r>
    </w:p>
    <w:p w14:paraId="63B5FF3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分包人</w:t>
      </w:r>
      <w:r>
        <w:rPr>
          <w:color w:val="000000" w:themeColor="text1"/>
          <w14:textFill>
            <w14:solidFill>
              <w14:schemeClr w14:val="tx1"/>
            </w14:solidFill>
          </w14:textFill>
        </w:rPr>
        <w:t>应根据合同进度</w:t>
      </w:r>
      <w:r>
        <w:rPr>
          <w:rFonts w:hint="eastAsia"/>
          <w:color w:val="000000" w:themeColor="text1"/>
          <w14:textFill>
            <w14:solidFill>
              <w14:schemeClr w14:val="tx1"/>
            </w14:solidFill>
          </w14:textFill>
        </w:rPr>
        <w:t>计划</w:t>
      </w:r>
      <w:r>
        <w:rPr>
          <w:color w:val="000000" w:themeColor="text1"/>
          <w14:textFill>
            <w14:solidFill>
              <w14:schemeClr w14:val="tx1"/>
            </w14:solidFill>
          </w14:textFill>
        </w:rPr>
        <w:t>的安排，通过承包人向监理人报送要求发包人交货的日期计划。发</w:t>
      </w:r>
      <w:r>
        <w:rPr>
          <w:rFonts w:hint="eastAsia"/>
          <w:color w:val="000000" w:themeColor="text1"/>
          <w14:textFill>
            <w14:solidFill>
              <w14:schemeClr w14:val="tx1"/>
            </w14:solidFill>
          </w14:textFill>
        </w:rPr>
        <w:t>包</w:t>
      </w:r>
      <w:r>
        <w:rPr>
          <w:color w:val="000000" w:themeColor="text1"/>
          <w14:textFill>
            <w14:solidFill>
              <w14:schemeClr w14:val="tx1"/>
            </w14:solidFill>
          </w14:textFill>
        </w:rPr>
        <w:t>人应按照监理人与合同当事人</w:t>
      </w:r>
      <w:r>
        <w:rPr>
          <w:rFonts w:hint="eastAsia"/>
          <w:color w:val="000000" w:themeColor="text1"/>
          <w14:textFill>
            <w14:solidFill>
              <w14:schemeClr w14:val="tx1"/>
            </w14:solidFill>
          </w14:textFill>
        </w:rPr>
        <w:t>双</w:t>
      </w:r>
      <w:r>
        <w:rPr>
          <w:color w:val="000000" w:themeColor="text1"/>
          <w14:textFill>
            <w14:solidFill>
              <w14:schemeClr w14:val="tx1"/>
            </w14:solidFill>
          </w14:textFill>
        </w:rPr>
        <w:t>方商定的交货日期，通过承包人向分包人提交材料和工程设备。</w:t>
      </w:r>
    </w:p>
    <w:p w14:paraId="73E94F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分包人有义务在每项甲供材料和工程设备进场前 7 天通过承包人提醒发包人组织甲供材料和工程设备进场，材料和工程设备进场时,分包人应会同发包人、监理人共同进行验收,否则，由此产生的工期损失由分包人自行承担。  </w:t>
      </w:r>
    </w:p>
    <w:p w14:paraId="4D9F29D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验收合格，由分包人填写《甲供材料设备验收入库单》并签字盖章。入库单一四式联，发包人两联，分包人、供方单位各执一联。甲供材料设备供应结束后由供方单位按《甲供材料设备验收入库单》 编制甲供材料设备汇总表，并经承包人及分包人签字并盖章。此汇总表及《甲供材料设备验收入库单》做为合同当事人双方结算的依据。如承包人及分包人无理由拒绝在甲供材料、设备供应单位编制的甲供材料设备汇总表上签字并盖章，发包人则以甲供材料、设备供应单位编制的甲供材料设备汇总表及《甲供材料设备验收入库单》作为合同当事人双方结算的依据。</w:t>
      </w:r>
    </w:p>
    <w:p w14:paraId="7232D0E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收到供应单位供应的材料和工程设备24小时内开箱验收（如供货合同有约定验收时间的，以供货合同约定的验收时间为准），遇有破损或不合规格的，须即日通过承包人通知发包人安排替换。验收后的损坏、遗失由分包人负责。如分包人未及时到场清点并检验或试验，且已经超过供货合同约定的验收时间，视为分包人已经清点并检验或试验完毕，并认可货物数量、规格型号、外观质量等，分包人对其承担全部责任。</w:t>
      </w:r>
    </w:p>
    <w:p w14:paraId="41DBCB2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完全知悉并认可：分包人在施工过程中不得以材料和工程设备存在质量瑕疵为由，而减免自身应承担的责任。另外约定，如果没有按照国家或地方相关规定履行进场后的检验检测而导致的质量问题，分包人担负全部责任。</w:t>
      </w:r>
    </w:p>
    <w:p w14:paraId="1C00741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发包人提供的材料和工程设备验收后，由承包人及分包人负责接收、运输和保管,除专用条款另有约定外,所发生费用由分包人承担。</w:t>
      </w:r>
    </w:p>
    <w:p w14:paraId="57CA098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另有约定的在专用条款里写明。</w:t>
      </w:r>
    </w:p>
    <w:p w14:paraId="3989A4B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要求向承包人、分包人提前交货的，承包人、分包人不得拒绝。分包人要求更改交货日期或地点的，应事先通过承包人报请监理人批准。由于分包人要求更改交货时间或地点所增加的费用和（或）工期延误由分包人承担。</w:t>
      </w:r>
    </w:p>
    <w:p w14:paraId="06BE0AD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发包人提供的材料设备使用前，由承包人、分包人负责检验或试验，不合格的不得使用，检验或试验费用由分包人承担。</w:t>
      </w:r>
    </w:p>
    <w:p w14:paraId="5629403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发包人提供的材料设备的结算方法在专用条款中说明。</w:t>
      </w:r>
    </w:p>
    <w:p w14:paraId="322F0D1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发包人提供的材料和工程设备应送到工地地面层分包人指定地点，指定地点在专用条款中说明。</w:t>
      </w:r>
    </w:p>
    <w:p w14:paraId="319DD7BD">
      <w:pPr>
        <w:pStyle w:val="81"/>
        <w:ind w:firstLine="480"/>
        <w:rPr>
          <w:color w:val="000000" w:themeColor="text1"/>
          <w14:textFill>
            <w14:solidFill>
              <w14:schemeClr w14:val="tx1"/>
            </w14:solidFill>
          </w14:textFill>
        </w:rPr>
      </w:pPr>
      <w:bookmarkStart w:id="169" w:name="_Toc44492440"/>
      <w:bookmarkStart w:id="170" w:name="_Toc31298"/>
      <w:bookmarkStart w:id="171" w:name="_Toc12188"/>
      <w:r>
        <w:rPr>
          <w:rFonts w:hint="eastAsia"/>
          <w:color w:val="000000" w:themeColor="text1"/>
          <w14:textFill>
            <w14:solidFill>
              <w14:schemeClr w14:val="tx1"/>
            </w14:solidFill>
          </w14:textFill>
        </w:rPr>
        <w:t>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材料和工程设备专用于合同工程</w:t>
      </w:r>
      <w:bookmarkEnd w:id="169"/>
      <w:bookmarkEnd w:id="170"/>
      <w:bookmarkEnd w:id="171"/>
    </w:p>
    <w:p w14:paraId="5DDBB0F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运入施工场地的材料、工程设备，包括备品备件、安装专用工器具与随机资料，必须专用于合同工程，未经承包人、监理人及发包人同意，分包人不得运出施工场地或挪作他用。</w:t>
      </w:r>
    </w:p>
    <w:p w14:paraId="386B087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随同工程设备运入施工场地的备品备件、专用工器具与随机资料，应由分包人会同承包人、监理人按供货人的装箱单清点后共同封存，未经监理人同意不得启用。分包人因合同工作需要使用上述物品时，应向监理人提出申请。</w:t>
      </w:r>
    </w:p>
    <w:p w14:paraId="33EFE86B">
      <w:pPr>
        <w:pStyle w:val="81"/>
        <w:ind w:firstLine="480"/>
        <w:rPr>
          <w:color w:val="000000" w:themeColor="text1"/>
          <w14:textFill>
            <w14:solidFill>
              <w14:schemeClr w14:val="tx1"/>
            </w14:solidFill>
          </w14:textFill>
        </w:rPr>
      </w:pPr>
      <w:bookmarkStart w:id="172" w:name="_Toc475"/>
      <w:bookmarkStart w:id="173" w:name="_Toc32429"/>
      <w:bookmarkStart w:id="174" w:name="_Toc44492441"/>
      <w:r>
        <w:rPr>
          <w:rFonts w:hint="eastAsia"/>
          <w:color w:val="000000" w:themeColor="text1"/>
          <w14:textFill>
            <w14:solidFill>
              <w14:schemeClr w14:val="tx1"/>
            </w14:solidFill>
          </w14:textFill>
        </w:rPr>
        <w:t>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禁止使用不合格的材料和工程设备</w:t>
      </w:r>
      <w:bookmarkEnd w:id="172"/>
      <w:bookmarkEnd w:id="173"/>
      <w:bookmarkEnd w:id="174"/>
    </w:p>
    <w:p w14:paraId="33689F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监理人有权拒绝分包人提供的不合格材料或工程设备，并通过承包人要求分包人立即进行更换。监理人应在更换后再次进行检查和检验，由此增加的费用和（或）工期延误由分包人承担。</w:t>
      </w:r>
    </w:p>
    <w:p w14:paraId="4F2E848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如果任何检验表明被检验的材料、工程设备、工艺质量或工程不符合合同文件的约定，则发包人或监理人有权通过承包人指令分包人：</w:t>
      </w:r>
    </w:p>
    <w:p w14:paraId="69DFE22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在指令规定的时间内将不符合合同文件约定的任何材料或工程设备运出现场；</w:t>
      </w:r>
    </w:p>
    <w:p w14:paraId="01450E0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用符合合同文件约定的材料或工程设备取代；</w:t>
      </w:r>
    </w:p>
    <w:p w14:paraId="4E64B53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拆除不符合合同文件约定的任何工程，并进行重新施工。</w:t>
      </w:r>
    </w:p>
    <w:p w14:paraId="539D3A2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分包人未能在指令规定的时间或者在指令中未规定时间的情况下未能在合理的时间内执行上述指令，则发包人或承包人有权委托他人执行该项指令，由此发生的费用以及给发包人或承包人造成的损失从分包工程款中予以扣除。</w:t>
      </w:r>
    </w:p>
    <w:p w14:paraId="553FE9C3">
      <w:pPr>
        <w:pStyle w:val="81"/>
        <w:ind w:firstLine="480"/>
        <w:rPr>
          <w:color w:val="000000" w:themeColor="text1"/>
          <w14:textFill>
            <w14:solidFill>
              <w14:schemeClr w14:val="tx1"/>
            </w14:solidFill>
          </w14:textFill>
        </w:rPr>
      </w:pPr>
      <w:bookmarkStart w:id="175" w:name="_Toc21351"/>
      <w:bookmarkStart w:id="176" w:name="_Toc26003"/>
      <w:bookmarkStart w:id="177" w:name="_Toc44492442"/>
      <w:r>
        <w:rPr>
          <w:rFonts w:hint="eastAsia"/>
          <w:color w:val="000000" w:themeColor="text1"/>
          <w14:textFill>
            <w14:solidFill>
              <w14:schemeClr w14:val="tx1"/>
            </w14:solidFill>
          </w14:textFill>
        </w:rPr>
        <w:t>5.5.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进口材料和工程设备</w:t>
      </w:r>
      <w:bookmarkEnd w:id="175"/>
      <w:bookmarkEnd w:id="176"/>
      <w:bookmarkEnd w:id="177"/>
    </w:p>
    <w:p w14:paraId="6E3DC85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分包人提供任何从国（境）外进口的材料和工程设备，此类材料和工程设备的价值以及与此类进口有关的任何关税（如有）、增值税、港口税费、运费、手续费、代理费、采保费及其他任何必要的费用已包含在分包人的暂定合同总价中，承包人无需另行支付；发包人及承包人有义务协助分包人办理相关手续，但不承担任何责任和费用。分包人应向承包人、发包人和监理人提供相关的产品原产地发出的质量合格证明资料、报关单及商检资料。</w:t>
      </w:r>
    </w:p>
    <w:p w14:paraId="44C95E4A">
      <w:pPr>
        <w:pStyle w:val="77"/>
        <w:rPr>
          <w:color w:val="000000" w:themeColor="text1"/>
          <w14:textFill>
            <w14:solidFill>
              <w14:schemeClr w14:val="tx1"/>
            </w14:solidFill>
          </w14:textFill>
        </w:rPr>
      </w:pPr>
      <w:bookmarkStart w:id="178" w:name="_Toc16409"/>
      <w:bookmarkStart w:id="179" w:name="_Toc44492443"/>
      <w:bookmarkStart w:id="180" w:name="_Toc47512236"/>
      <w:bookmarkStart w:id="181" w:name="_Toc31056"/>
      <w:bookmarkStart w:id="182" w:name="_Toc44227987"/>
      <w:bookmarkStart w:id="183" w:name="_Toc407355999"/>
      <w:bookmarkStart w:id="184" w:name="_Toc91082298"/>
      <w:r>
        <w:rPr>
          <w:rFonts w:hint="eastAsia"/>
          <w:color w:val="000000" w:themeColor="text1"/>
          <w14:textFill>
            <w14:solidFill>
              <w14:schemeClr w14:val="tx1"/>
            </w14:solidFill>
          </w14:textFill>
        </w:rPr>
        <w:t>6.施工设备和临时设施</w:t>
      </w:r>
      <w:bookmarkEnd w:id="178"/>
      <w:bookmarkEnd w:id="179"/>
      <w:bookmarkEnd w:id="180"/>
      <w:bookmarkEnd w:id="181"/>
      <w:bookmarkEnd w:id="182"/>
      <w:bookmarkEnd w:id="183"/>
      <w:bookmarkEnd w:id="184"/>
    </w:p>
    <w:p w14:paraId="43D794E5">
      <w:pPr>
        <w:pStyle w:val="81"/>
        <w:ind w:firstLine="480"/>
        <w:rPr>
          <w:color w:val="000000" w:themeColor="text1"/>
          <w14:textFill>
            <w14:solidFill>
              <w14:schemeClr w14:val="tx1"/>
            </w14:solidFill>
          </w14:textFill>
        </w:rPr>
      </w:pPr>
      <w:bookmarkStart w:id="185" w:name="_Toc44492444"/>
      <w:bookmarkStart w:id="186" w:name="_Toc11630"/>
      <w:bookmarkStart w:id="187" w:name="_Toc26481"/>
      <w:r>
        <w:rPr>
          <w:rFonts w:hint="eastAsia"/>
          <w:color w:val="000000" w:themeColor="text1"/>
          <w14:textFill>
            <w14:solidFill>
              <w14:schemeClr w14:val="tx1"/>
            </w14:solidFill>
          </w14:textFill>
        </w:rPr>
        <w:t>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分包人提供的施工设备和临时设施</w:t>
      </w:r>
      <w:bookmarkEnd w:id="185"/>
      <w:bookmarkEnd w:id="186"/>
      <w:bookmarkEnd w:id="187"/>
    </w:p>
    <w:p w14:paraId="59B103C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进度计划的要求，及时配置施工设备和修建临时设施。分包人应自行承担修建临时设施的费用。进入施工场地的分包人设备需经承包人、监理人核查后才能投入使用。分包人更换合同约定的分包人设备的，应通过承包人报监理人批准。</w:t>
      </w:r>
    </w:p>
    <w:p w14:paraId="7CDD020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分包人提供的施工设备和临时设施的具体内容在专用条款中说明。</w:t>
      </w:r>
    </w:p>
    <w:p w14:paraId="555A2150">
      <w:pPr>
        <w:pStyle w:val="81"/>
        <w:ind w:firstLine="480"/>
        <w:rPr>
          <w:color w:val="000000" w:themeColor="text1"/>
          <w14:textFill>
            <w14:solidFill>
              <w14:schemeClr w14:val="tx1"/>
            </w14:solidFill>
          </w14:textFill>
        </w:rPr>
      </w:pPr>
      <w:bookmarkStart w:id="188" w:name="_Toc2943"/>
      <w:bookmarkStart w:id="189" w:name="_Toc13516"/>
      <w:bookmarkStart w:id="190" w:name="_Toc44492445"/>
      <w:r>
        <w:rPr>
          <w:rFonts w:hint="eastAsia"/>
          <w:color w:val="000000" w:themeColor="text1"/>
          <w14:textFill>
            <w14:solidFill>
              <w14:schemeClr w14:val="tx1"/>
            </w14:solidFill>
          </w14:textFill>
        </w:rPr>
        <w:t>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承包人提供的施工设备和临时设施</w:t>
      </w:r>
      <w:bookmarkEnd w:id="188"/>
      <w:bookmarkEnd w:id="189"/>
      <w:bookmarkEnd w:id="190"/>
    </w:p>
    <w:p w14:paraId="1FACBC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承包人提供的施工设备或临时设施在专用条款中说明。</w:t>
      </w:r>
    </w:p>
    <w:p w14:paraId="307708B9">
      <w:pPr>
        <w:pStyle w:val="81"/>
        <w:ind w:firstLine="480"/>
        <w:rPr>
          <w:color w:val="000000" w:themeColor="text1"/>
          <w14:textFill>
            <w14:solidFill>
              <w14:schemeClr w14:val="tx1"/>
            </w14:solidFill>
          </w14:textFill>
        </w:rPr>
      </w:pPr>
      <w:bookmarkStart w:id="191" w:name="_Toc44492446"/>
      <w:bookmarkStart w:id="192" w:name="_Toc26816"/>
      <w:bookmarkStart w:id="193" w:name="_Toc8070"/>
      <w:r>
        <w:rPr>
          <w:rFonts w:hint="eastAsia"/>
          <w:color w:val="000000" w:themeColor="text1"/>
          <w14:textFill>
            <w14:solidFill>
              <w14:schemeClr w14:val="tx1"/>
            </w14:solidFill>
          </w14:textFill>
        </w:rPr>
        <w:t>6.3.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要求分包人增加或更换施工设备</w:t>
      </w:r>
      <w:bookmarkEnd w:id="191"/>
      <w:bookmarkEnd w:id="192"/>
      <w:bookmarkEnd w:id="193"/>
    </w:p>
    <w:p w14:paraId="16C5B69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分包人使用的施工设备不能满足合同进度计划和（或）质量要求时，监理人有权通过承包人要求分包人增加或更换施工设备，分包人应及时增加或更换，由此增加的费用和（或）工期延误由分包人承担。</w:t>
      </w:r>
    </w:p>
    <w:p w14:paraId="0DD74501">
      <w:pPr>
        <w:pStyle w:val="81"/>
        <w:ind w:firstLine="480"/>
        <w:rPr>
          <w:color w:val="000000" w:themeColor="text1"/>
          <w14:textFill>
            <w14:solidFill>
              <w14:schemeClr w14:val="tx1"/>
            </w14:solidFill>
          </w14:textFill>
        </w:rPr>
      </w:pPr>
      <w:bookmarkStart w:id="194" w:name="_Toc20526"/>
      <w:bookmarkStart w:id="195" w:name="_Toc44492447"/>
      <w:bookmarkStart w:id="196" w:name="_Toc30358"/>
      <w:r>
        <w:rPr>
          <w:rFonts w:hint="eastAsia"/>
          <w:color w:val="000000" w:themeColor="text1"/>
          <w14:textFill>
            <w14:solidFill>
              <w14:schemeClr w14:val="tx1"/>
            </w14:solidFill>
          </w14:textFill>
        </w:rPr>
        <w:t>6.4.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施工设备和临时设施专用于合同工程</w:t>
      </w:r>
      <w:bookmarkEnd w:id="194"/>
      <w:bookmarkEnd w:id="195"/>
      <w:bookmarkEnd w:id="196"/>
    </w:p>
    <w:p w14:paraId="19DA634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运入施工场地的所有施工设备以及在施工场地建设的临时设施应专用于合同工程。未经监理人同意，不得将上述施工设备和临时设施中的任何部分运出施工场地或挪作他用。</w:t>
      </w:r>
    </w:p>
    <w:p w14:paraId="0803BD9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经监理人、承包人同意，分包人可根据合同进度计划撤走闲置的施工设备。</w:t>
      </w:r>
    </w:p>
    <w:p w14:paraId="7F689749">
      <w:pPr>
        <w:pStyle w:val="77"/>
        <w:rPr>
          <w:color w:val="000000" w:themeColor="text1"/>
          <w14:textFill>
            <w14:solidFill>
              <w14:schemeClr w14:val="tx1"/>
            </w14:solidFill>
          </w14:textFill>
        </w:rPr>
      </w:pPr>
      <w:bookmarkStart w:id="197" w:name="_Toc47512237"/>
      <w:bookmarkStart w:id="198" w:name="_Toc407356000"/>
      <w:bookmarkStart w:id="199" w:name="_Toc44227988"/>
      <w:bookmarkStart w:id="200" w:name="_Toc30840"/>
      <w:bookmarkStart w:id="201" w:name="_Toc91082299"/>
      <w:bookmarkStart w:id="202" w:name="_Toc28707"/>
      <w:bookmarkStart w:id="203" w:name="_Toc44492448"/>
      <w:r>
        <w:rPr>
          <w:rFonts w:hint="eastAsia"/>
          <w:color w:val="000000" w:themeColor="text1"/>
          <w14:textFill>
            <w14:solidFill>
              <w14:schemeClr w14:val="tx1"/>
            </w14:solidFill>
          </w14:textFill>
        </w:rPr>
        <w:t>7.交通运输</w:t>
      </w:r>
      <w:bookmarkEnd w:id="197"/>
      <w:bookmarkEnd w:id="198"/>
      <w:bookmarkEnd w:id="199"/>
      <w:bookmarkEnd w:id="200"/>
      <w:bookmarkEnd w:id="201"/>
      <w:bookmarkEnd w:id="202"/>
      <w:bookmarkEnd w:id="203"/>
    </w:p>
    <w:p w14:paraId="40644C6D">
      <w:pPr>
        <w:pStyle w:val="81"/>
        <w:ind w:firstLine="480"/>
        <w:rPr>
          <w:color w:val="000000" w:themeColor="text1"/>
          <w14:textFill>
            <w14:solidFill>
              <w14:schemeClr w14:val="tx1"/>
            </w14:solidFill>
          </w14:textFill>
        </w:rPr>
      </w:pPr>
      <w:bookmarkStart w:id="204" w:name="_Toc18245"/>
      <w:bookmarkStart w:id="205" w:name="_Toc29475"/>
      <w:bookmarkStart w:id="206" w:name="_Toc44492449"/>
      <w:r>
        <w:rPr>
          <w:rFonts w:hint="eastAsia"/>
          <w:color w:val="000000" w:themeColor="text1"/>
          <w14:textFill>
            <w14:solidFill>
              <w14:schemeClr w14:val="tx1"/>
            </w14:solidFill>
          </w14:textFill>
        </w:rPr>
        <w:t>7.</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场外交通</w:t>
      </w:r>
      <w:bookmarkEnd w:id="204"/>
      <w:bookmarkEnd w:id="205"/>
      <w:bookmarkEnd w:id="206"/>
    </w:p>
    <w:p w14:paraId="0819073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负责确保所有现场周边毗邻的道路、步行道和现场出入口等的干净和整洁，同时保证它们及周边公共交通、公众生活不因分包人和其他受分包人控制和施工操作、材料装卸、车辆、材料、物品、设备和工人而带来任何妨碍；分包人须保证发包人、承包人免于与上述事件有关的任何索赔、诉讼、损害和损失。</w:t>
      </w:r>
    </w:p>
    <w:p w14:paraId="585AFC90">
      <w:pPr>
        <w:pStyle w:val="81"/>
        <w:ind w:firstLine="480"/>
        <w:rPr>
          <w:color w:val="000000" w:themeColor="text1"/>
          <w14:textFill>
            <w14:solidFill>
              <w14:schemeClr w14:val="tx1"/>
            </w14:solidFill>
          </w14:textFill>
        </w:rPr>
      </w:pPr>
      <w:bookmarkStart w:id="207" w:name="_Toc4364"/>
      <w:bookmarkStart w:id="208" w:name="_Toc9320"/>
      <w:bookmarkStart w:id="209" w:name="_Toc44492450"/>
      <w:r>
        <w:rPr>
          <w:rFonts w:hint="eastAsia"/>
          <w:color w:val="000000" w:themeColor="text1"/>
          <w14:textFill>
            <w14:solidFill>
              <w14:schemeClr w14:val="tx1"/>
            </w14:solidFill>
          </w14:textFill>
        </w:rPr>
        <w:t>7.</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道路和桥梁的损坏责任</w:t>
      </w:r>
      <w:bookmarkEnd w:id="207"/>
      <w:bookmarkEnd w:id="208"/>
      <w:bookmarkEnd w:id="209"/>
    </w:p>
    <w:p w14:paraId="3002B5B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因分包人运输造成施工场地内外公共道路和桥梁损坏的，由分包人承担修复损坏的全部费用和可能引起的赔偿。</w:t>
      </w:r>
    </w:p>
    <w:p w14:paraId="1DAF8ADB">
      <w:pPr>
        <w:pStyle w:val="77"/>
        <w:rPr>
          <w:color w:val="000000" w:themeColor="text1"/>
          <w14:textFill>
            <w14:solidFill>
              <w14:schemeClr w14:val="tx1"/>
            </w14:solidFill>
          </w14:textFill>
        </w:rPr>
      </w:pPr>
      <w:bookmarkStart w:id="210" w:name="_Toc44492451"/>
      <w:bookmarkStart w:id="211" w:name="_Toc91082300"/>
      <w:bookmarkStart w:id="212" w:name="_Toc29001"/>
      <w:bookmarkStart w:id="213" w:name="_Toc47512238"/>
      <w:bookmarkStart w:id="214" w:name="_Toc27752"/>
      <w:bookmarkStart w:id="215" w:name="_Toc44227989"/>
      <w:bookmarkStart w:id="216" w:name="_Toc407356001"/>
      <w:r>
        <w:rPr>
          <w:rFonts w:hint="eastAsia"/>
          <w:color w:val="000000" w:themeColor="text1"/>
          <w14:textFill>
            <w14:solidFill>
              <w14:schemeClr w14:val="tx1"/>
            </w14:solidFill>
          </w14:textFill>
        </w:rPr>
        <w:t>8.测量放线</w:t>
      </w:r>
      <w:bookmarkEnd w:id="210"/>
      <w:bookmarkEnd w:id="211"/>
      <w:bookmarkEnd w:id="212"/>
      <w:bookmarkEnd w:id="213"/>
      <w:bookmarkEnd w:id="214"/>
      <w:bookmarkEnd w:id="215"/>
      <w:bookmarkEnd w:id="216"/>
    </w:p>
    <w:p w14:paraId="0C68E565">
      <w:pPr>
        <w:pStyle w:val="81"/>
        <w:ind w:firstLine="480"/>
        <w:rPr>
          <w:color w:val="000000" w:themeColor="text1"/>
          <w14:textFill>
            <w14:solidFill>
              <w14:schemeClr w14:val="tx1"/>
            </w14:solidFill>
          </w14:textFill>
        </w:rPr>
      </w:pPr>
      <w:bookmarkStart w:id="217" w:name="_Toc16667"/>
      <w:bookmarkStart w:id="218" w:name="_Toc44492452"/>
      <w:bookmarkStart w:id="219" w:name="_Toc14910"/>
      <w:r>
        <w:rPr>
          <w:rFonts w:hint="eastAsia"/>
          <w:color w:val="000000" w:themeColor="text1"/>
          <w14:textFill>
            <w14:solidFill>
              <w14:schemeClr w14:val="tx1"/>
            </w14:solidFill>
          </w14:textFill>
        </w:rPr>
        <w:t>8.</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施工测量</w:t>
      </w:r>
      <w:bookmarkEnd w:id="217"/>
      <w:bookmarkEnd w:id="218"/>
      <w:bookmarkEnd w:id="219"/>
    </w:p>
    <w:p w14:paraId="6799EE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分包人应负责施工过程中的全部施工测量放线工作，并配置合格的人员、仪器、设备和其他物品。</w:t>
      </w:r>
    </w:p>
    <w:p w14:paraId="2C51CBD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监理人可以通过承包人指示分包人进行抽样复测，当复测中发现错误或出现超过合同约定的误差时，分包人应按监理人指示进行修正或补测，并承担相应的复测费用。</w:t>
      </w:r>
    </w:p>
    <w:p w14:paraId="5EB27F47">
      <w:pPr>
        <w:pStyle w:val="77"/>
        <w:rPr>
          <w:color w:val="000000" w:themeColor="text1"/>
          <w14:textFill>
            <w14:solidFill>
              <w14:schemeClr w14:val="tx1"/>
            </w14:solidFill>
          </w14:textFill>
        </w:rPr>
      </w:pPr>
      <w:bookmarkStart w:id="220" w:name="_Toc44492453"/>
      <w:bookmarkStart w:id="221" w:name="_Toc44227990"/>
      <w:bookmarkStart w:id="222" w:name="_Toc47512239"/>
      <w:bookmarkStart w:id="223" w:name="_Toc407356002"/>
      <w:bookmarkStart w:id="224" w:name="_Toc91082301"/>
      <w:bookmarkStart w:id="225" w:name="_Toc20338"/>
      <w:bookmarkStart w:id="226" w:name="_Toc24597"/>
      <w:r>
        <w:rPr>
          <w:rFonts w:hint="eastAsia"/>
          <w:color w:val="000000" w:themeColor="text1"/>
          <w14:textFill>
            <w14:solidFill>
              <w14:schemeClr w14:val="tx1"/>
            </w14:solidFill>
          </w14:textFill>
        </w:rPr>
        <w:t>9.施工安全、治安保卫和环境保护</w:t>
      </w:r>
      <w:bookmarkEnd w:id="220"/>
      <w:bookmarkEnd w:id="221"/>
      <w:bookmarkEnd w:id="222"/>
      <w:bookmarkEnd w:id="223"/>
      <w:bookmarkEnd w:id="224"/>
      <w:bookmarkEnd w:id="225"/>
      <w:bookmarkEnd w:id="226"/>
    </w:p>
    <w:p w14:paraId="7F6F8F1E">
      <w:pPr>
        <w:pStyle w:val="81"/>
        <w:ind w:firstLine="480"/>
        <w:rPr>
          <w:color w:val="000000" w:themeColor="text1"/>
          <w14:textFill>
            <w14:solidFill>
              <w14:schemeClr w14:val="tx1"/>
            </w14:solidFill>
          </w14:textFill>
        </w:rPr>
      </w:pPr>
      <w:bookmarkStart w:id="227" w:name="_Toc6575"/>
      <w:bookmarkStart w:id="228" w:name="_Toc44492454"/>
      <w:bookmarkStart w:id="229" w:name="_Toc8055"/>
      <w:r>
        <w:rPr>
          <w:rFonts w:hint="eastAsia"/>
          <w:color w:val="000000" w:themeColor="text1"/>
          <w14:textFill>
            <w14:solidFill>
              <w14:schemeClr w14:val="tx1"/>
            </w14:solidFill>
          </w14:textFill>
        </w:rPr>
        <w:t>9.1.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分包人的施工安全责任</w:t>
      </w:r>
      <w:bookmarkEnd w:id="227"/>
      <w:bookmarkEnd w:id="228"/>
      <w:bookmarkEnd w:id="229"/>
    </w:p>
    <w:p w14:paraId="27CEAEC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严格遵守工程建设安全生产有关管理规定，严格按安全标准组织施工，并随时接受相关安全检查人员依法实施的监督检查，采取充分的安全防护措施，消除事故隐患。除非发包人或监理人通过承包人强令分包人违章作业、冒险施工和单纯因发包人、承包人责任所造成，安全措施不力事故的责任和因此发生的费用，均由分包人承担。</w:t>
      </w:r>
    </w:p>
    <w:p w14:paraId="05186B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分包人应按合同约定履行安全职责,执行监理人有关安全工作的指示，按合同约定的安全工作内容，编制施工安全措施计划报送监理人审批。</w:t>
      </w:r>
    </w:p>
    <w:p w14:paraId="1C9F4D8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分包人应加强施工作业安全管理，特别应加强易燃、易爆材料、火工器材、有毒与腐蚀性材料和其他危险品的管理，以及对爆破作业和地下工程施工等危险作业的管理。</w:t>
      </w:r>
    </w:p>
    <w:p w14:paraId="0F93640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分包人应严格按照国家安全标准制定施工安全操作规程，配备必要的安全生产和劳动保护设施，加强对分包人人员的安全教育，并发放安全工作手册和劳动保护用具。</w:t>
      </w:r>
    </w:p>
    <w:p w14:paraId="1C8292E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分包人应按监理人的指示制定应对灾害的紧急预案，通过承包人报送监理人审批。分包人还应按预案做好安全检查，配置必要的救助物资和器材，切实保护好有关人员的人身和财产安全。</w:t>
      </w:r>
    </w:p>
    <w:p w14:paraId="4D4B53F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合同约定的安全作业环境及安全施工措施所需费用应遵守有关规定，并已包括在暂定合同总价和绿色施工安全防护措施费、相关工作的综合单价中。</w:t>
      </w:r>
    </w:p>
    <w:p w14:paraId="200A909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分包人应对其履行合同所雇佣的全部人员的工伤事故承担责任。</w:t>
      </w:r>
    </w:p>
    <w:p w14:paraId="2CC75C7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由于分包人原因在施工场地内及其毗邻地带造成的第三者人员伤亡和财产损失，由分包人负责赔偿。</w:t>
      </w:r>
    </w:p>
    <w:p w14:paraId="50B7B3B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分包人如违反安全操作规程，被行政执法部门处罚，由此产生的相关费用由分包人承担。若因此影响发包人声誉导致承包人受处罚的，则承包人有权向分包人相应索赔。</w:t>
      </w:r>
    </w:p>
    <w:p w14:paraId="031D712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或发包人代表可通过承包人要求立刻撤走任何现场被他认为未能适当地遵守安全施工规定的人员。而无论在任何情况下，此等被解雇的员工在未取得承包人、发包人的书面同意前，均不应再获受雇于现场工作。</w:t>
      </w:r>
    </w:p>
    <w:p w14:paraId="48C14DDA">
      <w:pPr>
        <w:pStyle w:val="81"/>
        <w:ind w:firstLine="480"/>
        <w:rPr>
          <w:color w:val="000000" w:themeColor="text1"/>
          <w14:textFill>
            <w14:solidFill>
              <w14:schemeClr w14:val="tx1"/>
            </w14:solidFill>
          </w14:textFill>
        </w:rPr>
      </w:pPr>
      <w:bookmarkStart w:id="230" w:name="_Toc30837"/>
      <w:bookmarkStart w:id="231" w:name="_Toc19513"/>
      <w:bookmarkStart w:id="232" w:name="_Toc44492455"/>
      <w:r>
        <w:rPr>
          <w:rFonts w:hint="eastAsia"/>
          <w:color w:val="000000" w:themeColor="text1"/>
          <w14:textFill>
            <w14:solidFill>
              <w14:schemeClr w14:val="tx1"/>
            </w14:solidFill>
          </w14:textFill>
        </w:rPr>
        <w:t>9.2.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治安保卫</w:t>
      </w:r>
      <w:bookmarkEnd w:id="230"/>
      <w:bookmarkEnd w:id="231"/>
      <w:bookmarkEnd w:id="232"/>
    </w:p>
    <w:p w14:paraId="776D9F7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分包人除应协助现场治安管理机构或联防组织维护施工场地的社会治安外，还应做好包括生活区在内的管辖区的治安保卫工作。</w:t>
      </w:r>
    </w:p>
    <w:p w14:paraId="540B9DC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工程施工过程中，发生暴乱、爆炸等恐怖事件，以及群殴、械斗等群体性突发治安事件的，承包人和分包人应立即向当地政府报告。分包人应积极协助当地有关部门采取措施平息事态，防止事态扩大，尽量减少财产损失和避免人员伤亡。</w:t>
      </w:r>
    </w:p>
    <w:p w14:paraId="155D9F23">
      <w:pPr>
        <w:pStyle w:val="81"/>
        <w:ind w:firstLine="480"/>
        <w:rPr>
          <w:color w:val="000000" w:themeColor="text1"/>
          <w14:textFill>
            <w14:solidFill>
              <w14:schemeClr w14:val="tx1"/>
            </w14:solidFill>
          </w14:textFill>
        </w:rPr>
      </w:pPr>
      <w:bookmarkStart w:id="233" w:name="_Toc44492456"/>
      <w:bookmarkStart w:id="234" w:name="_Toc21139"/>
      <w:bookmarkStart w:id="235" w:name="_Toc1459"/>
      <w:r>
        <w:rPr>
          <w:rFonts w:hint="eastAsia"/>
          <w:color w:val="000000" w:themeColor="text1"/>
          <w14:textFill>
            <w14:solidFill>
              <w14:schemeClr w14:val="tx1"/>
            </w14:solidFill>
          </w14:textFill>
        </w:rPr>
        <w:t>9.3.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环境保护</w:t>
      </w:r>
      <w:bookmarkEnd w:id="233"/>
      <w:bookmarkEnd w:id="234"/>
      <w:bookmarkEnd w:id="235"/>
    </w:p>
    <w:p w14:paraId="4F4A11E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分包人在施工过程中，应遵守有关环境保护的法律，履行合同约定的环境保护义务，并对违反法律和合同约定义务所造成的环境破坏、人身伤害和财产损失负责。</w:t>
      </w:r>
    </w:p>
    <w:p w14:paraId="4BDD5FD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分包人应按合同约定的环保工作内容，编制施工环保措施计划，通过承包人报送监理人或业主审批。</w:t>
      </w:r>
    </w:p>
    <w:p w14:paraId="78C135A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有序地堆放和处理施工废弃物，避免对环境造成破坏。因分包人任意堆放或弃置施工废弃物造成妨碍公共交通、影响城镇居民生活、降低河流行洪能力、危及居民安全、破坏周边环境，或者影响其他分包人施工等后果的，分包人应承担责任。</w:t>
      </w:r>
    </w:p>
    <w:p w14:paraId="4954E8C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分包人应按合同约定，加强对噪声、粉尘、废气、废水和废油的控制，努力降低噪声，控制粉尘和废气浓度，做好废水和废油的治理和排放。</w:t>
      </w:r>
    </w:p>
    <w:p w14:paraId="3C72A6EF">
      <w:pPr>
        <w:pStyle w:val="81"/>
        <w:ind w:firstLine="480"/>
        <w:rPr>
          <w:color w:val="000000" w:themeColor="text1"/>
          <w14:textFill>
            <w14:solidFill>
              <w14:schemeClr w14:val="tx1"/>
            </w14:solidFill>
          </w14:textFill>
        </w:rPr>
      </w:pPr>
      <w:bookmarkStart w:id="236" w:name="_Toc21843"/>
      <w:bookmarkStart w:id="237" w:name="_Toc6004"/>
      <w:bookmarkStart w:id="238" w:name="_Toc44492457"/>
      <w:r>
        <w:rPr>
          <w:rFonts w:hint="eastAsia"/>
          <w:color w:val="000000" w:themeColor="text1"/>
          <w14:textFill>
            <w14:solidFill>
              <w14:schemeClr w14:val="tx1"/>
            </w14:solidFill>
          </w14:textFill>
        </w:rPr>
        <w:t>9.4.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事故处理</w:t>
      </w:r>
      <w:bookmarkEnd w:id="236"/>
      <w:bookmarkEnd w:id="237"/>
      <w:bookmarkEnd w:id="238"/>
    </w:p>
    <w:p w14:paraId="75DB8E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施工过程中发生事故的，分包人应通过承包人立即通知监理人和发包人，并立即组织人员和设备进行紧急抢救和抢修，减少人员伤亡和财产损失，防止事故扩大，并保护事故现场。事故处理的费用在事故处理结束后由确定的责任方承担，分包人不得以事故责任或费用承担的争议为由拒不进行抢救和抢修。事故原因系由分包人引起，则分包人无权要求顺延工期或增加价款；由此给发包人造成损失的（包括政府部门对于发包人作出的处罚），承包人按总承包合同约定赔偿发包人，分包人相应赔偿承包人。</w:t>
      </w:r>
    </w:p>
    <w:p w14:paraId="3298CAE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发包人、承包人、分包人对事故责任有争议时，应按政府有关部门的认定处理。</w:t>
      </w:r>
    </w:p>
    <w:p w14:paraId="7A19534F">
      <w:pPr>
        <w:pStyle w:val="77"/>
        <w:rPr>
          <w:color w:val="000000" w:themeColor="text1"/>
          <w14:textFill>
            <w14:solidFill>
              <w14:schemeClr w14:val="tx1"/>
            </w14:solidFill>
          </w14:textFill>
        </w:rPr>
      </w:pPr>
      <w:bookmarkStart w:id="239" w:name="_Toc44227991"/>
      <w:bookmarkStart w:id="240" w:name="_Toc28501"/>
      <w:bookmarkStart w:id="241" w:name="_Toc31865"/>
      <w:bookmarkStart w:id="242" w:name="_Toc47512240"/>
      <w:bookmarkStart w:id="243" w:name="_Toc407356003"/>
      <w:bookmarkStart w:id="244" w:name="_Toc44492458"/>
      <w:bookmarkStart w:id="245" w:name="_Toc91082302"/>
      <w:r>
        <w:rPr>
          <w:rFonts w:hint="eastAsia"/>
          <w:color w:val="000000" w:themeColor="text1"/>
          <w14:textFill>
            <w14:solidFill>
              <w14:schemeClr w14:val="tx1"/>
            </w14:solidFill>
          </w14:textFill>
        </w:rPr>
        <w:t>10.进度计划</w:t>
      </w:r>
      <w:bookmarkEnd w:id="239"/>
      <w:bookmarkEnd w:id="240"/>
      <w:bookmarkEnd w:id="241"/>
      <w:bookmarkEnd w:id="242"/>
      <w:bookmarkEnd w:id="243"/>
      <w:bookmarkEnd w:id="244"/>
      <w:bookmarkEnd w:id="245"/>
    </w:p>
    <w:p w14:paraId="3074CB6F">
      <w:pPr>
        <w:pStyle w:val="81"/>
        <w:ind w:firstLine="480"/>
        <w:rPr>
          <w:color w:val="000000" w:themeColor="text1"/>
          <w14:textFill>
            <w14:solidFill>
              <w14:schemeClr w14:val="tx1"/>
            </w14:solidFill>
          </w14:textFill>
        </w:rPr>
      </w:pPr>
      <w:bookmarkStart w:id="246" w:name="_Toc10547"/>
      <w:bookmarkStart w:id="247" w:name="_Toc4295"/>
      <w:bookmarkStart w:id="248" w:name="_Toc44492459"/>
      <w:r>
        <w:rPr>
          <w:rFonts w:hint="eastAsia"/>
          <w:color w:val="000000" w:themeColor="text1"/>
          <w14:textFill>
            <w14:solidFill>
              <w14:schemeClr w14:val="tx1"/>
            </w14:solidFill>
          </w14:textFill>
        </w:rPr>
        <w:t>10.1.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合同进度计划</w:t>
      </w:r>
      <w:bookmarkEnd w:id="246"/>
      <w:bookmarkEnd w:id="247"/>
      <w:bookmarkEnd w:id="248"/>
    </w:p>
    <w:p w14:paraId="470AD9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专用条款约定的内容和期限，编制详细的施工进度计划通过承包人报送监理人或发包人。监理人应在专用条款约定的期限内征求发包人意见后，批复或提出修改意见。经监理人批准的施工进度计划为合同进度计划，是控制合同工程进度的依据。分包人还应根据合同进度计划，编制更为详细的分阶段或分项进度计划，通过承包人报监理人或发包人审批。</w:t>
      </w:r>
    </w:p>
    <w:p w14:paraId="0408D33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合同实施过程中发包人控制的工期节点时间在专用条款中说明。</w:t>
      </w:r>
    </w:p>
    <w:p w14:paraId="7A4D858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必须按发包人、监理人和承包人确认的进度计划组织施工，接受承包人、发包人和监理人对进度的检查、监督。工程实际进度与经确认的进度计划不符时，分包人应按承包人、发包人和监理人的要求提出改进措施，经承包人、发包人和监理人确认后执行。因分包人的原因导致实际进度与进度计划不符，分包人不但无权就改进措施提出追加合同暂定总价。</w:t>
      </w:r>
    </w:p>
    <w:p w14:paraId="4297A67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专用条款约定的日期通过承包人向发包人及监理人报送当月完工报表及下月施工计划（月计划必须满足工程总体计划要求），如不按时报送或所报计划不能满足承包人及发包人要求，承包人可延期支付工程进度款。</w:t>
      </w:r>
    </w:p>
    <w:p w14:paraId="31C0F3A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无论发包人何时需要，分包人还应以书面形式通过承包人提交一份对其进行分包工程的施工安排和拟采用方法的总体说明，供发包人参考。如果发包人认为分包工程的实际进度不符合他已同意的进度计划时，分包人应根据发包人的要求提交一份修订的进度计划，表明为保证分包工程在分包人的竣工时间内完工而对原进度计划所作的必要修改，但发包人对分包人的管理不能免除承包人对分包的管理责任。</w:t>
      </w:r>
    </w:p>
    <w:p w14:paraId="38D704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分包人保证承包项目在合同工期内完成，同时保证给予分包项目以合理的施工衔接环节与施工进度时间，确保各项工程均在合同工期内同步进行。</w:t>
      </w:r>
    </w:p>
    <w:p w14:paraId="108EA2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进度计划是分包人出具的对承包人、发包人的最低承诺，发包人或监理人对施工进度计划的批准,并不解除分包人根据合同规定应承担的责任，经发包人或监理人批准的施工进度计划本身出现问题或错误时，一切额外支出和工期延误由分包人负责。</w:t>
      </w:r>
    </w:p>
    <w:p w14:paraId="7D8B72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发包人代表或监理人认为工程的进度滞后于原定的施工计划，不能按工期完成时，发包人代表或监理人有权通过承包人通知分包人采取适当的、必要的措施，在保证工程质量和安全的前提下加快工程进度以便按时完工。分包人采取这种措施无权另收费用。</w:t>
      </w:r>
      <w:bookmarkStart w:id="249" w:name="_Toc44492460"/>
      <w:bookmarkStart w:id="250" w:name="_Toc11979"/>
      <w:bookmarkStart w:id="251" w:name="_Toc15433"/>
    </w:p>
    <w:p w14:paraId="30B6AD55">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合同进度计划的修订</w:t>
      </w:r>
      <w:bookmarkEnd w:id="249"/>
      <w:bookmarkEnd w:id="250"/>
      <w:bookmarkEnd w:id="251"/>
    </w:p>
    <w:p w14:paraId="6BA6FC47">
      <w:pPr>
        <w:pStyle w:val="56"/>
        <w:ind w:firstLine="480"/>
        <w:rPr>
          <w:color w:val="000000" w:themeColor="text1"/>
          <w14:textFill>
            <w14:solidFill>
              <w14:schemeClr w14:val="tx1"/>
            </w14:solidFill>
          </w14:textFill>
        </w:rPr>
      </w:pPr>
      <w:bookmarkStart w:id="252" w:name="_Toc44492461"/>
      <w:r>
        <w:rPr>
          <w:rFonts w:hint="eastAsia"/>
          <w:color w:val="000000" w:themeColor="text1"/>
          <w14:textFill>
            <w14:solidFill>
              <w14:schemeClr w14:val="tx1"/>
            </w14:solidFill>
          </w14:textFill>
        </w:rPr>
        <w:t>10.2.1.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论何种原因造成工程的实际进度与第10.1款的合同进度计划不符时，分包人可以通过承包人向监理人或发包人提交修订合同进度计划的申请报告，并附有关措施和相关资料，报监理人及发包人审批；发包人认为本工程或其中任何部分工程进度滞后而不能按预定工期完工，有权通过承包人向分包人发出修订工程进度计划的书面指令。分包人应在接到发包人指令后的七（7）天内将修订后的进度计划通过承包人提交给发包人。修改后的工程进度计划，仍应保证本合同工程在合同约定的工期内完成。同时分包人应加大投入，确保工程能在合同约定的工期内完成。如分包人未能在此时限内提交修订后的进度计划或未采取有效措施，发包人有权要求承包人单方面解除合同，或要求承包人将未完工程的全部或一部分另行安排给其他有能力的分包商，分包人必须无条件服从，由此产生的费用由分包人承担，发包人有权通过承包人从应支付给分包人的任何款项中予以扣除，且不免除分包人应负的责任和义务。监理人也可以直接通过承包人向分包人作出修订合同进度计划的指示，分包人应按该指示修订合同进度计划，通过承包人报监理人审批，监理人在批复前应获得发包人同意。</w:t>
      </w:r>
      <w:bookmarkEnd w:id="252"/>
    </w:p>
    <w:p w14:paraId="67C7019A">
      <w:pPr>
        <w:pStyle w:val="77"/>
        <w:rPr>
          <w:color w:val="000000" w:themeColor="text1"/>
          <w14:textFill>
            <w14:solidFill>
              <w14:schemeClr w14:val="tx1"/>
            </w14:solidFill>
          </w14:textFill>
        </w:rPr>
      </w:pPr>
      <w:bookmarkStart w:id="253" w:name="_Toc29027"/>
      <w:bookmarkStart w:id="254" w:name="_Toc91082303"/>
      <w:bookmarkStart w:id="255" w:name="_Toc407356004"/>
      <w:bookmarkStart w:id="256" w:name="_Toc47512241"/>
      <w:bookmarkStart w:id="257" w:name="_Toc44227992"/>
      <w:bookmarkStart w:id="258" w:name="_Toc7010"/>
      <w:bookmarkStart w:id="259" w:name="_Toc44492462"/>
      <w:r>
        <w:rPr>
          <w:rFonts w:hint="eastAsia"/>
          <w:color w:val="000000" w:themeColor="text1"/>
          <w14:textFill>
            <w14:solidFill>
              <w14:schemeClr w14:val="tx1"/>
            </w14:solidFill>
          </w14:textFill>
        </w:rPr>
        <w:t>11.开工和竣工</w:t>
      </w:r>
      <w:bookmarkEnd w:id="253"/>
      <w:bookmarkEnd w:id="254"/>
      <w:bookmarkEnd w:id="255"/>
      <w:bookmarkEnd w:id="256"/>
      <w:bookmarkEnd w:id="257"/>
      <w:bookmarkEnd w:id="258"/>
      <w:bookmarkEnd w:id="259"/>
    </w:p>
    <w:p w14:paraId="5EC61A7C">
      <w:pPr>
        <w:pStyle w:val="81"/>
        <w:ind w:firstLine="480"/>
        <w:rPr>
          <w:color w:val="000000" w:themeColor="text1"/>
          <w14:textFill>
            <w14:solidFill>
              <w14:schemeClr w14:val="tx1"/>
            </w14:solidFill>
          </w14:textFill>
        </w:rPr>
      </w:pPr>
      <w:bookmarkStart w:id="260" w:name="_Toc13747"/>
      <w:bookmarkStart w:id="261" w:name="_Toc44492463"/>
      <w:bookmarkStart w:id="262" w:name="_Toc15206"/>
      <w:r>
        <w:rPr>
          <w:rFonts w:hint="eastAsia"/>
          <w:color w:val="000000" w:themeColor="text1"/>
          <w14:textFill>
            <w14:solidFill>
              <w14:schemeClr w14:val="tx1"/>
            </w14:solidFill>
          </w14:textFill>
        </w:rPr>
        <w:t>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开工</w:t>
      </w:r>
      <w:bookmarkEnd w:id="260"/>
      <w:bookmarkEnd w:id="261"/>
      <w:bookmarkEnd w:id="262"/>
    </w:p>
    <w:p w14:paraId="4D47803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的合同进度计划，通过承包人向监理人或发包人提交工程开工报审表，经监理人或发包人审批后执行。开工报审表应详细说明按合同进度计划正常施工所需的施工道路、临时设施、材料设备、施工人员等施工组织措施的落实情况以及工程的进度安排。</w:t>
      </w:r>
    </w:p>
    <w:p w14:paraId="0EA74C4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开工前检查本工程工地上已由其他施工单位完成而又会影响到本工程的所有工程之标高、定位、尺寸、质量等，只要该等工程符合国家规范要求，分包人就必须接收施工场地。若此等已完成工程内存在错误或不符合本工程的需要，分包人应当立刻书面通知发包人。一旦分包人接收施工场地或本工程已经开工，且未通知发包人已完成工程内存在的错误或不配合本工程需要之处，则均视为前条所述已完工程均已符合国家规范并满足本工程需要，此后如发现该等已完工程仍存在需要整改或修补或不满足本工程需要的情形，则一切责任由分包人自行承担，本合同项下工期及各项暂定合同总价均不作调整。</w:t>
      </w:r>
    </w:p>
    <w:p w14:paraId="7E6660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不能按时开工的，应当不迟于发包人要求的开工日期前7天，以书面形式向发包人和监理人提出延期开工的理由和要求。发包人和监理人应当在接到延期开工申请后的48小时内以书面形式答复分包人。发包人和监理人在接到延期开工申请后48小时内不答复，视为同意分包人要求，工期相应顺延。发包人和监理人不同意延期要求或分包人未在规定时间内提出延期开工要求，工期不予顺延。</w:t>
      </w:r>
    </w:p>
    <w:p w14:paraId="6F3DC3AD">
      <w:pPr>
        <w:pStyle w:val="81"/>
        <w:ind w:firstLine="480"/>
        <w:rPr>
          <w:color w:val="000000" w:themeColor="text1"/>
          <w14:textFill>
            <w14:solidFill>
              <w14:schemeClr w14:val="tx1"/>
            </w14:solidFill>
          </w14:textFill>
        </w:rPr>
      </w:pPr>
      <w:bookmarkStart w:id="263" w:name="_Toc44492464"/>
      <w:bookmarkStart w:id="264" w:name="_Toc15601"/>
      <w:bookmarkStart w:id="265" w:name="_Toc29150"/>
      <w:r>
        <w:rPr>
          <w:rFonts w:hint="eastAsia"/>
          <w:color w:val="000000" w:themeColor="text1"/>
          <w14:textFill>
            <w14:solidFill>
              <w14:schemeClr w14:val="tx1"/>
            </w14:solidFill>
          </w14:textFill>
        </w:rPr>
        <w:t>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w:t>
      </w:r>
      <w:bookmarkEnd w:id="263"/>
      <w:bookmarkEnd w:id="264"/>
      <w:bookmarkEnd w:id="265"/>
    </w:p>
    <w:p w14:paraId="6530084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分包人应在合同约定的期限内完成合同工程。</w:t>
      </w:r>
    </w:p>
    <w:p w14:paraId="36D8921C">
      <w:pPr>
        <w:pStyle w:val="81"/>
        <w:ind w:firstLine="480"/>
        <w:rPr>
          <w:color w:val="000000" w:themeColor="text1"/>
          <w14:textFill>
            <w14:solidFill>
              <w14:schemeClr w14:val="tx1"/>
            </w14:solidFill>
          </w14:textFill>
        </w:rPr>
      </w:pPr>
      <w:bookmarkStart w:id="266" w:name="_Toc17979"/>
      <w:bookmarkStart w:id="267" w:name="_Toc44492465"/>
      <w:bookmarkStart w:id="268" w:name="_Toc6841"/>
      <w:r>
        <w:rPr>
          <w:rFonts w:hint="eastAsia"/>
          <w:color w:val="000000" w:themeColor="text1"/>
          <w14:textFill>
            <w14:solidFill>
              <w14:schemeClr w14:val="tx1"/>
            </w14:solidFill>
          </w14:textFill>
        </w:rPr>
        <w:t>11.3.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发包人的工期延误</w:t>
      </w:r>
      <w:bookmarkEnd w:id="266"/>
      <w:bookmarkEnd w:id="267"/>
      <w:bookmarkEnd w:id="268"/>
    </w:p>
    <w:p w14:paraId="01835F3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在履行合同过程中，由于发包人的下列原因造成工期延误，分包人有权通过承包人要求发包人延长工期，但不得因此索赔费用。需要修订合同进度计划的，按照第10.2款的约定办理。</w:t>
      </w:r>
    </w:p>
    <w:p w14:paraId="6B6CF6C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发包人未能按的约定提供图纸及开工条件；</w:t>
      </w:r>
    </w:p>
    <w:p w14:paraId="7A6DA90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发包人迟延提供材料、工程设备；</w:t>
      </w:r>
    </w:p>
    <w:p w14:paraId="2282733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约定的其他情形。</w:t>
      </w:r>
    </w:p>
    <w:p w14:paraId="5AD20E0E">
      <w:pPr>
        <w:pStyle w:val="81"/>
        <w:ind w:firstLine="480"/>
        <w:rPr>
          <w:color w:val="000000" w:themeColor="text1"/>
          <w14:textFill>
            <w14:solidFill>
              <w14:schemeClr w14:val="tx1"/>
            </w14:solidFill>
          </w14:textFill>
        </w:rPr>
      </w:pPr>
      <w:bookmarkStart w:id="269" w:name="_Toc506"/>
      <w:bookmarkStart w:id="270" w:name="_Toc44492466"/>
      <w:bookmarkStart w:id="271" w:name="_Toc1176"/>
      <w:r>
        <w:rPr>
          <w:rFonts w:hint="eastAsia"/>
          <w:color w:val="000000" w:themeColor="text1"/>
          <w14:textFill>
            <w14:solidFill>
              <w14:schemeClr w14:val="tx1"/>
            </w14:solidFill>
          </w14:textFill>
        </w:rPr>
        <w:t>11.4.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异常恶劣的气候条件</w:t>
      </w:r>
      <w:bookmarkEnd w:id="269"/>
      <w:bookmarkEnd w:id="270"/>
      <w:bookmarkEnd w:id="271"/>
    </w:p>
    <w:p w14:paraId="24AD24F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由于出现专用条款规定的异常恶劣气候的条件导致工期延误的，分包人有权通过承包人要求发包人延长工期。</w:t>
      </w:r>
    </w:p>
    <w:p w14:paraId="21F10FA8">
      <w:pPr>
        <w:pStyle w:val="81"/>
        <w:ind w:firstLine="480"/>
        <w:rPr>
          <w:color w:val="000000" w:themeColor="text1"/>
          <w14:textFill>
            <w14:solidFill>
              <w14:schemeClr w14:val="tx1"/>
            </w14:solidFill>
          </w14:textFill>
        </w:rPr>
      </w:pPr>
      <w:bookmarkStart w:id="272" w:name="_Toc44492467"/>
      <w:bookmarkStart w:id="273" w:name="_Toc27117"/>
      <w:bookmarkStart w:id="274" w:name="_Toc32260"/>
      <w:r>
        <w:rPr>
          <w:rFonts w:hint="eastAsia"/>
          <w:color w:val="000000" w:themeColor="text1"/>
          <w14:textFill>
            <w14:solidFill>
              <w14:schemeClr w14:val="tx1"/>
            </w14:solidFill>
          </w14:textFill>
        </w:rPr>
        <w:t>11.5.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分包人的工期延误</w:t>
      </w:r>
      <w:bookmarkEnd w:id="272"/>
      <w:bookmarkEnd w:id="273"/>
      <w:bookmarkEnd w:id="274"/>
    </w:p>
    <w:p w14:paraId="7986C12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分包人原因，未能按合同进度计划完成工作，或监理人认为分包人施工进度不能满足合同工期要求的，分包人应采取措施加快进度，并承担加快进度所增加的费用。由于分包人原因造成节点工期延误和(或)竣工工期延误，分包人应支付逾期节点工期违约金和(或)竣工违约金给承包人，承包人按总承包合同的约定支付相应的违约金给发包人。分包人支付逾期竣工违约金，不免除分包人完成工程及修补缺陷的义务。分包人工期延误的其他约定见专用条款。</w:t>
      </w:r>
    </w:p>
    <w:p w14:paraId="3D95320E">
      <w:pPr>
        <w:pStyle w:val="81"/>
        <w:ind w:firstLine="480"/>
        <w:rPr>
          <w:color w:val="000000" w:themeColor="text1"/>
          <w14:textFill>
            <w14:solidFill>
              <w14:schemeClr w14:val="tx1"/>
            </w14:solidFill>
          </w14:textFill>
        </w:rPr>
      </w:pPr>
      <w:bookmarkStart w:id="275" w:name="_Toc44492468"/>
      <w:bookmarkStart w:id="276" w:name="_Toc27291"/>
      <w:bookmarkStart w:id="277" w:name="_Toc20343"/>
      <w:r>
        <w:rPr>
          <w:rFonts w:hint="eastAsia"/>
          <w:color w:val="000000" w:themeColor="text1"/>
          <w14:textFill>
            <w14:solidFill>
              <w14:schemeClr w14:val="tx1"/>
            </w14:solidFill>
          </w14:textFill>
        </w:rPr>
        <w:t>11.6.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工期提前</w:t>
      </w:r>
      <w:bookmarkEnd w:id="275"/>
      <w:bookmarkEnd w:id="276"/>
      <w:bookmarkEnd w:id="277"/>
    </w:p>
    <w:p w14:paraId="5BE13F7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发包人通过承包人要求分包人提前竣工，或分包人提出提前竣工的建议能够给发包人带来效益的，应由监理人与承包人、分包人共同协商采取加快工程进度的措施，修订合同进度计划。 工期提前的具体奖惩约定见专用条款。</w:t>
      </w:r>
    </w:p>
    <w:p w14:paraId="0E45A663">
      <w:pPr>
        <w:pStyle w:val="77"/>
        <w:rPr>
          <w:color w:val="000000" w:themeColor="text1"/>
          <w14:textFill>
            <w14:solidFill>
              <w14:schemeClr w14:val="tx1"/>
            </w14:solidFill>
          </w14:textFill>
        </w:rPr>
      </w:pPr>
      <w:bookmarkStart w:id="278" w:name="_Toc91082304"/>
      <w:bookmarkStart w:id="279" w:name="_Toc407356005"/>
      <w:bookmarkStart w:id="280" w:name="_Toc47512242"/>
      <w:bookmarkStart w:id="281" w:name="_Toc14815"/>
      <w:bookmarkStart w:id="282" w:name="_Toc24689"/>
      <w:bookmarkStart w:id="283" w:name="_Toc44492469"/>
      <w:bookmarkStart w:id="284" w:name="_Toc44227993"/>
      <w:r>
        <w:rPr>
          <w:rFonts w:hint="eastAsia"/>
          <w:color w:val="000000" w:themeColor="text1"/>
          <w14:textFill>
            <w14:solidFill>
              <w14:schemeClr w14:val="tx1"/>
            </w14:solidFill>
          </w14:textFill>
        </w:rPr>
        <w:t>12.暂停施工</w:t>
      </w:r>
      <w:bookmarkEnd w:id="278"/>
      <w:bookmarkEnd w:id="279"/>
      <w:bookmarkEnd w:id="280"/>
      <w:bookmarkEnd w:id="281"/>
      <w:bookmarkEnd w:id="282"/>
      <w:bookmarkEnd w:id="283"/>
      <w:bookmarkEnd w:id="284"/>
    </w:p>
    <w:p w14:paraId="47231DD4">
      <w:pPr>
        <w:pStyle w:val="81"/>
        <w:ind w:firstLine="480"/>
        <w:rPr>
          <w:color w:val="000000" w:themeColor="text1"/>
          <w14:textFill>
            <w14:solidFill>
              <w14:schemeClr w14:val="tx1"/>
            </w14:solidFill>
          </w14:textFill>
        </w:rPr>
      </w:pPr>
      <w:bookmarkStart w:id="285" w:name="_Toc44492470"/>
      <w:bookmarkStart w:id="286" w:name="_Toc4096"/>
      <w:bookmarkStart w:id="287" w:name="_Toc14730"/>
      <w:r>
        <w:rPr>
          <w:rFonts w:hint="eastAsia"/>
          <w:color w:val="000000" w:themeColor="text1"/>
          <w14:textFill>
            <w14:solidFill>
              <w14:schemeClr w14:val="tx1"/>
            </w14:solidFill>
          </w14:textFill>
        </w:rPr>
        <w:t>12.1.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分包人暂停施工的责任</w:t>
      </w:r>
      <w:bookmarkEnd w:id="285"/>
      <w:bookmarkEnd w:id="286"/>
      <w:bookmarkEnd w:id="287"/>
    </w:p>
    <w:p w14:paraId="5AB88B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因下列暂停施工增加的费用和（或）工期延误由分包人承担：</w:t>
      </w:r>
    </w:p>
    <w:p w14:paraId="516C6A7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分包人违约引起的暂停施工；</w:t>
      </w:r>
    </w:p>
    <w:p w14:paraId="5312283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由于分包人原因为工程合理施工和安全保障所必需的暂停施工；</w:t>
      </w:r>
    </w:p>
    <w:p w14:paraId="16B60C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分包人擅自暂停施工；</w:t>
      </w:r>
    </w:p>
    <w:p w14:paraId="1E79FD8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分包人其他原因引起的暂停施工。</w:t>
      </w:r>
    </w:p>
    <w:p w14:paraId="3F6BA09E">
      <w:pPr>
        <w:pStyle w:val="81"/>
        <w:ind w:firstLine="480"/>
        <w:rPr>
          <w:color w:val="000000" w:themeColor="text1"/>
          <w14:textFill>
            <w14:solidFill>
              <w14:schemeClr w14:val="tx1"/>
            </w14:solidFill>
          </w14:textFill>
        </w:rPr>
      </w:pPr>
      <w:bookmarkStart w:id="288" w:name="_Toc44492471"/>
      <w:bookmarkStart w:id="289" w:name="_Toc30240"/>
      <w:bookmarkStart w:id="290" w:name="_Toc23100"/>
      <w:r>
        <w:rPr>
          <w:rFonts w:hint="eastAsia"/>
          <w:color w:val="000000" w:themeColor="text1"/>
          <w14:textFill>
            <w14:solidFill>
              <w14:schemeClr w14:val="tx1"/>
            </w14:solidFill>
          </w14:textFill>
        </w:rPr>
        <w:t>12.2.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发包人暂停施工的责任</w:t>
      </w:r>
      <w:bookmarkEnd w:id="288"/>
      <w:bookmarkEnd w:id="289"/>
      <w:bookmarkEnd w:id="290"/>
    </w:p>
    <w:p w14:paraId="37A7CF1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由于发包人原因引起的暂停施工造成工期延误的，分包人有权通过承包人要求发包人延长工期和（或）增加费用。具体约定见专用条款。</w:t>
      </w:r>
    </w:p>
    <w:p w14:paraId="73040018">
      <w:pPr>
        <w:pStyle w:val="81"/>
        <w:ind w:firstLine="480"/>
        <w:rPr>
          <w:color w:val="000000" w:themeColor="text1"/>
          <w14:textFill>
            <w14:solidFill>
              <w14:schemeClr w14:val="tx1"/>
            </w14:solidFill>
          </w14:textFill>
        </w:rPr>
      </w:pPr>
      <w:bookmarkStart w:id="291" w:name="_Toc44492472"/>
      <w:bookmarkStart w:id="292" w:name="_Toc12192"/>
      <w:bookmarkStart w:id="293" w:name="_Toc16810"/>
      <w:r>
        <w:rPr>
          <w:rFonts w:hint="eastAsia"/>
          <w:color w:val="000000" w:themeColor="text1"/>
          <w14:textFill>
            <w14:solidFill>
              <w14:schemeClr w14:val="tx1"/>
            </w14:solidFill>
          </w14:textFill>
        </w:rPr>
        <w:t>12.3.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监理人暂停施工指示</w:t>
      </w:r>
      <w:bookmarkEnd w:id="291"/>
      <w:bookmarkEnd w:id="292"/>
      <w:bookmarkEnd w:id="293"/>
    </w:p>
    <w:p w14:paraId="08FC41C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认为有必要时，经发包人同意，可通过承包人向分包人作出暂停施工的指示，分包人应按监理人指示暂停施工。不论由于何种原因引起的暂停施工，暂停施工期间分包人应负责妥善保护工程并提供安全保障。</w:t>
      </w:r>
    </w:p>
    <w:p w14:paraId="4561CA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发包人的原因发生暂停施工的紧急情况，且监理人未及时下达暂停施工指示的，分包人应及时通过承包人向监理人和发包人提出暂停施工的请求。监理人和发包人应在接到请求后的24小时内予以答复，逾期未答复的，视为不同意分包人的暂停施工请求。</w:t>
      </w:r>
    </w:p>
    <w:p w14:paraId="4832074D">
      <w:pPr>
        <w:pStyle w:val="81"/>
        <w:ind w:firstLine="480"/>
        <w:rPr>
          <w:color w:val="000000" w:themeColor="text1"/>
          <w14:textFill>
            <w14:solidFill>
              <w14:schemeClr w14:val="tx1"/>
            </w14:solidFill>
          </w14:textFill>
        </w:rPr>
      </w:pPr>
      <w:bookmarkStart w:id="294" w:name="_Toc44492473"/>
      <w:bookmarkStart w:id="295" w:name="_Toc1375"/>
      <w:bookmarkStart w:id="296" w:name="_Toc4186"/>
      <w:r>
        <w:rPr>
          <w:rFonts w:hint="eastAsia"/>
          <w:color w:val="000000" w:themeColor="text1"/>
          <w14:textFill>
            <w14:solidFill>
              <w14:schemeClr w14:val="tx1"/>
            </w14:solidFill>
          </w14:textFill>
        </w:rPr>
        <w:t>12.4.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暂停施工后的复工</w:t>
      </w:r>
      <w:bookmarkEnd w:id="294"/>
      <w:bookmarkEnd w:id="295"/>
      <w:bookmarkEnd w:id="296"/>
    </w:p>
    <w:p w14:paraId="564106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暂停施工后，监理人应与发包人和承包人、分包人协商，采取有效措施积极消除暂停施工的影响，促成达到复工条件。当工程具备复工条件时，监理人应在取得发包人同意后通过承包人立即向分包人发出复工通知。分包人收到复工通知后，应在监理人指定的期限内复工。</w:t>
      </w:r>
    </w:p>
    <w:p w14:paraId="1ADE6A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发出复工通知后，监理人应和承包人、分包人一起对受到暂停施工影响的工程、材料和工程设备进行检查。分包人负责修复在暂停施工期间发生在工程、材料和工程设备上的任何损蚀、缺陷或损失，有关费用承担的约定见专用条款12.2.1条的约定。</w:t>
      </w:r>
    </w:p>
    <w:p w14:paraId="26CC084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分包人无故拖延和拒绝复工的，由此增加的费用和工期延误由分包人承担；因发包人原因无法按时复工的，分包人有权通过承包人要求发包人延长工期和（或）增加费用。</w:t>
      </w:r>
    </w:p>
    <w:p w14:paraId="7FC8C8A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其他约定见专用条款。</w:t>
      </w:r>
    </w:p>
    <w:p w14:paraId="7461C62B">
      <w:pPr>
        <w:pStyle w:val="81"/>
        <w:ind w:firstLine="480"/>
        <w:rPr>
          <w:color w:val="000000" w:themeColor="text1"/>
          <w14:textFill>
            <w14:solidFill>
              <w14:schemeClr w14:val="tx1"/>
            </w14:solidFill>
          </w14:textFill>
        </w:rPr>
      </w:pPr>
      <w:bookmarkStart w:id="297" w:name="_Toc27597"/>
      <w:bookmarkStart w:id="298" w:name="_Toc12498"/>
      <w:bookmarkStart w:id="299" w:name="_Toc44492474"/>
      <w:r>
        <w:rPr>
          <w:rFonts w:hint="eastAsia"/>
          <w:color w:val="000000" w:themeColor="text1"/>
          <w14:textFill>
            <w14:solidFill>
              <w14:schemeClr w14:val="tx1"/>
            </w14:solidFill>
          </w14:textFill>
        </w:rPr>
        <w:t>12.5.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分包人采取合理措施防止损失扩大</w:t>
      </w:r>
      <w:bookmarkEnd w:id="297"/>
      <w:bookmarkEnd w:id="298"/>
      <w:bookmarkEnd w:id="299"/>
    </w:p>
    <w:p w14:paraId="683047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无论任何原因，在工程暂停的情况下，分包人应采取合理措施，避免损失的进一步扩大。该等合理措施包括，在工程暂停期间，妥善保管已完工程，合理安排驻守工地的施工人员和机械，具体方案分包人需通过承包人报经发包人和监理人批准后实施。一旦对于窝工损失发生争议，则分包人应当证明其采取了所有可能采取的合理措施以避免损失扩大，并应当提供书面的记录或文件予以佐证。</w:t>
      </w:r>
    </w:p>
    <w:p w14:paraId="1D4E614F">
      <w:pPr>
        <w:pStyle w:val="77"/>
        <w:rPr>
          <w:color w:val="000000" w:themeColor="text1"/>
          <w14:textFill>
            <w14:solidFill>
              <w14:schemeClr w14:val="tx1"/>
            </w14:solidFill>
          </w14:textFill>
        </w:rPr>
      </w:pPr>
      <w:bookmarkStart w:id="300" w:name="_Toc407356006"/>
      <w:bookmarkStart w:id="301" w:name="_Toc91082305"/>
      <w:bookmarkStart w:id="302" w:name="_Toc44227994"/>
      <w:bookmarkStart w:id="303" w:name="_Toc47512243"/>
      <w:bookmarkStart w:id="304" w:name="_Toc2177"/>
      <w:bookmarkStart w:id="305" w:name="_Toc1325"/>
      <w:bookmarkStart w:id="306" w:name="_Toc44492475"/>
      <w:r>
        <w:rPr>
          <w:rFonts w:hint="eastAsia"/>
          <w:color w:val="000000" w:themeColor="text1"/>
          <w14:textFill>
            <w14:solidFill>
              <w14:schemeClr w14:val="tx1"/>
            </w14:solidFill>
          </w14:textFill>
        </w:rPr>
        <w:t>13.工程质量</w:t>
      </w:r>
      <w:bookmarkEnd w:id="300"/>
      <w:bookmarkEnd w:id="301"/>
      <w:bookmarkEnd w:id="302"/>
      <w:bookmarkEnd w:id="303"/>
      <w:bookmarkEnd w:id="304"/>
      <w:bookmarkEnd w:id="305"/>
      <w:bookmarkEnd w:id="306"/>
    </w:p>
    <w:p w14:paraId="62171C1A">
      <w:pPr>
        <w:pStyle w:val="81"/>
        <w:ind w:firstLine="480"/>
        <w:rPr>
          <w:color w:val="000000" w:themeColor="text1"/>
          <w14:textFill>
            <w14:solidFill>
              <w14:schemeClr w14:val="tx1"/>
            </w14:solidFill>
          </w14:textFill>
        </w:rPr>
      </w:pPr>
      <w:bookmarkStart w:id="307" w:name="_Toc31261"/>
      <w:bookmarkStart w:id="308" w:name="_Toc44492476"/>
      <w:bookmarkStart w:id="309" w:name="_Toc2053"/>
      <w:r>
        <w:rPr>
          <w:rFonts w:hint="eastAsia"/>
          <w:color w:val="000000" w:themeColor="text1"/>
          <w14:textFill>
            <w14:solidFill>
              <w14:schemeClr w14:val="tx1"/>
            </w14:solidFill>
          </w14:textFill>
        </w:rPr>
        <w:t>13.1.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工程质量要求</w:t>
      </w:r>
      <w:bookmarkEnd w:id="307"/>
      <w:bookmarkEnd w:id="308"/>
      <w:bookmarkEnd w:id="309"/>
    </w:p>
    <w:p w14:paraId="5A6C9B8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工程质量验收按合同专用条款和法律法规规章、规范性文件规定的验收标准执行。</w:t>
      </w:r>
    </w:p>
    <w:p w14:paraId="16657B2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因分包人原因造成工程质量达不到合同约定验收标准的，监理人有权通过承包人要求分包人返工直至符合合同要求为止，由此造成的费用增加和（或）工期延误由分包人承担。</w:t>
      </w:r>
    </w:p>
    <w:p w14:paraId="1D797918">
      <w:pPr>
        <w:pStyle w:val="81"/>
        <w:ind w:firstLine="480"/>
        <w:rPr>
          <w:color w:val="000000" w:themeColor="text1"/>
          <w14:textFill>
            <w14:solidFill>
              <w14:schemeClr w14:val="tx1"/>
            </w14:solidFill>
          </w14:textFill>
        </w:rPr>
      </w:pPr>
      <w:bookmarkStart w:id="310" w:name="_Toc3972"/>
      <w:bookmarkStart w:id="311" w:name="_Toc13256"/>
      <w:bookmarkStart w:id="312" w:name="_Toc44492477"/>
      <w:r>
        <w:rPr>
          <w:rFonts w:hint="eastAsia"/>
          <w:color w:val="000000" w:themeColor="text1"/>
          <w14:textFill>
            <w14:solidFill>
              <w14:schemeClr w14:val="tx1"/>
            </w14:solidFill>
          </w14:textFill>
        </w:rPr>
        <w:t>13.2.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分包人的质量管理</w:t>
      </w:r>
      <w:bookmarkEnd w:id="310"/>
      <w:bookmarkEnd w:id="311"/>
      <w:bookmarkEnd w:id="312"/>
    </w:p>
    <w:p w14:paraId="2922D25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分包人应在施工场地设置专门的质量检查机构或人员，建立完善的质量检查制度。分包人应在合同约定的期限内，提交工程质量保证措施文件，包括质量检查机构或质量检查人员岗位责任、质检人员的组成、质量检查程序和实施细则等，报送监理人审批。 </w:t>
      </w:r>
    </w:p>
    <w:p w14:paraId="6F1C332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分包人应加强对施工人员的质量教育和技术培训，定期考核施工人员的劳动技能，严格执行规范和操作规程。</w:t>
      </w:r>
    </w:p>
    <w:p w14:paraId="027D90D3">
      <w:pPr>
        <w:pStyle w:val="81"/>
        <w:ind w:firstLine="480"/>
        <w:rPr>
          <w:color w:val="000000" w:themeColor="text1"/>
          <w14:textFill>
            <w14:solidFill>
              <w14:schemeClr w14:val="tx1"/>
            </w14:solidFill>
          </w14:textFill>
        </w:rPr>
      </w:pPr>
      <w:bookmarkStart w:id="313" w:name="_Toc21520"/>
      <w:bookmarkStart w:id="314" w:name="_Toc44492478"/>
      <w:bookmarkStart w:id="315" w:name="_Toc28683"/>
      <w:r>
        <w:rPr>
          <w:rFonts w:hint="eastAsia"/>
          <w:color w:val="000000" w:themeColor="text1"/>
          <w14:textFill>
            <w14:solidFill>
              <w14:schemeClr w14:val="tx1"/>
            </w14:solidFill>
          </w14:textFill>
        </w:rPr>
        <w:t>13.3.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分包人的质量检查</w:t>
      </w:r>
      <w:bookmarkEnd w:id="313"/>
      <w:bookmarkEnd w:id="314"/>
      <w:bookmarkEnd w:id="315"/>
    </w:p>
    <w:p w14:paraId="3F0995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分包人应按合同约定对材料、工程设备以及工程的所有部位及其施工工艺进行全过程的质量检查和检验，并作详细记录，编制工程质量报表，通过承包人报送监理人审查。</w:t>
      </w:r>
    </w:p>
    <w:p w14:paraId="43EDF0F4">
      <w:pPr>
        <w:pStyle w:val="81"/>
        <w:ind w:firstLine="480"/>
        <w:rPr>
          <w:color w:val="000000" w:themeColor="text1"/>
          <w14:textFill>
            <w14:solidFill>
              <w14:schemeClr w14:val="tx1"/>
            </w14:solidFill>
          </w14:textFill>
        </w:rPr>
      </w:pPr>
      <w:bookmarkStart w:id="316" w:name="_Toc10065"/>
      <w:bookmarkStart w:id="317" w:name="_Toc28118"/>
      <w:bookmarkStart w:id="318" w:name="_Toc44492479"/>
      <w:r>
        <w:rPr>
          <w:rFonts w:hint="eastAsia"/>
          <w:color w:val="000000" w:themeColor="text1"/>
          <w14:textFill>
            <w14:solidFill>
              <w14:schemeClr w14:val="tx1"/>
            </w14:solidFill>
          </w14:textFill>
        </w:rPr>
        <w:t>13.4.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监理人的质量检查</w:t>
      </w:r>
      <w:bookmarkEnd w:id="316"/>
      <w:bookmarkEnd w:id="317"/>
      <w:bookmarkEnd w:id="318"/>
    </w:p>
    <w:p w14:paraId="00B77F1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有权对工程的所有部位及其施工工艺、材料和工程设备进行检查和检验。分包人应为监理人的检查和检验提供方便，包括监理人到施工场地，或制造、加工地点，或合同约定的其他地方进行察看和查阅施工原始记录。分包人还应按监理人指示，进行施工场地取样试验、工程复核测量和设备性能检测，提供试验样品、提交试验报告和测量成果以及监理人要求进行的其他工作。监理人的检查和检验，不免除分包人按合同约定应负的责任。</w:t>
      </w:r>
    </w:p>
    <w:p w14:paraId="75559892">
      <w:pPr>
        <w:pStyle w:val="81"/>
        <w:ind w:firstLine="480"/>
        <w:rPr>
          <w:color w:val="000000" w:themeColor="text1"/>
          <w14:textFill>
            <w14:solidFill>
              <w14:schemeClr w14:val="tx1"/>
            </w14:solidFill>
          </w14:textFill>
        </w:rPr>
      </w:pPr>
      <w:bookmarkStart w:id="319" w:name="_Toc44492480"/>
      <w:bookmarkStart w:id="320" w:name="_Toc18740"/>
      <w:bookmarkStart w:id="321" w:name="_Toc32064"/>
      <w:r>
        <w:rPr>
          <w:rFonts w:hint="eastAsia"/>
          <w:color w:val="000000" w:themeColor="text1"/>
          <w14:textFill>
            <w14:solidFill>
              <w14:schemeClr w14:val="tx1"/>
            </w14:solidFill>
          </w14:textFill>
        </w:rPr>
        <w:t>13.5.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工程隐蔽部位覆盖前的检查</w:t>
      </w:r>
      <w:bookmarkEnd w:id="319"/>
      <w:bookmarkEnd w:id="320"/>
      <w:bookmarkEnd w:id="321"/>
    </w:p>
    <w:p w14:paraId="1C341EF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通知监理人检查</w:t>
      </w:r>
    </w:p>
    <w:p w14:paraId="59A0B0C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经分包人自检确认的工程隐蔽部位具备覆盖条件后，分包人应通过承包人通知监理人在约定的期限内检查并通知发包人到场。</w:t>
      </w:r>
      <w:r>
        <w:rPr>
          <w:rFonts w:hint="eastAsia" w:ascii="宋体" w:hAnsi="宋体"/>
          <w:color w:val="000000" w:themeColor="text1"/>
          <w14:textFill>
            <w14:solidFill>
              <w14:schemeClr w14:val="tx1"/>
            </w14:solidFill>
          </w14:textFill>
        </w:rPr>
        <w:t>除专用合同条款另有规定外，分包人应在共同检查前48小时</w:t>
      </w:r>
      <w:r>
        <w:rPr>
          <w:rFonts w:hint="eastAsia"/>
          <w:color w:val="000000" w:themeColor="text1"/>
          <w14:textFill>
            <w14:solidFill>
              <w14:schemeClr w14:val="tx1"/>
            </w14:solidFill>
          </w14:textFill>
        </w:rPr>
        <w:t>通过承包人</w:t>
      </w:r>
      <w:r>
        <w:rPr>
          <w:rFonts w:hint="eastAsia" w:ascii="宋体" w:hAnsi="宋体"/>
          <w:color w:val="000000" w:themeColor="text1"/>
          <w14:textFill>
            <w14:solidFill>
              <w14:schemeClr w14:val="tx1"/>
            </w14:solidFill>
          </w14:textFill>
        </w:rPr>
        <w:t>书面通知发包人和监理人。</w:t>
      </w:r>
      <w:r>
        <w:rPr>
          <w:rFonts w:hint="eastAsia"/>
          <w:color w:val="000000" w:themeColor="text1"/>
          <w14:textFill>
            <w14:solidFill>
              <w14:schemeClr w14:val="tx1"/>
            </w14:solidFill>
          </w14:textFill>
        </w:rPr>
        <w:t>分包人的通知应附有自检记录和必要的检查资料。监理人应按时到场检查经监理人检查确认质量符合隐蔽要求，并在检查记录上签字后，分包人才能进行覆盖。如监理人检查确认质量不合格的，分包人应在监理人指示的时间内完成修复，并通知监理人重新检查。</w:t>
      </w:r>
    </w:p>
    <w:p w14:paraId="7165A0F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监理人未到场检查</w:t>
      </w:r>
    </w:p>
    <w:p w14:paraId="0B28AFE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理人未按第13.5.1项约定的时间到场检查的，除监理人另有指示外，分包人须在发包人、承包人在场的情况下自行完成覆盖工作（发包人在场并不视同发包人对该隐蔽部位质量的认可，同时不免除分包人按合同约定应负的责任），并作相应记录报送监理人，监理人应签字确认。监理人事后对检查记录有疑问的，可按第13.5.3项的约定重新检查。</w:t>
      </w:r>
    </w:p>
    <w:p w14:paraId="2F05BC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监理人重新检查</w:t>
      </w:r>
    </w:p>
    <w:p w14:paraId="76BB353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按第13.5.1项或第13.5.2项覆盖工程隐蔽部位后，监理人对质量有疑问的，经发包人同意后,可通过承包人要求分包人对已覆盖的部位进行钻孔探测或揭开重新检验，分包人应遵照执行，并在检验后重新覆盖恢复原状。重新检查时，分包人应通过承包人通知发包人到场，经检验证明工程质量符合合同要求的，由发包人承担由此增加的费用和（或）工期延误（根据总承包合同，发包人支付相关增加费用给承包人，承包人根据本合同把相应金额支付给分包人）；经检验证明工程质量不符合合同要求的，由此增加的费用和（或）工期延误由分包人承担。</w:t>
      </w:r>
    </w:p>
    <w:p w14:paraId="19F2C03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分包人私自覆盖</w:t>
      </w:r>
    </w:p>
    <w:p w14:paraId="44652D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分包人未通过承包人通知监理人到场检查，私自将工程隐蔽部位覆盖的，监理人有权通过承包人指示分包人钻孔探测或揭开检查，由此增加的费用和（或）工期延误由分包人承担。</w:t>
      </w:r>
    </w:p>
    <w:p w14:paraId="73FB6D02">
      <w:pPr>
        <w:pStyle w:val="81"/>
        <w:ind w:firstLine="480"/>
        <w:rPr>
          <w:color w:val="000000" w:themeColor="text1"/>
          <w14:textFill>
            <w14:solidFill>
              <w14:schemeClr w14:val="tx1"/>
            </w14:solidFill>
          </w14:textFill>
        </w:rPr>
      </w:pPr>
      <w:bookmarkStart w:id="322" w:name="_Toc24635"/>
      <w:bookmarkStart w:id="323" w:name="_Toc2141"/>
      <w:bookmarkStart w:id="324" w:name="_Toc44492481"/>
      <w:r>
        <w:rPr>
          <w:rFonts w:hint="eastAsia"/>
          <w:color w:val="000000" w:themeColor="text1"/>
          <w14:textFill>
            <w14:solidFill>
              <w14:schemeClr w14:val="tx1"/>
            </w14:solidFill>
          </w14:textFill>
        </w:rPr>
        <w:t>13.6.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清除不合格工程</w:t>
      </w:r>
      <w:bookmarkEnd w:id="322"/>
      <w:bookmarkEnd w:id="323"/>
      <w:bookmarkEnd w:id="324"/>
    </w:p>
    <w:p w14:paraId="2C668E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使用不合格材料、工程设备，或采用不适当的施工工艺，或施工不当，造成工程不合格的，监理人可以随时发出指示，要求分包人立即采取措施进行补救，直至达到合同要求的质量标准，由此增加的费用和（或）工期延误由分包人承担。</w:t>
      </w:r>
    </w:p>
    <w:p w14:paraId="70C2CAD3">
      <w:pPr>
        <w:pStyle w:val="77"/>
        <w:rPr>
          <w:color w:val="000000" w:themeColor="text1"/>
          <w14:textFill>
            <w14:solidFill>
              <w14:schemeClr w14:val="tx1"/>
            </w14:solidFill>
          </w14:textFill>
        </w:rPr>
      </w:pPr>
      <w:bookmarkStart w:id="325" w:name="_Toc44227995"/>
      <w:bookmarkStart w:id="326" w:name="_Toc407356007"/>
      <w:bookmarkStart w:id="327" w:name="_Toc47512244"/>
      <w:bookmarkStart w:id="328" w:name="_Toc32698"/>
      <w:bookmarkStart w:id="329" w:name="_Toc91082306"/>
      <w:bookmarkStart w:id="330" w:name="_Toc44492482"/>
      <w:bookmarkStart w:id="331" w:name="_Toc30255"/>
      <w:r>
        <w:rPr>
          <w:rFonts w:hint="eastAsia"/>
          <w:color w:val="000000" w:themeColor="text1"/>
          <w14:textFill>
            <w14:solidFill>
              <w14:schemeClr w14:val="tx1"/>
            </w14:solidFill>
          </w14:textFill>
        </w:rPr>
        <w:t>14.试验和检验</w:t>
      </w:r>
      <w:bookmarkEnd w:id="325"/>
      <w:bookmarkEnd w:id="326"/>
      <w:bookmarkEnd w:id="327"/>
      <w:bookmarkEnd w:id="328"/>
      <w:bookmarkEnd w:id="329"/>
      <w:bookmarkEnd w:id="330"/>
      <w:bookmarkEnd w:id="331"/>
    </w:p>
    <w:p w14:paraId="58F7A48E">
      <w:pPr>
        <w:pStyle w:val="81"/>
        <w:ind w:firstLine="480"/>
        <w:rPr>
          <w:color w:val="000000" w:themeColor="text1"/>
          <w14:textFill>
            <w14:solidFill>
              <w14:schemeClr w14:val="tx1"/>
            </w14:solidFill>
          </w14:textFill>
        </w:rPr>
      </w:pPr>
      <w:bookmarkStart w:id="332" w:name="_Toc44492483"/>
      <w:bookmarkStart w:id="333" w:name="_Toc24556"/>
      <w:bookmarkStart w:id="334" w:name="_Toc20790"/>
      <w:r>
        <w:rPr>
          <w:rFonts w:hint="eastAsia"/>
          <w:color w:val="000000" w:themeColor="text1"/>
          <w14:textFill>
            <w14:solidFill>
              <w14:schemeClr w14:val="tx1"/>
            </w14:solidFill>
          </w14:textFill>
        </w:rPr>
        <w:t>14.1.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材料、工程设备和工程的试验和检验</w:t>
      </w:r>
      <w:bookmarkEnd w:id="332"/>
      <w:bookmarkEnd w:id="333"/>
      <w:bookmarkEnd w:id="334"/>
    </w:p>
    <w:p w14:paraId="12F7732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进行材料、工程设备和工程的试验和检验，并为监理人对上述材料、工程设备和工程的质量检查提供必要的试验资料和原始记录。按合同约定应由监理人与分包人共同进行试验和检验的，由分包人负责提供必要的试验资料和原始记录。</w:t>
      </w:r>
    </w:p>
    <w:p w14:paraId="4212DD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监理人对分包人的试验和检验结果有疑问的，或为查清分包人试验和检验成果的可靠性要求经发包人同意后, 可要求分包人重新试验和检验。重新试验和检验的结果证明该项材料、工程设备或工程的质量不符合合同要求的，由此增加的费用和（或）工期延误由分包人承担；重新试验和检验结果证明该项材料、工程设备和工程符合合同要求，由发包人承担由此增加的费用和（或）工期延误。</w:t>
      </w:r>
    </w:p>
    <w:p w14:paraId="1CF3B7E6">
      <w:pPr>
        <w:pStyle w:val="81"/>
        <w:ind w:firstLine="480"/>
        <w:rPr>
          <w:color w:val="000000" w:themeColor="text1"/>
          <w14:textFill>
            <w14:solidFill>
              <w14:schemeClr w14:val="tx1"/>
            </w14:solidFill>
          </w14:textFill>
        </w:rPr>
      </w:pPr>
      <w:bookmarkStart w:id="335" w:name="_Toc10712"/>
      <w:bookmarkStart w:id="336" w:name="_Toc44492484"/>
      <w:bookmarkStart w:id="337" w:name="_Toc28922"/>
      <w:r>
        <w:rPr>
          <w:rFonts w:hint="eastAsia"/>
          <w:color w:val="000000" w:themeColor="text1"/>
          <w14:textFill>
            <w14:solidFill>
              <w14:schemeClr w14:val="tx1"/>
            </w14:solidFill>
          </w14:textFill>
        </w:rPr>
        <w:t>14.2.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现场材料试验</w:t>
      </w:r>
      <w:bookmarkEnd w:id="335"/>
      <w:bookmarkEnd w:id="336"/>
      <w:bookmarkEnd w:id="337"/>
    </w:p>
    <w:p w14:paraId="242E7C0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分包人根据合同约定或监理人指示进行的现场材料试验，应由分包人提供试验场所、试验人员、试验设备器材以及其他必要的试验条件。</w:t>
      </w:r>
    </w:p>
    <w:p w14:paraId="7D511B0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监理人在必要时可以使用分包人的试验场所、试验设备器材以及其他试验条件，进行以工程质量检查为目的的复核性材料试验，分包人应予以协助。</w:t>
      </w:r>
    </w:p>
    <w:p w14:paraId="02E0D0F2">
      <w:pPr>
        <w:pStyle w:val="81"/>
        <w:ind w:firstLine="480"/>
        <w:rPr>
          <w:color w:val="000000" w:themeColor="text1"/>
          <w14:textFill>
            <w14:solidFill>
              <w14:schemeClr w14:val="tx1"/>
            </w14:solidFill>
          </w14:textFill>
        </w:rPr>
      </w:pPr>
      <w:bookmarkStart w:id="338" w:name="_Toc22748"/>
      <w:bookmarkStart w:id="339" w:name="_Toc44492485"/>
      <w:bookmarkStart w:id="340" w:name="_Toc25649"/>
      <w:r>
        <w:rPr>
          <w:rFonts w:hint="eastAsia"/>
          <w:color w:val="000000" w:themeColor="text1"/>
          <w14:textFill>
            <w14:solidFill>
              <w14:schemeClr w14:val="tx1"/>
            </w14:solidFill>
          </w14:textFill>
        </w:rPr>
        <w:t>14.3.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现场工艺试验</w:t>
      </w:r>
      <w:bookmarkEnd w:id="338"/>
      <w:bookmarkEnd w:id="339"/>
      <w:bookmarkEnd w:id="340"/>
    </w:p>
    <w:p w14:paraId="05ECC74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分包人应按合同约定或监理人指示进行现场工艺试验。对大型的现场工艺试验，监理人认为必要时，应由分包人根据监理人提出的工艺试验要求，编制工艺试验措施计划，通过承包人报送监理人审批。</w:t>
      </w:r>
    </w:p>
    <w:p w14:paraId="39635608">
      <w:pPr>
        <w:pStyle w:val="81"/>
        <w:ind w:firstLine="480"/>
        <w:rPr>
          <w:color w:val="000000" w:themeColor="text1"/>
          <w14:textFill>
            <w14:solidFill>
              <w14:schemeClr w14:val="tx1"/>
            </w14:solidFill>
          </w14:textFill>
        </w:rPr>
      </w:pPr>
      <w:bookmarkStart w:id="341" w:name="_Toc44492486"/>
      <w:bookmarkStart w:id="342" w:name="_Toc9590"/>
      <w:bookmarkStart w:id="343" w:name="_Toc32490"/>
      <w:r>
        <w:rPr>
          <w:rFonts w:hint="eastAsia"/>
          <w:color w:val="000000" w:themeColor="text1"/>
          <w14:textFill>
            <w14:solidFill>
              <w14:schemeClr w14:val="tx1"/>
            </w14:solidFill>
          </w14:textFill>
        </w:rPr>
        <w:t>14.4.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发包人提供的材料和工程设备的试验和检验</w:t>
      </w:r>
      <w:bookmarkEnd w:id="341"/>
      <w:bookmarkEnd w:id="342"/>
      <w:bookmarkEnd w:id="343"/>
    </w:p>
    <w:p w14:paraId="05C42E6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到货后，发包人、监理人及分包人共同验收时，由发包人负责提供该材料和工程设备的合格证明及其他国家规范标准要求的必要产品质量证明文件及检验试验合格证明文件。分包人需对发包人提供的材料设备质量证明文件进行核查，以确保其满足工程规范和合同质量要求。若分包人对发包人所供材料和工程设备质量、安全及性能等提出质疑要求重新检验试验时，由发包人、监理人与分包人共同进行。重新试验和检验的结果证明该项材料和工程设备的质量、安全及性能不符合合同及规范标准要求的，由此增加的费用和延误的工期由发包人承担；重新试验和检验的结果证明该项材料设备的质量、安全及性能符合合同及规范标准要求的，由分包人承担由此增加的费用和延误的工期。</w:t>
      </w:r>
    </w:p>
    <w:p w14:paraId="283BD08A">
      <w:pPr>
        <w:pStyle w:val="77"/>
        <w:rPr>
          <w:color w:val="000000" w:themeColor="text1"/>
          <w14:textFill>
            <w14:solidFill>
              <w14:schemeClr w14:val="tx1"/>
            </w14:solidFill>
          </w14:textFill>
        </w:rPr>
      </w:pPr>
      <w:bookmarkStart w:id="344" w:name="_Toc407356008"/>
      <w:bookmarkStart w:id="345" w:name="_Toc44492487"/>
      <w:bookmarkStart w:id="346" w:name="_Toc91082307"/>
      <w:bookmarkStart w:id="347" w:name="_Toc47512245"/>
      <w:bookmarkStart w:id="348" w:name="_Toc44227996"/>
      <w:bookmarkStart w:id="349" w:name="_Toc10020"/>
      <w:bookmarkStart w:id="350" w:name="_Toc6551"/>
      <w:r>
        <w:rPr>
          <w:rFonts w:hint="eastAsia"/>
          <w:color w:val="000000" w:themeColor="text1"/>
          <w14:textFill>
            <w14:solidFill>
              <w14:schemeClr w14:val="tx1"/>
            </w14:solidFill>
          </w14:textFill>
        </w:rPr>
        <w:t>15.变更</w:t>
      </w:r>
      <w:bookmarkEnd w:id="344"/>
      <w:bookmarkEnd w:id="345"/>
      <w:bookmarkEnd w:id="346"/>
      <w:bookmarkEnd w:id="347"/>
      <w:bookmarkEnd w:id="348"/>
      <w:bookmarkEnd w:id="349"/>
      <w:bookmarkEnd w:id="350"/>
    </w:p>
    <w:p w14:paraId="43A70B0A">
      <w:pPr>
        <w:pStyle w:val="81"/>
        <w:ind w:firstLine="480"/>
        <w:rPr>
          <w:color w:val="000000" w:themeColor="text1"/>
          <w14:textFill>
            <w14:solidFill>
              <w14:schemeClr w14:val="tx1"/>
            </w14:solidFill>
          </w14:textFill>
        </w:rPr>
      </w:pPr>
      <w:bookmarkStart w:id="351" w:name="_Toc1079"/>
      <w:bookmarkStart w:id="352" w:name="_Toc15187"/>
      <w:bookmarkStart w:id="353" w:name="_Toc44492488"/>
      <w:r>
        <w:rPr>
          <w:rFonts w:hint="eastAsia"/>
          <w:color w:val="000000" w:themeColor="text1"/>
          <w14:textFill>
            <w14:solidFill>
              <w14:schemeClr w14:val="tx1"/>
            </w14:solidFill>
          </w14:textFill>
        </w:rPr>
        <w:t>15.1.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变更程序</w:t>
      </w:r>
      <w:bookmarkEnd w:id="351"/>
      <w:bookmarkEnd w:id="352"/>
      <w:bookmarkEnd w:id="353"/>
    </w:p>
    <w:p w14:paraId="794A5E28">
      <w:pPr>
        <w:pStyle w:val="56"/>
        <w:ind w:firstLine="480"/>
        <w:rPr>
          <w:color w:val="000000" w:themeColor="text1"/>
          <w14:textFill>
            <w14:solidFill>
              <w14:schemeClr w14:val="tx1"/>
            </w14:solidFill>
          </w14:textFill>
        </w:rPr>
      </w:pPr>
      <w:bookmarkStart w:id="354" w:name="_Toc44492489"/>
      <w:r>
        <w:rPr>
          <w:rFonts w:hint="eastAsia"/>
          <w:color w:val="000000" w:themeColor="text1"/>
          <w14:textFill>
            <w14:solidFill>
              <w14:schemeClr w14:val="tx1"/>
            </w14:solidFill>
          </w14:textFill>
        </w:rPr>
        <w:t>15.1.1.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中发包人需对原工程进行变更时，应提前以书面形式通过承包人向分包人发出变更通知，并提供变更的相应图纸和（或）说明。分包人应当按照发包人发出的变更通知及有关要求实施变更。分包人不得以指示所涉及的费用未确定为由不执行或拖延执行。当通过承包人、分包人接到发包人的指示后三（3）天内，分包人仍未开始执行有关的工作（按工程实际情况不可能立即执行的除外），发包人可通过承包人雇用第三人代为执行，分包人应承担承包人雇佣第三人所造成的价差，同时需按专用条款的约定承担违约责任。承包人可从应支付或将会支付给分包人的款项中扣回或当作债务向分包人追讨。</w:t>
      </w:r>
      <w:bookmarkEnd w:id="354"/>
    </w:p>
    <w:p w14:paraId="2D95924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15.1.2   分包人进场之前，发包人将通过承包人书面通知分包人变更流程、变更单格式，双方应遵照执行。</w:t>
      </w:r>
    </w:p>
    <w:p w14:paraId="51D987D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发包人有权通过承包人发出指令要求变更，分包人不得拒绝。除得到发包人书面指令外，分包人不能擅自做出变更。任何发包人要求的或发包人随后追认的变更皆不会使本合同失效。</w:t>
      </w:r>
    </w:p>
    <w:p w14:paraId="6A5D8E3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如分包人超出合同文件的要求进行施工，则无论本工程是否通过了竣工验收，均不能认为发包人同意支付该等超出合同文件的要求进行施工的费用，由此增加的费用和延误的工期均由分包人承担。</w:t>
      </w:r>
    </w:p>
    <w:p w14:paraId="08EE1D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采用或更改任何施工方案、施工工序、施工措施、施工工艺的，均不构成变更，由分包人承担由此增加的费用和延误的工期，即便发包人对前述方案、工序、措施和工艺进行了变更，也只是对技术的确认，发包人、承包人不因此而承担任何费用及工期延误的责任，</w:t>
      </w:r>
      <w:r>
        <w:rPr>
          <w:color w:val="000000" w:themeColor="text1"/>
          <w14:textFill>
            <w14:solidFill>
              <w14:schemeClr w14:val="tx1"/>
            </w14:solidFill>
          </w14:textFill>
        </w:rPr>
        <w:t>如果因此给发包人造成损失，分包人应当全额赔偿</w:t>
      </w:r>
      <w:r>
        <w:rPr>
          <w:rFonts w:hint="eastAsia"/>
          <w:color w:val="000000" w:themeColor="text1"/>
          <w14:textFill>
            <w14:solidFill>
              <w14:schemeClr w14:val="tx1"/>
            </w14:solidFill>
          </w14:textFill>
        </w:rPr>
        <w:t>。</w:t>
      </w:r>
    </w:p>
    <w:p w14:paraId="1A64ED1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按照指示完成变更不得影响工程的连续施工。除非合同另有约定，分包人不得以发包人和承包人或分包人之间未能就变更的计价达成一致而拒绝实施变更工作。</w:t>
      </w:r>
    </w:p>
    <w:p w14:paraId="718C9AD1">
      <w:pPr>
        <w:pStyle w:val="56"/>
        <w:ind w:firstLine="480"/>
        <w:rPr>
          <w:bCs/>
          <w:color w:val="000000" w:themeColor="text1"/>
          <w14:textFill>
            <w14:solidFill>
              <w14:schemeClr w14:val="tx1"/>
            </w14:solidFill>
          </w14:textFill>
        </w:rPr>
      </w:pPr>
      <w:bookmarkStart w:id="355" w:name="_Toc44492490"/>
      <w:r>
        <w:rPr>
          <w:rFonts w:hint="eastAsia"/>
          <w:color w:val="000000" w:themeColor="text1"/>
          <w14:textFill>
            <w14:solidFill>
              <w14:schemeClr w14:val="tx1"/>
            </w14:solidFill>
          </w14:textFill>
        </w:rPr>
        <w:t xml:space="preserve">15.1.7. </w:t>
      </w:r>
      <w:r>
        <w:rPr>
          <w:rFonts w:hint="eastAsia"/>
          <w:bCs/>
          <w:color w:val="000000" w:themeColor="text1"/>
          <w14:textFill>
            <w14:solidFill>
              <w14:schemeClr w14:val="tx1"/>
            </w14:solidFill>
          </w14:textFill>
        </w:rPr>
        <w:t>设计人提出的设计变更，必须经发包人批准后，并通过承包人通知分包人才能按图进行施工，如设计变更未经发包人批准分包人安排施工，所需费用由分包人承担，且发包人有权通过承包人提出拆除及恢复，分包人承担由此造成的费用；如设计变更未经发包人批准分包人安排施工，且设计变更不合理，其施工费用、恢复费用及由此造成的损失由分包人承担，同时分包人应按专用条款的约定承担违约责任。</w:t>
      </w:r>
      <w:bookmarkEnd w:id="355"/>
      <w:bookmarkStart w:id="356" w:name="_Toc44492491"/>
      <w:bookmarkStart w:id="357" w:name="_Toc15591"/>
      <w:bookmarkStart w:id="358" w:name="_Toc10741"/>
    </w:p>
    <w:p w14:paraId="41CD810D">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变更价款的确定</w:t>
      </w:r>
      <w:bookmarkEnd w:id="356"/>
      <w:bookmarkEnd w:id="357"/>
      <w:bookmarkEnd w:id="358"/>
    </w:p>
    <w:p w14:paraId="4E9A9445">
      <w:pPr>
        <w:pStyle w:val="81"/>
        <w:ind w:firstLine="420"/>
        <w:rPr>
          <w:color w:val="000000" w:themeColor="text1"/>
          <w14:textFill>
            <w14:solidFill>
              <w14:schemeClr w14:val="tx1"/>
            </w14:solidFill>
          </w14:textFill>
        </w:rPr>
      </w:pPr>
      <w:bookmarkStart w:id="359" w:name="_Toc44492492"/>
      <w:r>
        <w:rPr>
          <w:rFonts w:hint="eastAsia" w:eastAsia="仿宋_GB2312"/>
          <w:bCs w:val="0"/>
          <w:color w:val="000000" w:themeColor="text1"/>
          <w:kern w:val="0"/>
          <w:sz w:val="21"/>
          <w14:textFill>
            <w14:solidFill>
              <w14:schemeClr w14:val="tx1"/>
            </w14:solidFill>
          </w14:textFill>
        </w:rPr>
        <w:t>变更价款</w:t>
      </w:r>
      <w:r>
        <w:rPr>
          <w:rFonts w:eastAsia="仿宋_GB2312"/>
          <w:bCs w:val="0"/>
          <w:color w:val="000000" w:themeColor="text1"/>
          <w:kern w:val="0"/>
          <w:sz w:val="21"/>
          <w14:textFill>
            <w14:solidFill>
              <w14:schemeClr w14:val="tx1"/>
            </w14:solidFill>
          </w14:textFill>
        </w:rPr>
        <w:t>的确定在专用条款中说明。</w:t>
      </w:r>
      <w:bookmarkEnd w:id="359"/>
    </w:p>
    <w:p w14:paraId="620B750D">
      <w:pPr>
        <w:pStyle w:val="81"/>
        <w:ind w:firstLine="480"/>
        <w:rPr>
          <w:color w:val="000000" w:themeColor="text1"/>
          <w14:textFill>
            <w14:solidFill>
              <w14:schemeClr w14:val="tx1"/>
            </w14:solidFill>
          </w14:textFill>
        </w:rPr>
      </w:pPr>
      <w:bookmarkStart w:id="360" w:name="_Toc14333"/>
      <w:bookmarkStart w:id="361" w:name="_Toc28558"/>
      <w:bookmarkStart w:id="362" w:name="_Toc44492493"/>
      <w:r>
        <w:rPr>
          <w:rFonts w:hint="eastAsia"/>
          <w:color w:val="000000" w:themeColor="text1"/>
          <w14:textFill>
            <w14:solidFill>
              <w14:schemeClr w14:val="tx1"/>
            </w14:solidFill>
          </w14:textFill>
        </w:rPr>
        <w:t>15.3.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分包人的合理化建议</w:t>
      </w:r>
      <w:bookmarkEnd w:id="360"/>
      <w:bookmarkEnd w:id="361"/>
      <w:bookmarkEnd w:id="362"/>
    </w:p>
    <w:p w14:paraId="698FC4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履行合同过程中，分包人通过承包人对发包人提供的图纸、技术要求以及其他方面提出的合理化建议，均应以书面形式通过承包人提交监理人。合理化建议书的内容应包括建议工作的详细说明、进度计划和效益以及与其他工作的协调等，并附必要的设计文件。监理人应与发包人协商是否采纳建议。建议被采纳并构成变更的，按照变更程序执行。</w:t>
      </w:r>
    </w:p>
    <w:p w14:paraId="35C7BE35">
      <w:pPr>
        <w:pStyle w:val="56"/>
        <w:ind w:firstLine="480"/>
        <w:rPr>
          <w:color w:val="000000" w:themeColor="text1"/>
          <w14:textFill>
            <w14:solidFill>
              <w14:schemeClr w14:val="tx1"/>
            </w14:solidFill>
          </w14:textFill>
        </w:rPr>
      </w:pPr>
      <w:r>
        <w:rPr>
          <w:rFonts w:hint="eastAsia"/>
          <w:bCs/>
          <w:color w:val="000000" w:themeColor="text1"/>
          <w14:textFill>
            <w14:solidFill>
              <w14:schemeClr w14:val="tx1"/>
            </w14:solidFill>
          </w14:textFill>
        </w:rPr>
        <w:t>15.3.2.</w:t>
      </w:r>
      <w:r>
        <w:rPr>
          <w:rFonts w:hint="eastAsia"/>
          <w:bCs/>
          <w:color w:val="000000" w:themeColor="text1"/>
          <w14:textFill>
            <w14:solidFill>
              <w14:schemeClr w14:val="tx1"/>
            </w14:solidFill>
          </w14:textFill>
        </w:rPr>
        <w:tab/>
      </w:r>
      <w:r>
        <w:rPr>
          <w:rFonts w:hint="eastAsia"/>
          <w:bCs/>
          <w:color w:val="000000" w:themeColor="text1"/>
          <w14:textFill>
            <w14:solidFill>
              <w14:schemeClr w14:val="tx1"/>
            </w14:solidFill>
          </w14:textFill>
        </w:rPr>
        <w:t>分包人在施工中提出的合理化建议涉及到对设计图纸或施工组织设计的更改及对材料、设备的换用，须</w:t>
      </w:r>
      <w:r>
        <w:rPr>
          <w:rFonts w:hint="eastAsia"/>
          <w:color w:val="000000" w:themeColor="text1"/>
          <w14:textFill>
            <w14:solidFill>
              <w14:schemeClr w14:val="tx1"/>
            </w14:solidFill>
          </w14:textFill>
        </w:rPr>
        <w:t>通过承包人</w:t>
      </w:r>
      <w:r>
        <w:rPr>
          <w:rFonts w:hint="eastAsia"/>
          <w:bCs/>
          <w:color w:val="000000" w:themeColor="text1"/>
          <w14:textFill>
            <w14:solidFill>
              <w14:schemeClr w14:val="tx1"/>
            </w14:solidFill>
          </w14:textFill>
        </w:rPr>
        <w:t>经发包人同意。未经同意擅自更改或换用时，分包人承担由此发生的费用，并赔偿发包人的有关损失，延误的工期不予顺延。</w:t>
      </w:r>
      <w:bookmarkStart w:id="363" w:name="_Toc407356009"/>
    </w:p>
    <w:p w14:paraId="5189BECC">
      <w:pPr>
        <w:pStyle w:val="77"/>
        <w:rPr>
          <w:color w:val="000000" w:themeColor="text1"/>
          <w14:textFill>
            <w14:solidFill>
              <w14:schemeClr w14:val="tx1"/>
            </w14:solidFill>
          </w14:textFill>
        </w:rPr>
      </w:pPr>
      <w:bookmarkStart w:id="364" w:name="_Toc16336"/>
      <w:bookmarkStart w:id="365" w:name="_Toc47512246"/>
      <w:bookmarkStart w:id="366" w:name="_Toc44492494"/>
      <w:bookmarkStart w:id="367" w:name="_Toc7205"/>
      <w:bookmarkStart w:id="368" w:name="_Toc91082308"/>
      <w:bookmarkStart w:id="369" w:name="_Toc44227997"/>
      <w:r>
        <w:rPr>
          <w:rFonts w:hint="eastAsia"/>
          <w:color w:val="000000" w:themeColor="text1"/>
          <w14:textFill>
            <w14:solidFill>
              <w14:schemeClr w14:val="tx1"/>
            </w14:solidFill>
          </w14:textFill>
        </w:rPr>
        <w:t>16.价格调整</w:t>
      </w:r>
      <w:bookmarkEnd w:id="363"/>
      <w:bookmarkEnd w:id="364"/>
      <w:bookmarkEnd w:id="365"/>
      <w:bookmarkEnd w:id="366"/>
      <w:bookmarkEnd w:id="367"/>
      <w:bookmarkEnd w:id="368"/>
      <w:bookmarkEnd w:id="369"/>
    </w:p>
    <w:p w14:paraId="38C989BC">
      <w:pPr>
        <w:pStyle w:val="81"/>
        <w:ind w:firstLine="480"/>
        <w:rPr>
          <w:rFonts w:ascii="仿宋_GB2312" w:eastAsia="仿宋_GB2312"/>
          <w:color w:val="000000" w:themeColor="text1"/>
          <w:sz w:val="21"/>
          <w:szCs w:val="21"/>
          <w14:textFill>
            <w14:solidFill>
              <w14:schemeClr w14:val="tx1"/>
            </w14:solidFill>
          </w14:textFill>
        </w:rPr>
      </w:pPr>
      <w:bookmarkStart w:id="370" w:name="_Toc4996"/>
      <w:bookmarkStart w:id="371" w:name="_Toc30895"/>
      <w:bookmarkStart w:id="372" w:name="_Toc44492495"/>
      <w:r>
        <w:rPr>
          <w:rFonts w:hint="eastAsia" w:eastAsia="仿宋_GB2312"/>
          <w:color w:val="000000" w:themeColor="text1"/>
          <w:kern w:val="0"/>
          <w:szCs w:val="24"/>
          <w14:textFill>
            <w14:solidFill>
              <w14:schemeClr w14:val="tx1"/>
            </w14:solidFill>
          </w14:textFill>
        </w:rPr>
        <w:t>16.1.</w:t>
      </w:r>
      <w:r>
        <w:rPr>
          <w:rFonts w:hint="eastAsia" w:ascii="仿宋_GB2312" w:eastAsia="仿宋_GB2312"/>
          <w:color w:val="000000" w:themeColor="text1"/>
          <w:szCs w:val="24"/>
          <w14:textFill>
            <w14:solidFill>
              <w14:schemeClr w14:val="tx1"/>
            </w14:solidFill>
          </w14:textFill>
        </w:rPr>
        <w:t xml:space="preserve"> </w:t>
      </w:r>
      <w:r>
        <w:rPr>
          <w:rFonts w:hint="eastAsia" w:ascii="仿宋_GB2312" w:eastAsia="仿宋_GB2312"/>
          <w:color w:val="000000" w:themeColor="text1"/>
          <w:sz w:val="21"/>
          <w:szCs w:val="21"/>
          <w14:textFill>
            <w14:solidFill>
              <w14:schemeClr w14:val="tx1"/>
            </w14:solidFill>
          </w14:textFill>
        </w:rPr>
        <w:t xml:space="preserve">  </w:t>
      </w:r>
      <w:r>
        <w:rPr>
          <w:rFonts w:hint="eastAsia" w:ascii="黑体"/>
          <w:color w:val="000000" w:themeColor="text1"/>
          <w:szCs w:val="24"/>
          <w14:textFill>
            <w14:solidFill>
              <w14:schemeClr w14:val="tx1"/>
            </w14:solidFill>
          </w14:textFill>
        </w:rPr>
        <w:t>物价波动引起的价格调整</w:t>
      </w:r>
      <w:bookmarkEnd w:id="370"/>
      <w:bookmarkEnd w:id="371"/>
      <w:bookmarkEnd w:id="372"/>
    </w:p>
    <w:p w14:paraId="2EFE4084">
      <w:pPr>
        <w:pStyle w:val="56"/>
        <w:ind w:firstLine="480"/>
        <w:rPr>
          <w:rFonts w:ascii="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物价波动引起的价格调整在专用条款中说明。</w:t>
      </w:r>
    </w:p>
    <w:p w14:paraId="0594D4DD">
      <w:pPr>
        <w:pStyle w:val="81"/>
        <w:ind w:firstLine="480"/>
        <w:rPr>
          <w:rFonts w:ascii="仿宋_GB2312" w:eastAsia="仿宋_GB2312"/>
          <w:color w:val="000000" w:themeColor="text1"/>
          <w:sz w:val="21"/>
          <w:szCs w:val="21"/>
          <w14:textFill>
            <w14:solidFill>
              <w14:schemeClr w14:val="tx1"/>
            </w14:solidFill>
          </w14:textFill>
        </w:rPr>
      </w:pPr>
      <w:bookmarkStart w:id="373" w:name="_Toc44492496"/>
      <w:bookmarkStart w:id="374" w:name="_Toc27734"/>
      <w:bookmarkStart w:id="375" w:name="_Toc5134"/>
      <w:r>
        <w:rPr>
          <w:rFonts w:hint="eastAsia" w:eastAsia="仿宋_GB2312"/>
          <w:color w:val="000000" w:themeColor="text1"/>
          <w:kern w:val="0"/>
          <w:szCs w:val="24"/>
          <w14:textFill>
            <w14:solidFill>
              <w14:schemeClr w14:val="tx1"/>
            </w14:solidFill>
          </w14:textFill>
        </w:rPr>
        <w:t xml:space="preserve">16.2. </w:t>
      </w:r>
      <w:r>
        <w:rPr>
          <w:rFonts w:hint="eastAsia" w:ascii="仿宋_GB2312" w:eastAsia="仿宋_GB2312"/>
          <w:color w:val="000000" w:themeColor="text1"/>
          <w:sz w:val="21"/>
          <w:szCs w:val="21"/>
          <w14:textFill>
            <w14:solidFill>
              <w14:schemeClr w14:val="tx1"/>
            </w14:solidFill>
          </w14:textFill>
        </w:rPr>
        <w:t xml:space="preserve">  </w:t>
      </w:r>
      <w:r>
        <w:rPr>
          <w:rFonts w:hint="eastAsia" w:ascii="黑体"/>
          <w:color w:val="000000" w:themeColor="text1"/>
          <w:szCs w:val="24"/>
          <w14:textFill>
            <w14:solidFill>
              <w14:schemeClr w14:val="tx1"/>
            </w14:solidFill>
          </w14:textFill>
        </w:rPr>
        <w:t>价格不予调整的情形</w:t>
      </w:r>
      <w:bookmarkEnd w:id="373"/>
      <w:bookmarkEnd w:id="374"/>
      <w:bookmarkEnd w:id="375"/>
    </w:p>
    <w:p w14:paraId="056529A0">
      <w:pPr>
        <w:pStyle w:val="56"/>
        <w:ind w:firstLine="480"/>
        <w:rPr>
          <w:rFonts w:ascii="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价格不予调整的情形在专用条款中说明。</w:t>
      </w:r>
    </w:p>
    <w:p w14:paraId="625CF53D">
      <w:pPr>
        <w:pStyle w:val="81"/>
        <w:ind w:firstLine="480"/>
        <w:rPr>
          <w:rFonts w:ascii="仿宋_GB2312" w:eastAsia="仿宋_GB2312"/>
          <w:color w:val="000000" w:themeColor="text1"/>
          <w:sz w:val="21"/>
          <w:szCs w:val="21"/>
          <w14:textFill>
            <w14:solidFill>
              <w14:schemeClr w14:val="tx1"/>
            </w14:solidFill>
          </w14:textFill>
        </w:rPr>
      </w:pPr>
      <w:bookmarkStart w:id="376" w:name="_Toc44492497"/>
      <w:bookmarkStart w:id="377" w:name="_Toc10220"/>
      <w:bookmarkStart w:id="378" w:name="_Toc9473"/>
      <w:r>
        <w:rPr>
          <w:rFonts w:hint="eastAsia" w:eastAsia="仿宋_GB2312"/>
          <w:color w:val="000000" w:themeColor="text1"/>
          <w:kern w:val="0"/>
          <w:szCs w:val="24"/>
          <w14:textFill>
            <w14:solidFill>
              <w14:schemeClr w14:val="tx1"/>
            </w14:solidFill>
          </w14:textFill>
        </w:rPr>
        <w:t xml:space="preserve">16.3. </w:t>
      </w:r>
      <w:r>
        <w:rPr>
          <w:rFonts w:hint="eastAsia" w:ascii="仿宋_GB2312" w:eastAsia="仿宋_GB2312"/>
          <w:color w:val="000000" w:themeColor="text1"/>
          <w:sz w:val="21"/>
          <w:szCs w:val="21"/>
          <w14:textFill>
            <w14:solidFill>
              <w14:schemeClr w14:val="tx1"/>
            </w14:solidFill>
          </w14:textFill>
        </w:rPr>
        <w:t xml:space="preserve"> </w:t>
      </w:r>
      <w:r>
        <w:rPr>
          <w:rFonts w:hint="eastAsia" w:ascii="仿宋_GB2312" w:eastAsia="仿宋_GB2312"/>
          <w:b/>
          <w:color w:val="000000" w:themeColor="text1"/>
          <w:sz w:val="21"/>
          <w:szCs w:val="21"/>
          <w14:textFill>
            <w14:solidFill>
              <w14:schemeClr w14:val="tx1"/>
            </w14:solidFill>
          </w14:textFill>
        </w:rPr>
        <w:t xml:space="preserve"> </w:t>
      </w:r>
      <w:r>
        <w:rPr>
          <w:rFonts w:hint="eastAsia" w:ascii="黑体"/>
          <w:color w:val="000000" w:themeColor="text1"/>
          <w:szCs w:val="24"/>
          <w14:textFill>
            <w14:solidFill>
              <w14:schemeClr w14:val="tx1"/>
            </w14:solidFill>
          </w14:textFill>
        </w:rPr>
        <w:t>价格调整的补充说明</w:t>
      </w:r>
      <w:bookmarkEnd w:id="376"/>
      <w:bookmarkEnd w:id="377"/>
      <w:bookmarkEnd w:id="378"/>
    </w:p>
    <w:p w14:paraId="3B62C534">
      <w:pPr>
        <w:pStyle w:val="56"/>
        <w:ind w:firstLine="480"/>
        <w:rPr>
          <w:rFonts w:ascii="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价格调整的补充说明在专用条款中说明。</w:t>
      </w:r>
    </w:p>
    <w:p w14:paraId="59953857">
      <w:pPr>
        <w:pStyle w:val="77"/>
        <w:rPr>
          <w:color w:val="000000" w:themeColor="text1"/>
          <w14:textFill>
            <w14:solidFill>
              <w14:schemeClr w14:val="tx1"/>
            </w14:solidFill>
          </w14:textFill>
        </w:rPr>
      </w:pPr>
      <w:bookmarkStart w:id="379" w:name="_Toc21140"/>
      <w:bookmarkStart w:id="380" w:name="_Toc91082309"/>
      <w:bookmarkStart w:id="381" w:name="_Toc44227998"/>
      <w:bookmarkStart w:id="382" w:name="_Toc407356010"/>
      <w:bookmarkStart w:id="383" w:name="_Toc29134"/>
      <w:bookmarkStart w:id="384" w:name="_Toc44492498"/>
      <w:bookmarkStart w:id="385" w:name="_Toc47512247"/>
      <w:r>
        <w:rPr>
          <w:rFonts w:hint="eastAsia"/>
          <w:color w:val="000000" w:themeColor="text1"/>
          <w14:textFill>
            <w14:solidFill>
              <w14:schemeClr w14:val="tx1"/>
            </w14:solidFill>
          </w14:textFill>
        </w:rPr>
        <w:t>17.计量与支付</w:t>
      </w:r>
      <w:bookmarkEnd w:id="379"/>
      <w:bookmarkEnd w:id="380"/>
      <w:bookmarkEnd w:id="381"/>
      <w:bookmarkEnd w:id="382"/>
      <w:bookmarkEnd w:id="383"/>
      <w:bookmarkEnd w:id="384"/>
      <w:bookmarkEnd w:id="385"/>
    </w:p>
    <w:p w14:paraId="2BECEA16">
      <w:pPr>
        <w:pStyle w:val="81"/>
        <w:ind w:firstLine="480"/>
        <w:rPr>
          <w:color w:val="000000" w:themeColor="text1"/>
          <w14:textFill>
            <w14:solidFill>
              <w14:schemeClr w14:val="tx1"/>
            </w14:solidFill>
          </w14:textFill>
        </w:rPr>
      </w:pPr>
      <w:bookmarkStart w:id="386" w:name="_Toc44492499"/>
      <w:bookmarkStart w:id="387" w:name="_Toc27587"/>
      <w:bookmarkStart w:id="388" w:name="_Toc20973"/>
      <w:r>
        <w:rPr>
          <w:rFonts w:hint="eastAsia"/>
          <w:color w:val="000000" w:themeColor="text1"/>
          <w14:textFill>
            <w14:solidFill>
              <w14:schemeClr w14:val="tx1"/>
            </w14:solidFill>
          </w14:textFill>
        </w:rPr>
        <w:t>17.1.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计量</w:t>
      </w:r>
      <w:bookmarkEnd w:id="386"/>
      <w:bookmarkEnd w:id="387"/>
      <w:bookmarkEnd w:id="388"/>
    </w:p>
    <w:p w14:paraId="031A49F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计量时间在专用条款中说明。</w:t>
      </w:r>
    </w:p>
    <w:p w14:paraId="146946D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对分包人超出设计图纸范围和因分包人原因造成返工、质量不合格的工程量，承包人、发包人及监理人不予计量。</w:t>
      </w:r>
    </w:p>
    <w:p w14:paraId="7335870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发包人、承包人对工程进度款的批准，不视为对分包人实际完成工程量的批准，只作为发包人、承包人进行工程目标管理和控制进度款支付的依据。</w:t>
      </w:r>
    </w:p>
    <w:p w14:paraId="69BBC332">
      <w:pPr>
        <w:pStyle w:val="81"/>
        <w:ind w:firstLine="480"/>
        <w:rPr>
          <w:color w:val="000000" w:themeColor="text1"/>
          <w14:textFill>
            <w14:solidFill>
              <w14:schemeClr w14:val="tx1"/>
            </w14:solidFill>
          </w14:textFill>
        </w:rPr>
      </w:pPr>
      <w:bookmarkStart w:id="389" w:name="_Toc7469"/>
      <w:bookmarkStart w:id="390" w:name="_Toc44492500"/>
      <w:bookmarkStart w:id="391" w:name="_Toc12523"/>
      <w:r>
        <w:rPr>
          <w:rFonts w:hint="eastAsia"/>
          <w:color w:val="000000" w:themeColor="text1"/>
          <w14:textFill>
            <w14:solidFill>
              <w14:schemeClr w14:val="tx1"/>
            </w14:solidFill>
          </w14:textFill>
        </w:rPr>
        <w:t>17.2.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工程价款</w:t>
      </w:r>
      <w:bookmarkEnd w:id="389"/>
      <w:bookmarkEnd w:id="390"/>
      <w:bookmarkEnd w:id="391"/>
    </w:p>
    <w:p w14:paraId="5FF3F68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本合同采用固定综合单价包干方式执行:</w:t>
      </w:r>
    </w:p>
    <w:p w14:paraId="79E8258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本合同采用固定综合单价承包方式，合同总价为暂定总价。</w:t>
      </w:r>
    </w:p>
    <w:p w14:paraId="2822DDB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已标价的工程量及单价清单中的综合单价为固定综合单价。</w:t>
      </w:r>
    </w:p>
    <w:p w14:paraId="2B3B20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本合同工程量清单中的综合单价，应认为已均包含了所有的人工、材料、机械、设备及劳工、材料、机械和设备的杂费，所有消耗费，专利费用，包装费，运费，保险费，设备调试费，装卸费，仓储费及其他临时在外的存储费用、运抵费、安装费、升降费及固定费，处理费，监管费，内外部管理费用，利润，加班费，与知识产权相关的费用及其他由分包人向政府缴纳的保证金，风险费，水电费，治安、消防、安全、环保、主管部门因进行工程所规定应由施工单位所交纳的任何收费，民扰及扰民费，试验费，以及其他为按时按质完成合同所规定工作的所有除措施费及规费、税金以外的所有费用，不论图纸、规范、技术要求、工程量清单中有没有说明。除非合同另有其他明确约定外，该综合单价不做任何调整。 </w:t>
      </w:r>
    </w:p>
    <w:p w14:paraId="293D9DC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风险费用的计算方法在专用条款中写明。</w:t>
      </w:r>
    </w:p>
    <w:p w14:paraId="30C4CAA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措施项目清单所列项目综合单价及费率固定不变，在工程实施过程可能发生但在措施清单中未列出的措施费用视其已包含在措施项目清单所列项目中。</w:t>
      </w:r>
    </w:p>
    <w:p w14:paraId="70C42C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其他可调整合同价款的情况在专用条款中写明。</w:t>
      </w:r>
    </w:p>
    <w:p w14:paraId="240D209B">
      <w:pPr>
        <w:pStyle w:val="81"/>
        <w:ind w:firstLine="480"/>
        <w:rPr>
          <w:color w:val="000000" w:themeColor="text1"/>
          <w14:textFill>
            <w14:solidFill>
              <w14:schemeClr w14:val="tx1"/>
            </w14:solidFill>
          </w14:textFill>
        </w:rPr>
      </w:pPr>
      <w:bookmarkStart w:id="392" w:name="_Toc31491"/>
      <w:bookmarkStart w:id="393" w:name="_Toc44492501"/>
      <w:bookmarkStart w:id="394" w:name="_Toc23241"/>
      <w:r>
        <w:rPr>
          <w:rFonts w:hint="eastAsia"/>
          <w:color w:val="000000" w:themeColor="text1"/>
          <w14:textFill>
            <w14:solidFill>
              <w14:schemeClr w14:val="tx1"/>
            </w14:solidFill>
          </w14:textFill>
        </w:rPr>
        <w:t>17.3.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总承包服务费</w:t>
      </w:r>
      <w:bookmarkEnd w:id="392"/>
      <w:bookmarkEnd w:id="393"/>
      <w:bookmarkEnd w:id="394"/>
    </w:p>
    <w:p w14:paraId="0CAEE901">
      <w:pPr>
        <w:pStyle w:val="56"/>
        <w:ind w:firstLine="480"/>
        <w:rPr>
          <w:color w:val="000000" w:themeColor="text1"/>
          <w14:textFill>
            <w14:solidFill>
              <w14:schemeClr w14:val="tx1"/>
            </w14:solidFill>
          </w14:textFill>
        </w:rPr>
      </w:pPr>
      <w:bookmarkStart w:id="395" w:name="_Toc12002"/>
      <w:bookmarkStart w:id="396" w:name="_Toc23406"/>
      <w:bookmarkStart w:id="397" w:name="_Toc44492502"/>
      <w:r>
        <w:rPr>
          <w:rFonts w:hint="eastAsia"/>
          <w:color w:val="000000" w:themeColor="text1"/>
          <w14:textFill>
            <w14:solidFill>
              <w14:schemeClr w14:val="tx1"/>
            </w14:solidFill>
          </w14:textFill>
        </w:rPr>
        <w:t>17.3.1.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总承包服务费对应的总包服务、管理、配合工作内容及费用约定详见</w:t>
      </w:r>
      <w:r>
        <w:rPr>
          <w:color w:val="000000" w:themeColor="text1"/>
          <w14:textFill>
            <w14:solidFill>
              <w14:schemeClr w14:val="tx1"/>
            </w14:solidFill>
          </w14:textFill>
        </w:rPr>
        <w:t>专用条款</w:t>
      </w:r>
      <w:r>
        <w:rPr>
          <w:rFonts w:hint="eastAsia"/>
          <w:color w:val="000000" w:themeColor="text1"/>
          <w14:textFill>
            <w14:solidFill>
              <w14:schemeClr w14:val="tx1"/>
            </w14:solidFill>
          </w14:textFill>
        </w:rPr>
        <w:t>。</w:t>
      </w:r>
    </w:p>
    <w:p w14:paraId="5929CD8B">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预付款</w:t>
      </w:r>
      <w:bookmarkEnd w:id="395"/>
      <w:bookmarkEnd w:id="396"/>
      <w:bookmarkEnd w:id="397"/>
    </w:p>
    <w:p w14:paraId="316675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预付款用于分包人为合同工程施工购置材料、工程设备、施工设备、修建临时设施以及组织施工队伍进场并支付劳务费用等。预付款的额度和预付办法在专用条款中约定。预付款必须专用于合同工程。</w:t>
      </w:r>
    </w:p>
    <w:p w14:paraId="699DBA94">
      <w:pPr>
        <w:pStyle w:val="81"/>
        <w:ind w:firstLine="480"/>
        <w:rPr>
          <w:color w:val="000000" w:themeColor="text1"/>
          <w14:textFill>
            <w14:solidFill>
              <w14:schemeClr w14:val="tx1"/>
            </w14:solidFill>
          </w14:textFill>
        </w:rPr>
      </w:pPr>
      <w:bookmarkStart w:id="398" w:name="_Toc44492503"/>
      <w:bookmarkStart w:id="399" w:name="_Toc17512"/>
      <w:bookmarkStart w:id="400" w:name="_Toc25174"/>
      <w:r>
        <w:rPr>
          <w:rFonts w:hint="eastAsia"/>
          <w:color w:val="000000" w:themeColor="text1"/>
          <w14:textFill>
            <w14:solidFill>
              <w14:schemeClr w14:val="tx1"/>
            </w14:solidFill>
          </w14:textFill>
        </w:rPr>
        <w:t>17.5.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工程进度付款</w:t>
      </w:r>
      <w:bookmarkEnd w:id="398"/>
      <w:bookmarkEnd w:id="399"/>
      <w:bookmarkEnd w:id="400"/>
    </w:p>
    <w:p w14:paraId="290262C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在确认计量结果和价款后，发包人通过承包人向分包人支付工程进度款。</w:t>
      </w:r>
    </w:p>
    <w:p w14:paraId="7FD9297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工程进度款的支付时间额度和要求在专用条款中说明。</w:t>
      </w:r>
    </w:p>
    <w:p w14:paraId="32D3085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如因发包人原因导致承包人支付进度款逾期的，则随后的28天视为宽限期。在宽限期内，分包人不得行使任何追讨的权利，且承包人无需向分包人承担逾期付款的违约责任。</w:t>
      </w:r>
    </w:p>
    <w:p w14:paraId="46E0791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因发包人原因未能在宽限期结束前支付承包人分包工程进度款，分包人在宽限期结束后可通过承包人向发包人发出要求付款的通知，发包人收到通知后仍不能按要求付款，承包人可与分包人协商签订延期付款协议，经分包人同意后可延期支付。</w:t>
      </w:r>
    </w:p>
    <w:p w14:paraId="0575086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进度款与质量、安全挂钩，若申报工作的质量、安全达不到验收规范要求，发包人、承包人有权暂缓支付该部分工程款，直至合格为止。</w:t>
      </w:r>
    </w:p>
    <w:p w14:paraId="4291845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双方确认，分包人在每月申请进度款时，均应按照政府主管部门备案要求向承包人、发包人提供当月已完工程的全部施工验收资料（包括但不限于进场材料检验、检验批验收、分部和分项验收、单位工程验收、隐蔽工程验收等），否则，发包人、承包人有权拒绝支付进度款，分包人不得据此延迟工期，由此产生的损失由分包人自行承担。</w:t>
      </w:r>
    </w:p>
    <w:p w14:paraId="4390297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发包人或承包人有权在付款中扣除如下任何款项：</w:t>
      </w:r>
    </w:p>
    <w:p w14:paraId="6BECE06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如果分包人提供的任何材料、工程设备或完成的工作不符合合同要求，在完成修正和更换前，扣除该修正和更换所需费用；</w:t>
      </w:r>
    </w:p>
    <w:p w14:paraId="0359E57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如果分包人未能按照合同要求履行任何工作或义务，在该项工作或义务完成前，扣除该工作或义务的价值；</w:t>
      </w:r>
    </w:p>
    <w:p w14:paraId="663BCBB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分包人按照本合同约定应承担的任何违约责任或发包人可扣留的任何款项。</w:t>
      </w:r>
    </w:p>
    <w:p w14:paraId="3D654A7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施工期内为付款而对工程量的核实，纯粹作为付款用。不能视为工程已验收合格的依据，亦不得视为对结算工程量的最终确认。</w:t>
      </w:r>
    </w:p>
    <w:p w14:paraId="2460F1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发票的要求在专用条款里写明。</w:t>
      </w:r>
    </w:p>
    <w:p w14:paraId="79FA0797">
      <w:pPr>
        <w:pStyle w:val="81"/>
        <w:ind w:firstLine="480"/>
        <w:rPr>
          <w:color w:val="000000" w:themeColor="text1"/>
          <w14:textFill>
            <w14:solidFill>
              <w14:schemeClr w14:val="tx1"/>
            </w14:solidFill>
          </w14:textFill>
        </w:rPr>
      </w:pPr>
      <w:bookmarkStart w:id="401" w:name="_Toc31125"/>
      <w:bookmarkStart w:id="402" w:name="_Toc44492504"/>
      <w:bookmarkStart w:id="403" w:name="_Toc21331"/>
      <w:r>
        <w:rPr>
          <w:rFonts w:hint="eastAsia"/>
          <w:color w:val="000000" w:themeColor="text1"/>
          <w14:textFill>
            <w14:solidFill>
              <w14:schemeClr w14:val="tx1"/>
            </w14:solidFill>
          </w14:textFill>
        </w:rPr>
        <w:t>17.6.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质量保证金</w:t>
      </w:r>
      <w:bookmarkEnd w:id="401"/>
      <w:bookmarkEnd w:id="402"/>
      <w:bookmarkEnd w:id="403"/>
    </w:p>
    <w:p w14:paraId="234286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质量保证金的返还按照专用条款的约定执行。</w:t>
      </w:r>
    </w:p>
    <w:p w14:paraId="3206F08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在缺陷责任期满时，分包人没有完成保修责任的，发包人、承包人有权扣留与未履行责任剩余工作所需金额相应的质量保证金余额，并有权要求延长缺陷责任期，直至完成剩余工作为止。 </w:t>
      </w:r>
    </w:p>
    <w:p w14:paraId="07BAC3F0">
      <w:pPr>
        <w:pStyle w:val="81"/>
        <w:ind w:firstLine="480"/>
        <w:rPr>
          <w:color w:val="000000" w:themeColor="text1"/>
          <w14:textFill>
            <w14:solidFill>
              <w14:schemeClr w14:val="tx1"/>
            </w14:solidFill>
          </w14:textFill>
        </w:rPr>
      </w:pPr>
      <w:bookmarkStart w:id="404" w:name="_Toc44492505"/>
      <w:bookmarkStart w:id="405" w:name="_Toc25400"/>
      <w:bookmarkStart w:id="406" w:name="_Toc14150"/>
      <w:r>
        <w:rPr>
          <w:rFonts w:hint="eastAsia"/>
          <w:color w:val="000000" w:themeColor="text1"/>
          <w14:textFill>
            <w14:solidFill>
              <w14:schemeClr w14:val="tx1"/>
            </w14:solidFill>
          </w14:textFill>
        </w:rPr>
        <w:t>17.7.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竣工结算</w:t>
      </w:r>
      <w:bookmarkEnd w:id="404"/>
      <w:bookmarkEnd w:id="405"/>
      <w:bookmarkEnd w:id="406"/>
    </w:p>
    <w:p w14:paraId="3552793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竣工验收</w:t>
      </w:r>
      <w:r>
        <w:rPr>
          <w:rFonts w:hint="eastAsia"/>
          <w:color w:val="auto"/>
        </w:rPr>
        <w:t>合格后60天内</w:t>
      </w:r>
      <w:r>
        <w:rPr>
          <w:rFonts w:hint="eastAsia"/>
          <w:color w:val="000000" w:themeColor="text1"/>
          <w14:textFill>
            <w14:solidFill>
              <w14:schemeClr w14:val="tx1"/>
            </w14:solidFill>
          </w14:textFill>
        </w:rPr>
        <w:t>，经承包人审核确认后，分包人向发包人递交结算书及相关文件。若发包人要求分包人提交其他数据，分包人需加以配合提供。结算书及相关资料内容在专用条款中明确。</w:t>
      </w:r>
    </w:p>
    <w:p w14:paraId="1777E22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发包人在收到分包人提交的结算书及一切所需相关资料后，按专用条款约定的结算期限，进行工程竣工结算。</w:t>
      </w:r>
    </w:p>
    <w:p w14:paraId="41A392B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分包人提交的结算书必须是完整的，发包人在结算审价过程中，分包人无权利提出任何补充结算资料（图纸、变更单、价格凭证等）的要求，结算书中若有结算遗漏项目的均由分包人自行承担。</w:t>
      </w:r>
    </w:p>
    <w:p w14:paraId="14CB5CC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分包人提交的结算书应包括分包人认为其有权获得的全部工程价款、赔偿、补偿及其他任何金额。任何未在竣工结算报告中载明的项目，视为发包人无须支付，及分包人放弃了要求发包人支付的权利（如有）。</w:t>
      </w:r>
    </w:p>
    <w:p w14:paraId="4682BF3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收到通过承包人提交的分包人结算书后，除非发包人以书面形式表示认可或接受，否则发包人的任何作为与不作为（包括要求分包人补充资料、不同意的表示、质疑、要求协商的会议、要求签订与分包人提出的报告不一致的协议或备忘录等）均视为对分包人结算书的不认可。</w:t>
      </w:r>
    </w:p>
    <w:p w14:paraId="60A4E78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结算书经发包人内部审计并与承包人、分包人三方确认后的价款被认为是本工程的全部工程总价，本合同任何需要调整工程总价的因素均已获考虑，不得做任何调整。</w:t>
      </w:r>
    </w:p>
    <w:p w14:paraId="55F008F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对工程结算的其他约定在专用条款中写明。</w:t>
      </w:r>
    </w:p>
    <w:p w14:paraId="241554E0">
      <w:pPr>
        <w:pStyle w:val="77"/>
        <w:rPr>
          <w:color w:val="000000" w:themeColor="text1"/>
          <w14:textFill>
            <w14:solidFill>
              <w14:schemeClr w14:val="tx1"/>
            </w14:solidFill>
          </w14:textFill>
        </w:rPr>
      </w:pPr>
      <w:bookmarkStart w:id="407" w:name="_Toc44227999"/>
      <w:bookmarkStart w:id="408" w:name="_Toc47512248"/>
      <w:bookmarkStart w:id="409" w:name="_Toc27445"/>
      <w:bookmarkStart w:id="410" w:name="_Toc91082310"/>
      <w:bookmarkStart w:id="411" w:name="_Toc20645"/>
      <w:bookmarkStart w:id="412" w:name="_Toc44492506"/>
      <w:bookmarkStart w:id="413" w:name="_Toc407356011"/>
      <w:r>
        <w:rPr>
          <w:rFonts w:hint="eastAsia"/>
          <w:color w:val="000000" w:themeColor="text1"/>
          <w14:textFill>
            <w14:solidFill>
              <w14:schemeClr w14:val="tx1"/>
            </w14:solidFill>
          </w14:textFill>
        </w:rPr>
        <w:t>18.竣工验收</w:t>
      </w:r>
      <w:bookmarkEnd w:id="407"/>
      <w:bookmarkEnd w:id="408"/>
      <w:bookmarkEnd w:id="409"/>
      <w:bookmarkEnd w:id="410"/>
      <w:bookmarkEnd w:id="411"/>
      <w:bookmarkEnd w:id="412"/>
      <w:bookmarkEnd w:id="413"/>
    </w:p>
    <w:p w14:paraId="5076DC31">
      <w:pPr>
        <w:pStyle w:val="81"/>
        <w:ind w:firstLine="480"/>
        <w:rPr>
          <w:color w:val="000000" w:themeColor="text1"/>
          <w14:textFill>
            <w14:solidFill>
              <w14:schemeClr w14:val="tx1"/>
            </w14:solidFill>
          </w14:textFill>
        </w:rPr>
      </w:pPr>
      <w:bookmarkStart w:id="414" w:name="_Toc44492507"/>
      <w:bookmarkStart w:id="415" w:name="_Toc14925"/>
      <w:bookmarkStart w:id="416" w:name="_Toc2720"/>
      <w:r>
        <w:rPr>
          <w:rFonts w:hint="eastAsia"/>
          <w:color w:val="000000" w:themeColor="text1"/>
          <w14:textFill>
            <w14:solidFill>
              <w14:schemeClr w14:val="tx1"/>
            </w14:solidFill>
          </w14:textFill>
        </w:rPr>
        <w:t>18.1.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竣工验收的含义</w:t>
      </w:r>
      <w:bookmarkEnd w:id="414"/>
      <w:bookmarkEnd w:id="415"/>
      <w:bookmarkEnd w:id="416"/>
    </w:p>
    <w:p w14:paraId="37F98E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竣工验收指分包人完成了全部合同工作后，发包人、承包人按要求进行的验收。</w:t>
      </w:r>
    </w:p>
    <w:p w14:paraId="5B8A461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竣工验收所采用的各项验收和评定标准应符合国家验收标准。发包人和承包人、分包人为工程验收提供的各项工程验收资料应符合国家验收的要求。 </w:t>
      </w:r>
    </w:p>
    <w:p w14:paraId="0E2AF80B">
      <w:pPr>
        <w:pStyle w:val="81"/>
        <w:ind w:firstLine="480"/>
        <w:rPr>
          <w:color w:val="000000" w:themeColor="text1"/>
          <w14:textFill>
            <w14:solidFill>
              <w14:schemeClr w14:val="tx1"/>
            </w14:solidFill>
          </w14:textFill>
        </w:rPr>
      </w:pPr>
      <w:bookmarkStart w:id="417" w:name="_Toc20054"/>
      <w:bookmarkStart w:id="418" w:name="_Toc44492508"/>
      <w:bookmarkStart w:id="419" w:name="_Toc13959"/>
      <w:r>
        <w:rPr>
          <w:rFonts w:hint="eastAsia"/>
          <w:color w:val="000000" w:themeColor="text1"/>
          <w14:textFill>
            <w14:solidFill>
              <w14:schemeClr w14:val="tx1"/>
            </w14:solidFill>
          </w14:textFill>
        </w:rPr>
        <w:t>18.2.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竣工验收申请</w:t>
      </w:r>
      <w:bookmarkEnd w:id="417"/>
      <w:bookmarkEnd w:id="418"/>
      <w:bookmarkEnd w:id="419"/>
    </w:p>
    <w:p w14:paraId="2A9D343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当工程具备以下条件时，分包人通过承包人即可向监理人报送竣工验收申请：</w:t>
      </w:r>
    </w:p>
    <w:p w14:paraId="73C17A1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除监理人同意列入缺陷责任期内完成的尾工（甩项）工程和缺陷修补工作外，合同范围内的全部单位工程以及有关工作，包括合同要求的试验、试运行以及检验和验收均已完成，并符合合同要求；</w:t>
      </w:r>
    </w:p>
    <w:p w14:paraId="6F3C648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已按合同约定的内容和份数备齐了符合要求的工程资料； </w:t>
      </w:r>
    </w:p>
    <w:p w14:paraId="3983D02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已按监理人的要求编制了在缺陷责任期内完成的尾工（甩项）工程和缺陷修补工作清单以及相应施工计划；</w:t>
      </w:r>
    </w:p>
    <w:p w14:paraId="1DA08DD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已完成监理人要求在竣工验收前应完成的其他工作；</w:t>
      </w:r>
    </w:p>
    <w:p w14:paraId="73EDE08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已备妥监理人要求提交的竣工验收资料清单中的全部资料。</w:t>
      </w:r>
    </w:p>
    <w:p w14:paraId="059ADDD5">
      <w:pPr>
        <w:pStyle w:val="81"/>
        <w:ind w:firstLine="480"/>
        <w:rPr>
          <w:color w:val="000000" w:themeColor="text1"/>
          <w14:textFill>
            <w14:solidFill>
              <w14:schemeClr w14:val="tx1"/>
            </w14:solidFill>
          </w14:textFill>
        </w:rPr>
      </w:pPr>
      <w:bookmarkStart w:id="420" w:name="_Toc1265"/>
      <w:bookmarkStart w:id="421" w:name="_Toc18116"/>
      <w:bookmarkStart w:id="422" w:name="_Toc44492509"/>
      <w:r>
        <w:rPr>
          <w:rFonts w:hint="eastAsia"/>
          <w:color w:val="000000" w:themeColor="text1"/>
          <w14:textFill>
            <w14:solidFill>
              <w14:schemeClr w14:val="tx1"/>
            </w14:solidFill>
          </w14:textFill>
        </w:rPr>
        <w:t>18.3.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验收</w:t>
      </w:r>
      <w:bookmarkEnd w:id="420"/>
      <w:bookmarkEnd w:id="421"/>
      <w:bookmarkEnd w:id="422"/>
    </w:p>
    <w:p w14:paraId="27C1DE5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监理人收到分包人提交的竣工验收申请报告后，应审查申请报告的各项内容，并按以下不同情况进行处理。</w:t>
      </w:r>
    </w:p>
    <w:p w14:paraId="3EE61AA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审查后认为尚不具备工程验收条件的，应在收到竣工验收申请报告后的28天内通过承包人通知分包人，指出在竣工验收前分包人还需进行的工作内容。分包人完成监理人通知的全部工作内容后，应再次通过承包人提交竣工验收申请报告，直至监理人同意为止。</w:t>
      </w:r>
    </w:p>
    <w:p w14:paraId="6A60435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监理人审查后认为已具备竣工验收条件的，应在收到承包人最后一次提交的竣工验收申请报告后的28天内提请发包人进行工程验收。</w:t>
      </w:r>
    </w:p>
    <w:p w14:paraId="6E9D66D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经过验收后同意接受工程的，发包人、监理人、承包人、分包人共同书面确认竣工验收通过。发包人验收后同意接收工程但提出整修和完善要求的，承包人、分包人进行整修和完善，整修和完善工作完成后，监理人复查达到要求的，经发包人同意后，发包人、监理人、承包人、分包人书面确认竣工验收通过。发包人、监理人、承包人、分包人四方书面确认竣工验收通过之日为竣工验收合格日期。</w:t>
      </w:r>
    </w:p>
    <w:p w14:paraId="3DA3EF2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验收后不同意接收工程的，监理人应按照发包人的验收意见发出指示，通过承包人要求分包人对不合格工程认真返工重作或进行补救处理，并承担由此产生的费用。分包人在完成不合格工程的返工重作或补救工作后，应重新通过承包人提交竣工验收申请报告。</w:t>
      </w:r>
    </w:p>
    <w:p w14:paraId="66E6C8B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分包人工期拖延，造成工程无法按合同约定的整体竣工验收合格日期通过竣工验收的，为了避免损失的扩大，分包人无条件同意发包人提前使用未经竣工验收的工程或有权让业主、用户入住、使用或按政府要求交付给业主或客户入住、使用工程，上述情况不视为分包人所承包本合同项下的工程已竣工或验收合格或已交付，分包人仍应当承担工期逾期或质量违约赔偿责任（包括但不限于因分包人上述违约行为而导致发包人逾期交房或政府罚款等）。</w:t>
      </w:r>
    </w:p>
    <w:p w14:paraId="1B9529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根据合同文件应当承担的质量保证责任不因为本工程验收合格而免除，本工程通过竣工验收在任何意义上都不意味着发包人、承包人放弃了追究分包人工程质量不合格的违约责任的权利。发包人、承包人进一步确认，若分包人未按合同文件要求的标准完成施工，无论本工程是否通过竣工验收，发包人、承包人均有权随时要求分包人对不符合合同约定的部分予以修理、补救或更换，直至达到符合合同约定为止。</w:t>
      </w:r>
    </w:p>
    <w:p w14:paraId="3419ED8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当随同工程的移交，将与本工程相关的所有技术资料、保修资料、操作指南、质量合格证明、培训手册、程序、密码、数据等一并移交，并负责训练发包人的有关员工对于本工程的操作、维修及紧急程序等，否则发包人有权拒绝向承包人支付任何分包工程款项而发包人、承包人不承担任何延期付款的责任。本合同因任何原因提前终止或解除时，分包人亦需遵守本条约定。</w:t>
      </w:r>
    </w:p>
    <w:p w14:paraId="6C31617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分包人负责整理和提交的竣工验收资料应当符合工程所在地建设行政主管部门和（或）城市建设档案管理机构有关施工资料的要求。竣工验收资料要求在专用条款中说明。</w:t>
      </w:r>
    </w:p>
    <w:p w14:paraId="0A491B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除非合同中另有约定，所有本合同工程的竣工资料（含竣工图纸）的准备、编制、整理和装订的费用均由分包人承担，该等费用已经包含在分包人的合同暂定总价中，承包人不再为此另行支付。</w:t>
      </w:r>
    </w:p>
    <w:p w14:paraId="54BC946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符合竣工备案要求的全套竣工资料是工程竣工验收和结算的前提条件。竣工备案日期为取得当地城市建设档案管理机构竣工备案回执之日。如果分包人提供的竣工资料不能完全反映项目现场工程情况，则发包人有权要求承包人、分包人修改，分包人应在发包人规定时间内完成修改使之满足承包人、发包人和当地城市建设档案管理机构的要求。</w:t>
      </w:r>
    </w:p>
    <w:p w14:paraId="70B79EA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若分包人不遵照发包人或监理人的指示移交工程，则自发包人或监理人通过承包人发出催告通知之日起，分包人应当按照合同条款约定承担相当于逾期竣工违约责任，直至分包人按照发包人或监理人或承包人的要求完成工程移交为止。</w:t>
      </w:r>
    </w:p>
    <w:p w14:paraId="44F554EF">
      <w:pPr>
        <w:pStyle w:val="81"/>
        <w:ind w:firstLine="480"/>
        <w:rPr>
          <w:color w:val="000000" w:themeColor="text1"/>
          <w14:textFill>
            <w14:solidFill>
              <w14:schemeClr w14:val="tx1"/>
            </w14:solidFill>
          </w14:textFill>
        </w:rPr>
      </w:pPr>
      <w:bookmarkStart w:id="423" w:name="_Toc6102"/>
      <w:bookmarkStart w:id="424" w:name="_Toc44492510"/>
      <w:bookmarkStart w:id="425" w:name="_Toc764"/>
      <w:r>
        <w:rPr>
          <w:rFonts w:hint="eastAsia"/>
          <w:color w:val="000000" w:themeColor="text1"/>
          <w14:textFill>
            <w14:solidFill>
              <w14:schemeClr w14:val="tx1"/>
            </w14:solidFill>
          </w14:textFill>
        </w:rPr>
        <w:t>18.4.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施工期运行</w:t>
      </w:r>
      <w:bookmarkEnd w:id="423"/>
      <w:bookmarkEnd w:id="424"/>
      <w:bookmarkEnd w:id="425"/>
    </w:p>
    <w:p w14:paraId="28D4252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施工期运行是指合同工程尚未全部竣工，其中某项或某几项单位工程或工程设备安装已竣工，根据专用条款约定，需要投入施工期运行的，经发包人验收合格，证明能确保安全后，才能在施工期投入运行。</w:t>
      </w:r>
    </w:p>
    <w:p w14:paraId="07759AB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在施工期运行中发现工程或工程设备损坏或存在缺陷的，由分包人进行修复。</w:t>
      </w:r>
    </w:p>
    <w:p w14:paraId="0BB4D65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若合同文件说明部分工程包含调试，则分包人须负责按合同文件规定对该部分工程进行调试，并依法安排当地政府有关部门对整体安装的现状调试直至验收合格并发予运行/转准字或批文，有关费用已包括在分包人的合同暂定总价内。</w:t>
      </w:r>
    </w:p>
    <w:p w14:paraId="66B101C3">
      <w:pPr>
        <w:pStyle w:val="81"/>
        <w:ind w:firstLine="480"/>
        <w:rPr>
          <w:color w:val="000000" w:themeColor="text1"/>
          <w14:textFill>
            <w14:solidFill>
              <w14:schemeClr w14:val="tx1"/>
            </w14:solidFill>
          </w14:textFill>
        </w:rPr>
      </w:pPr>
      <w:bookmarkStart w:id="426" w:name="_Toc44492511"/>
      <w:bookmarkStart w:id="427" w:name="_Toc21626"/>
      <w:bookmarkStart w:id="428" w:name="_Toc18231"/>
      <w:r>
        <w:rPr>
          <w:rFonts w:hint="eastAsia"/>
          <w:color w:val="000000" w:themeColor="text1"/>
          <w14:textFill>
            <w14:solidFill>
              <w14:schemeClr w14:val="tx1"/>
            </w14:solidFill>
          </w14:textFill>
        </w:rPr>
        <w:t>18.5.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试运行</w:t>
      </w:r>
      <w:bookmarkEnd w:id="426"/>
      <w:bookmarkEnd w:id="427"/>
      <w:bookmarkEnd w:id="428"/>
    </w:p>
    <w:p w14:paraId="52643D2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分包人按专用条款约定进行工程及工程设备试运行，负责提供试运行所需的人员、器材和必要的条件，并承担全部试运行费用。</w:t>
      </w:r>
    </w:p>
    <w:p w14:paraId="6C3AC1B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分包人的原因导致试运行失败的，分包人应采取措施保证试运行合格，并承担相应费用。由于发包人或承包人的原因导致试运行失败的，分包人应当采取措施保证试运行合格，发包人或承包人应承担由此产生的费用。</w:t>
      </w:r>
    </w:p>
    <w:p w14:paraId="4C7878C1">
      <w:pPr>
        <w:pStyle w:val="81"/>
        <w:ind w:firstLine="480"/>
        <w:rPr>
          <w:color w:val="000000" w:themeColor="text1"/>
          <w14:textFill>
            <w14:solidFill>
              <w14:schemeClr w14:val="tx1"/>
            </w14:solidFill>
          </w14:textFill>
        </w:rPr>
      </w:pPr>
      <w:bookmarkStart w:id="429" w:name="_Toc44492512"/>
      <w:bookmarkStart w:id="430" w:name="_Toc9921"/>
      <w:bookmarkStart w:id="431" w:name="_Toc7253"/>
      <w:r>
        <w:rPr>
          <w:rFonts w:hint="eastAsia"/>
          <w:color w:val="000000" w:themeColor="text1"/>
          <w14:textFill>
            <w14:solidFill>
              <w14:schemeClr w14:val="tx1"/>
            </w14:solidFill>
          </w14:textFill>
        </w:rPr>
        <w:t>18.6.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竣工清场</w:t>
      </w:r>
      <w:bookmarkEnd w:id="429"/>
      <w:bookmarkEnd w:id="430"/>
      <w:bookmarkEnd w:id="431"/>
    </w:p>
    <w:p w14:paraId="3CF94C4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工程竣工验收通过后，分包人应按以下要求对施工场地进行清理，直至监理人检验合格为止。竣工清场费用由分包人承担。</w:t>
      </w:r>
    </w:p>
    <w:p w14:paraId="7B0FC46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施工场地内残留的垃圾已全部清除出场；</w:t>
      </w:r>
    </w:p>
    <w:p w14:paraId="22D532E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临时工程已拆除，场地已按合同要求进行清理、平整或复原；</w:t>
      </w:r>
    </w:p>
    <w:p w14:paraId="07AD3CB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按合同约定应撤离的分包人设备和剩余的材料，包括废弃的施工设备和材料，已按计划撤离施工场地；</w:t>
      </w:r>
    </w:p>
    <w:p w14:paraId="6B87126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工程建筑物周边及其附近道路、河道的施工堆积物，已按监理人指示全部清理；</w:t>
      </w:r>
    </w:p>
    <w:p w14:paraId="3D5C4ED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监理人指示的其他的场地清理工作已全部完成。</w:t>
      </w:r>
    </w:p>
    <w:p w14:paraId="1E0219C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除专用合同条款另有约定外，分包人应予工程竣工验收通过后10天内完成上述清理工作。</w:t>
      </w:r>
    </w:p>
    <w:p w14:paraId="2E03E19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未按监理人的要求恢复临时占地，或者场地清理未达到合同约定的，承包人有权委托其他人恢复或清理，所发生的费用从应支付给分包人的款项中扣除。分包人未搬离而遗留在施工场地或其周围的物品，包括但不限于设备、器械、工具、材料等，均视为分包人已将其丢弃、放弃，发包人有权自行或委托第三人予以处置，无须承担任何责任，所发生的费用从应支付给分包人的款项中扣除。第18.7条情形亦同。</w:t>
      </w:r>
    </w:p>
    <w:p w14:paraId="0D80F935">
      <w:pPr>
        <w:pStyle w:val="81"/>
        <w:ind w:firstLine="480"/>
        <w:rPr>
          <w:color w:val="000000" w:themeColor="text1"/>
          <w14:textFill>
            <w14:solidFill>
              <w14:schemeClr w14:val="tx1"/>
            </w14:solidFill>
          </w14:textFill>
        </w:rPr>
      </w:pPr>
      <w:bookmarkStart w:id="432" w:name="_Toc44492513"/>
      <w:bookmarkStart w:id="433" w:name="_Toc24812"/>
      <w:bookmarkStart w:id="434" w:name="_Toc4119"/>
      <w:r>
        <w:rPr>
          <w:rFonts w:hint="eastAsia"/>
          <w:color w:val="000000" w:themeColor="text1"/>
          <w14:textFill>
            <w14:solidFill>
              <w14:schemeClr w14:val="tx1"/>
            </w14:solidFill>
          </w14:textFill>
        </w:rPr>
        <w:t>18.7.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施工队伍的撤离</w:t>
      </w:r>
      <w:bookmarkEnd w:id="432"/>
      <w:bookmarkEnd w:id="433"/>
      <w:bookmarkEnd w:id="434"/>
    </w:p>
    <w:p w14:paraId="7EC4469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整体工程竣工验收通过后，除需进行工程整改或经监理人同意在缺陷责任期内继续工作和使用的人员、施工设备和临时工程外，其余的人员、施工设备和临时工程均应撤离施工场地或拆除。除专用合同条款另有约定外，分包人应予工程竣工验收通过后10天内完成该等撤离和拆除。除合同另有约定外，缺陷责任期满时，分包人的人员和施工设备应全部撤离施工场地。</w:t>
      </w:r>
    </w:p>
    <w:p w14:paraId="5398715C">
      <w:pPr>
        <w:pStyle w:val="77"/>
        <w:rPr>
          <w:color w:val="000000" w:themeColor="text1"/>
          <w14:textFill>
            <w14:solidFill>
              <w14:schemeClr w14:val="tx1"/>
            </w14:solidFill>
          </w14:textFill>
        </w:rPr>
      </w:pPr>
      <w:bookmarkStart w:id="435" w:name="_Toc407356012"/>
      <w:bookmarkStart w:id="436" w:name="_Toc44228000"/>
      <w:bookmarkStart w:id="437" w:name="_Toc15940"/>
      <w:bookmarkStart w:id="438" w:name="_Toc22089"/>
      <w:bookmarkStart w:id="439" w:name="_Toc91082311"/>
      <w:bookmarkStart w:id="440" w:name="_Toc47512249"/>
      <w:bookmarkStart w:id="441" w:name="_Toc44492514"/>
      <w:r>
        <w:rPr>
          <w:rFonts w:hint="eastAsia"/>
          <w:color w:val="000000" w:themeColor="text1"/>
          <w14:textFill>
            <w14:solidFill>
              <w14:schemeClr w14:val="tx1"/>
            </w14:solidFill>
          </w14:textFill>
        </w:rPr>
        <w:t>19.缺陷责任</w:t>
      </w:r>
      <w:bookmarkEnd w:id="435"/>
      <w:bookmarkEnd w:id="436"/>
      <w:bookmarkEnd w:id="437"/>
      <w:bookmarkEnd w:id="438"/>
      <w:r>
        <w:rPr>
          <w:rFonts w:hint="eastAsia"/>
          <w:color w:val="000000" w:themeColor="text1"/>
          <w14:textFill>
            <w14:solidFill>
              <w14:schemeClr w14:val="tx1"/>
            </w14:solidFill>
          </w14:textFill>
        </w:rPr>
        <w:t>与</w:t>
      </w:r>
      <w:r>
        <w:rPr>
          <w:color w:val="000000" w:themeColor="text1"/>
          <w14:textFill>
            <w14:solidFill>
              <w14:schemeClr w14:val="tx1"/>
            </w14:solidFill>
          </w14:textFill>
        </w:rPr>
        <w:t>保修</w:t>
      </w:r>
      <w:bookmarkEnd w:id="439"/>
      <w:bookmarkEnd w:id="440"/>
      <w:bookmarkEnd w:id="441"/>
    </w:p>
    <w:p w14:paraId="7E1961A9">
      <w:pPr>
        <w:pStyle w:val="81"/>
        <w:ind w:firstLine="480"/>
        <w:rPr>
          <w:color w:val="000000" w:themeColor="text1"/>
          <w14:textFill>
            <w14:solidFill>
              <w14:schemeClr w14:val="tx1"/>
            </w14:solidFill>
          </w14:textFill>
        </w:rPr>
      </w:pPr>
      <w:bookmarkStart w:id="442" w:name="_Toc44492515"/>
      <w:bookmarkStart w:id="443" w:name="_Toc22"/>
      <w:bookmarkStart w:id="444" w:name="_Toc21762"/>
      <w:r>
        <w:rPr>
          <w:rFonts w:hint="eastAsia"/>
          <w:color w:val="000000" w:themeColor="text1"/>
          <w14:textFill>
            <w14:solidFill>
              <w14:schemeClr w14:val="tx1"/>
            </w14:solidFill>
          </w14:textFill>
        </w:rPr>
        <w:t>19.1.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工</w:t>
      </w:r>
      <w:r>
        <w:rPr>
          <w:color w:val="000000" w:themeColor="text1"/>
          <w14:textFill>
            <w14:solidFill>
              <w14:schemeClr w14:val="tx1"/>
            </w14:solidFill>
          </w14:textFill>
        </w:rPr>
        <w:t>程保修的原则</w:t>
      </w:r>
      <w:bookmarkEnd w:id="442"/>
    </w:p>
    <w:p w14:paraId="5A23A6CB">
      <w:pPr>
        <w:pStyle w:val="81"/>
        <w:ind w:firstLine="420"/>
        <w:rPr>
          <w:rFonts w:eastAsia="仿宋_GB2312"/>
          <w:bCs w:val="0"/>
          <w:color w:val="000000" w:themeColor="text1"/>
          <w:kern w:val="0"/>
          <w:sz w:val="21"/>
          <w14:textFill>
            <w14:solidFill>
              <w14:schemeClr w14:val="tx1"/>
            </w14:solidFill>
          </w14:textFill>
        </w:rPr>
      </w:pPr>
      <w:bookmarkStart w:id="445" w:name="_Toc44492516"/>
      <w:r>
        <w:rPr>
          <w:rFonts w:hint="eastAsia" w:eastAsia="仿宋_GB2312"/>
          <w:color w:val="000000" w:themeColor="text1"/>
          <w:kern w:val="0"/>
          <w:sz w:val="21"/>
          <w14:textFill>
            <w14:solidFill>
              <w14:schemeClr w14:val="tx1"/>
            </w14:solidFill>
          </w14:textFill>
        </w:rPr>
        <w:t>在工程移交发包人后，因分包人原因产生的质量缺陷，分包人应承担质量缺陷责任和保修义务。缺陷责任期届满，分包人仍应按合同约定的工程各部位保修年限承担保修义务。</w:t>
      </w:r>
      <w:bookmarkEnd w:id="445"/>
      <w:r>
        <w:rPr>
          <w:rFonts w:hint="eastAsia" w:eastAsia="仿宋_GB2312"/>
          <w:color w:val="000000" w:themeColor="text1"/>
          <w:kern w:val="0"/>
          <w:sz w:val="21"/>
          <w14:textFill>
            <w14:solidFill>
              <w14:schemeClr w14:val="tx1"/>
            </w14:solidFill>
          </w14:textFill>
        </w:rPr>
        <w:tab/>
      </w:r>
    </w:p>
    <w:p w14:paraId="588E0EB8">
      <w:pPr>
        <w:pStyle w:val="81"/>
        <w:ind w:firstLine="480"/>
        <w:rPr>
          <w:color w:val="000000" w:themeColor="text1"/>
          <w14:textFill>
            <w14:solidFill>
              <w14:schemeClr w14:val="tx1"/>
            </w14:solidFill>
          </w14:textFill>
        </w:rPr>
      </w:pPr>
      <w:bookmarkStart w:id="446" w:name="_Toc44492517"/>
      <w:r>
        <w:rPr>
          <w:rFonts w:hint="eastAsia"/>
          <w:color w:val="000000" w:themeColor="text1"/>
          <w14:textFill>
            <w14:solidFill>
              <w14:schemeClr w14:val="tx1"/>
            </w14:solidFill>
          </w14:textFill>
        </w:rPr>
        <w:t>19.2缺陷责任期</w:t>
      </w:r>
      <w:bookmarkEnd w:id="443"/>
      <w:bookmarkEnd w:id="444"/>
      <w:bookmarkEnd w:id="446"/>
    </w:p>
    <w:p w14:paraId="4C2D854B">
      <w:pPr>
        <w:pStyle w:val="5"/>
        <w:spacing w:before="0" w:after="0" w:line="360" w:lineRule="auto"/>
        <w:ind w:firstLine="420" w:firstLineChars="200"/>
        <w:rPr>
          <w:rFonts w:eastAsia="仿宋_GB2312"/>
          <w:b w:val="0"/>
          <w:bCs w:val="0"/>
          <w:color w:val="000000" w:themeColor="text1"/>
          <w:kern w:val="0"/>
          <w:sz w:val="21"/>
          <w14:textFill>
            <w14:solidFill>
              <w14:schemeClr w14:val="tx1"/>
            </w14:solidFill>
          </w14:textFill>
        </w:rPr>
      </w:pPr>
      <w:bookmarkStart w:id="447" w:name="_Toc44492518"/>
      <w:r>
        <w:rPr>
          <w:rFonts w:eastAsia="仿宋_GB2312"/>
          <w:b w:val="0"/>
          <w:bCs w:val="0"/>
          <w:color w:val="000000" w:themeColor="text1"/>
          <w:kern w:val="0"/>
          <w:sz w:val="21"/>
          <w14:textFill>
            <w14:solidFill>
              <w14:schemeClr w14:val="tx1"/>
            </w14:solidFill>
          </w14:textFill>
        </w:rPr>
        <w:t xml:space="preserve">19.2.1. </w:t>
      </w:r>
      <w:r>
        <w:rPr>
          <w:rFonts w:hint="eastAsia" w:eastAsia="仿宋_GB2312"/>
          <w:b w:val="0"/>
          <w:bCs w:val="0"/>
          <w:color w:val="000000" w:themeColor="text1"/>
          <w:kern w:val="0"/>
          <w:sz w:val="21"/>
          <w14:textFill>
            <w14:solidFill>
              <w14:schemeClr w14:val="tx1"/>
            </w14:solidFill>
          </w14:textFill>
        </w:rPr>
        <w:t>缺陷责任期起止时间按照专用条款的约定执行。</w:t>
      </w:r>
      <w:bookmarkEnd w:id="447"/>
    </w:p>
    <w:p w14:paraId="656D1890">
      <w:pPr>
        <w:pStyle w:val="5"/>
        <w:spacing w:before="0" w:after="0" w:line="360" w:lineRule="auto"/>
        <w:ind w:firstLine="420" w:firstLineChars="200"/>
        <w:rPr>
          <w:rFonts w:eastAsia="仿宋_GB2312"/>
          <w:b w:val="0"/>
          <w:bCs w:val="0"/>
          <w:color w:val="000000" w:themeColor="text1"/>
          <w:kern w:val="0"/>
          <w:sz w:val="21"/>
          <w14:textFill>
            <w14:solidFill>
              <w14:schemeClr w14:val="tx1"/>
            </w14:solidFill>
          </w14:textFill>
        </w:rPr>
      </w:pPr>
      <w:bookmarkStart w:id="448" w:name="_Toc44492519"/>
      <w:r>
        <w:rPr>
          <w:rFonts w:eastAsia="仿宋_GB2312"/>
          <w:b w:val="0"/>
          <w:bCs w:val="0"/>
          <w:color w:val="000000" w:themeColor="text1"/>
          <w:kern w:val="0"/>
          <w:sz w:val="21"/>
          <w14:textFill>
            <w14:solidFill>
              <w14:schemeClr w14:val="tx1"/>
            </w14:solidFill>
          </w14:textFill>
        </w:rPr>
        <w:t>1</w:t>
      </w:r>
      <w:r>
        <w:rPr>
          <w:rFonts w:hint="eastAsia" w:eastAsia="仿宋_GB2312"/>
          <w:b w:val="0"/>
          <w:bCs w:val="0"/>
          <w:color w:val="000000" w:themeColor="text1"/>
          <w:kern w:val="0"/>
          <w:sz w:val="21"/>
          <w14:textFill>
            <w14:solidFill>
              <w14:schemeClr w14:val="tx1"/>
            </w14:solidFill>
          </w14:textFill>
        </w:rPr>
        <w:t>9.2.2. 项目整体竣工验收合格后，因分包人原因导致的缺陷或损坏致使工程、单位工程或某项主要设备不能按原定目的使用的，则发包人有权要求承包人、分包人延长缺陷责任期，并应在原缺陷责任期届满前发出延长通知。</w:t>
      </w:r>
      <w:bookmarkEnd w:id="448"/>
    </w:p>
    <w:p w14:paraId="5C309A25">
      <w:pPr>
        <w:pStyle w:val="5"/>
        <w:spacing w:before="0" w:after="0" w:line="360" w:lineRule="auto"/>
        <w:ind w:firstLine="420" w:firstLineChars="200"/>
        <w:rPr>
          <w:rFonts w:eastAsia="仿宋_GB2312"/>
          <w:b w:val="0"/>
          <w:bCs w:val="0"/>
          <w:color w:val="000000" w:themeColor="text1"/>
          <w:kern w:val="0"/>
          <w:sz w:val="21"/>
          <w14:textFill>
            <w14:solidFill>
              <w14:schemeClr w14:val="tx1"/>
            </w14:solidFill>
          </w14:textFill>
        </w:rPr>
      </w:pPr>
      <w:bookmarkStart w:id="449" w:name="_Toc44492520"/>
      <w:r>
        <w:rPr>
          <w:rFonts w:hint="eastAsia" w:eastAsia="仿宋_GB2312"/>
          <w:b w:val="0"/>
          <w:bCs w:val="0"/>
          <w:color w:val="000000" w:themeColor="text1"/>
          <w:kern w:val="0"/>
          <w:sz w:val="21"/>
          <w14:textFill>
            <w14:solidFill>
              <w14:schemeClr w14:val="tx1"/>
            </w14:solidFill>
          </w14:textFill>
        </w:rPr>
        <w:t>19.2.3任何一项缺陷或损坏修复后，经检查证明其影响了工程或工程设备的使用性能，分包人应重新进行合同约定的试验和试运行，试验和试运行的全部费用应由责任方承担。</w:t>
      </w:r>
      <w:bookmarkEnd w:id="449"/>
    </w:p>
    <w:p w14:paraId="23775375">
      <w:pPr>
        <w:pStyle w:val="5"/>
        <w:spacing w:before="0" w:after="0" w:line="360" w:lineRule="auto"/>
        <w:ind w:firstLine="420" w:firstLineChars="200"/>
        <w:rPr>
          <w:rFonts w:eastAsia="仿宋_GB2312"/>
          <w:b w:val="0"/>
          <w:bCs w:val="0"/>
          <w:color w:val="000000" w:themeColor="text1"/>
          <w:kern w:val="0"/>
          <w:sz w:val="21"/>
          <w14:textFill>
            <w14:solidFill>
              <w14:schemeClr w14:val="tx1"/>
            </w14:solidFill>
          </w14:textFill>
        </w:rPr>
      </w:pPr>
      <w:r>
        <w:rPr>
          <w:rFonts w:hint="eastAsia" w:eastAsia="仿宋_GB2312"/>
          <w:b w:val="0"/>
          <w:bCs w:val="0"/>
          <w:color w:val="000000" w:themeColor="text1"/>
          <w:kern w:val="0"/>
          <w:sz w:val="21"/>
          <w14:textFill>
            <w14:solidFill>
              <w14:schemeClr w14:val="tx1"/>
            </w14:solidFill>
          </w14:textFill>
        </w:rPr>
        <w:t xml:space="preserve"> </w:t>
      </w:r>
      <w:bookmarkStart w:id="450" w:name="_Toc44492521"/>
      <w:r>
        <w:rPr>
          <w:rFonts w:eastAsia="仿宋_GB2312"/>
          <w:b w:val="0"/>
          <w:bCs w:val="0"/>
          <w:color w:val="000000" w:themeColor="text1"/>
          <w:kern w:val="0"/>
          <w:sz w:val="21"/>
          <w14:textFill>
            <w14:solidFill>
              <w14:schemeClr w14:val="tx1"/>
            </w14:solidFill>
          </w14:textFill>
        </w:rPr>
        <w:t>19.2.4</w:t>
      </w:r>
      <w:r>
        <w:rPr>
          <w:rFonts w:hint="eastAsia" w:eastAsia="仿宋_GB2312"/>
          <w:b w:val="0"/>
          <w:bCs w:val="0"/>
          <w:color w:val="000000" w:themeColor="text1"/>
          <w:kern w:val="0"/>
          <w:sz w:val="21"/>
          <w14:textFill>
            <w14:solidFill>
              <w14:schemeClr w14:val="tx1"/>
            </w14:solidFill>
          </w14:textFill>
        </w:rPr>
        <w:t>除专用合同条款另有约定外，分包人应于缺陷责任期届满后7天内通过承包人向发包人发出缺陷责任期届满通知，发包人应在收到缺陷责任期满通知后14天内核实承包人、分包人是否履行缺陷修复义务，分包人未能履行缺陷修复义务的，承包人有权扣除相应金额的维修费用。</w:t>
      </w:r>
      <w:bookmarkEnd w:id="450"/>
    </w:p>
    <w:p w14:paraId="2B9B0614">
      <w:pPr>
        <w:pStyle w:val="81"/>
        <w:ind w:firstLine="480"/>
        <w:rPr>
          <w:color w:val="000000" w:themeColor="text1"/>
          <w14:textFill>
            <w14:solidFill>
              <w14:schemeClr w14:val="tx1"/>
            </w14:solidFill>
          </w14:textFill>
        </w:rPr>
      </w:pPr>
      <w:bookmarkStart w:id="451" w:name="_Toc44492522"/>
      <w:bookmarkStart w:id="452" w:name="_Toc7448"/>
      <w:bookmarkStart w:id="453" w:name="_Toc23428"/>
      <w:r>
        <w:rPr>
          <w:rFonts w:hint="eastAsia"/>
          <w:color w:val="000000" w:themeColor="text1"/>
          <w14:textFill>
            <w14:solidFill>
              <w14:schemeClr w14:val="tx1"/>
            </w14:solidFill>
          </w14:textFill>
        </w:rPr>
        <w:t>19.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缺陷责任程序</w:t>
      </w:r>
      <w:bookmarkEnd w:id="451"/>
      <w:bookmarkEnd w:id="452"/>
      <w:bookmarkEnd w:id="453"/>
    </w:p>
    <w:p w14:paraId="6734244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若分包人在合理时间内未完成发包人指明的缺陷的修复工程,或经发包人证实分包人在维修期间无故拖延，则发包人有权雇佣其他机构或人士进行修复和完成剩余工程。承包人有权从本工程质量保修金中扣除应由分包人承担的费用；质量保修金不足以清偿的，分包人应按发包人、承包人的通知另行支付、补足。</w:t>
      </w:r>
    </w:p>
    <w:p w14:paraId="306A75B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w:t>
      </w:r>
      <w:r>
        <w:rPr>
          <w:color w:val="000000" w:themeColor="text1"/>
          <w14:textFill>
            <w14:solidFill>
              <w14:schemeClr w14:val="tx1"/>
            </w14:solidFill>
          </w14:textFill>
        </w:rPr>
        <w:t>3.2</w:t>
      </w:r>
      <w:bookmarkStart w:id="454" w:name="_Hlk47518290"/>
      <w:r>
        <w:rPr>
          <w:rFonts w:hint="eastAsia"/>
          <w:color w:val="000000" w:themeColor="text1"/>
          <w14:textFill>
            <w14:solidFill>
              <w14:schemeClr w14:val="tx1"/>
            </w14:solidFill>
          </w14:textFill>
        </w:rPr>
        <w:t>.</w:t>
      </w:r>
      <w:bookmarkEnd w:id="454"/>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缺陷责任期内分包人为缺陷修复工作需要，有权进入工程现场，但应遵守发包人的保安和保密规定。</w:t>
      </w:r>
    </w:p>
    <w:p w14:paraId="3B88946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经分包人按照专用条款约定的期限通过承包人向发包人书面提出质量保修金支付申请，发包人确认工程质量无异议，或分包人已按合同约定履行保修责任，承包人应在接到申请及收到发包人支付的款项后28天向分包人支付保修金，保修金不计利息。保修金的支付并不表示分包人保修责任的结束，分包人仍须按照相关法律法规规章及本合同，包括但不限于专用条款的规定继续履行保修责任、质量责任。</w:t>
      </w:r>
    </w:p>
    <w:p w14:paraId="70F73A1B">
      <w:pPr>
        <w:pStyle w:val="81"/>
        <w:ind w:firstLine="480"/>
        <w:rPr>
          <w:color w:val="000000" w:themeColor="text1"/>
          <w14:textFill>
            <w14:solidFill>
              <w14:schemeClr w14:val="tx1"/>
            </w14:solidFill>
          </w14:textFill>
        </w:rPr>
      </w:pPr>
      <w:bookmarkStart w:id="455" w:name="_Toc44492523"/>
      <w:r>
        <w:rPr>
          <w:rFonts w:hint="eastAsia"/>
          <w:color w:val="000000" w:themeColor="text1"/>
          <w14:textFill>
            <w14:solidFill>
              <w14:schemeClr w14:val="tx1"/>
            </w14:solidFill>
          </w14:textFill>
        </w:rPr>
        <w:t>19</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保修</w:t>
      </w:r>
      <w:bookmarkEnd w:id="455"/>
    </w:p>
    <w:p w14:paraId="7FAE6DD9">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56" w:name="_Toc44492524"/>
      <w:r>
        <w:rPr>
          <w:rFonts w:hint="eastAsia" w:eastAsia="仿宋_GB2312"/>
          <w:b w:val="0"/>
          <w:bCs w:val="0"/>
          <w:color w:val="000000" w:themeColor="text1"/>
          <w:kern w:val="0"/>
          <w:sz w:val="21"/>
          <w14:textFill>
            <w14:solidFill>
              <w14:schemeClr w14:val="tx1"/>
            </w14:solidFill>
          </w14:textFill>
        </w:rPr>
        <w:t>19.4.1. 保修责任</w:t>
      </w:r>
      <w:bookmarkEnd w:id="456"/>
    </w:p>
    <w:p w14:paraId="78376DDE">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工程保修期及具体分部分项工程的保修期由合同当事人在专用合同条款中约定，但不得低于法定最低保修年限。在工程保修期内，分包人应当根据有关法律规定以及合同约定承担保修责任。</w:t>
      </w:r>
    </w:p>
    <w:p w14:paraId="345C8A62">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57" w:name="_Toc44492525"/>
      <w:r>
        <w:rPr>
          <w:rFonts w:hint="eastAsia" w:eastAsia="仿宋_GB2312"/>
          <w:b w:val="0"/>
          <w:bCs w:val="0"/>
          <w:color w:val="000000" w:themeColor="text1"/>
          <w:kern w:val="0"/>
          <w:sz w:val="21"/>
          <w14:textFill>
            <w14:solidFill>
              <w14:schemeClr w14:val="tx1"/>
            </w14:solidFill>
          </w14:textFill>
        </w:rPr>
        <w:t>19.4.2. 修复费用</w:t>
      </w:r>
      <w:bookmarkEnd w:id="457"/>
    </w:p>
    <w:p w14:paraId="481781AF">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保修期内，修复的费用按照以下约定处理：</w:t>
      </w:r>
    </w:p>
    <w:p w14:paraId="750D9B7E">
      <w:pPr>
        <w:pStyle w:val="6"/>
        <w:keepNext w:val="0"/>
        <w:keepLines w:val="0"/>
        <w:adjustRightInd w:val="0"/>
        <w:snapToGrid w:val="0"/>
        <w:spacing w:before="0" w:after="0" w:line="360" w:lineRule="auto"/>
        <w:ind w:left="567"/>
        <w:jc w:val="left"/>
        <w:rPr>
          <w:rFonts w:ascii="Times New Roman" w:hAnsi="Times New Roman" w:eastAsia="仿宋_GB2312"/>
          <w:b w:val="0"/>
          <w:bCs w:val="0"/>
          <w:color w:val="000000" w:themeColor="text1"/>
          <w:kern w:val="0"/>
          <w:sz w:val="21"/>
          <w:szCs w:val="32"/>
          <w14:textFill>
            <w14:solidFill>
              <w14:schemeClr w14:val="tx1"/>
            </w14:solidFill>
          </w14:textFill>
        </w:rPr>
      </w:pPr>
      <w:r>
        <w:rPr>
          <w:rFonts w:hint="eastAsia" w:ascii="Times New Roman" w:hAnsi="Times New Roman" w:eastAsia="仿宋_GB2312"/>
          <w:b w:val="0"/>
          <w:bCs w:val="0"/>
          <w:color w:val="000000" w:themeColor="text1"/>
          <w:kern w:val="0"/>
          <w:sz w:val="21"/>
          <w:szCs w:val="32"/>
          <w14:textFill>
            <w14:solidFill>
              <w14:schemeClr w14:val="tx1"/>
            </w14:solidFill>
          </w14:textFill>
        </w:rPr>
        <w:t>1）保修期内，因分包人原因造成工程的缺陷、损坏，分包人应负责修复，并承担修复的费用以及因工程的缺陷、损坏造成的人身伤害和财产损失；</w:t>
      </w:r>
    </w:p>
    <w:p w14:paraId="24DB379D">
      <w:pPr>
        <w:pStyle w:val="6"/>
        <w:keepNext w:val="0"/>
        <w:keepLines w:val="0"/>
        <w:adjustRightInd w:val="0"/>
        <w:snapToGrid w:val="0"/>
        <w:spacing w:before="0" w:after="0" w:line="360" w:lineRule="auto"/>
        <w:ind w:left="567"/>
        <w:jc w:val="left"/>
        <w:rPr>
          <w:rFonts w:ascii="Times New Roman" w:hAnsi="Times New Roman" w:eastAsia="仿宋_GB2312"/>
          <w:b w:val="0"/>
          <w:bCs w:val="0"/>
          <w:color w:val="000000" w:themeColor="text1"/>
          <w:kern w:val="0"/>
          <w:sz w:val="21"/>
          <w:szCs w:val="32"/>
          <w14:textFill>
            <w14:solidFill>
              <w14:schemeClr w14:val="tx1"/>
            </w14:solidFill>
          </w14:textFill>
        </w:rPr>
      </w:pPr>
      <w:r>
        <w:rPr>
          <w:rFonts w:hint="eastAsia" w:ascii="Times New Roman" w:hAnsi="Times New Roman" w:eastAsia="仿宋_GB2312"/>
          <w:b w:val="0"/>
          <w:bCs w:val="0"/>
          <w:color w:val="000000" w:themeColor="text1"/>
          <w:kern w:val="0"/>
          <w:sz w:val="21"/>
          <w:szCs w:val="32"/>
          <w14:textFill>
            <w14:solidFill>
              <w14:schemeClr w14:val="tx1"/>
            </w14:solidFill>
          </w14:textFill>
        </w:rPr>
        <w:t>2）保修期内，因发包人使用不当造成工程的缺陷、损坏，可以委托分包人修复，但发包人应承担修复的费用；</w:t>
      </w:r>
    </w:p>
    <w:p w14:paraId="74DFE0E9">
      <w:pPr>
        <w:pStyle w:val="6"/>
        <w:keepNext w:val="0"/>
        <w:keepLines w:val="0"/>
        <w:adjustRightInd w:val="0"/>
        <w:snapToGrid w:val="0"/>
        <w:spacing w:before="0" w:after="0" w:line="360" w:lineRule="auto"/>
        <w:ind w:left="567"/>
        <w:jc w:val="left"/>
        <w:rPr>
          <w:rFonts w:ascii="Times New Roman" w:hAnsi="Times New Roman" w:eastAsia="仿宋_GB2312"/>
          <w:b w:val="0"/>
          <w:bCs w:val="0"/>
          <w:color w:val="000000" w:themeColor="text1"/>
          <w:kern w:val="0"/>
          <w:sz w:val="21"/>
          <w:szCs w:val="32"/>
          <w14:textFill>
            <w14:solidFill>
              <w14:schemeClr w14:val="tx1"/>
            </w14:solidFill>
          </w14:textFill>
        </w:rPr>
      </w:pPr>
      <w:r>
        <w:rPr>
          <w:rFonts w:hint="eastAsia" w:ascii="Times New Roman" w:hAnsi="Times New Roman" w:eastAsia="仿宋_GB2312"/>
          <w:b w:val="0"/>
          <w:bCs w:val="0"/>
          <w:color w:val="000000" w:themeColor="text1"/>
          <w:kern w:val="0"/>
          <w:sz w:val="21"/>
          <w:szCs w:val="32"/>
          <w14:textFill>
            <w14:solidFill>
              <w14:schemeClr w14:val="tx1"/>
            </w14:solidFill>
          </w14:textFill>
        </w:rPr>
        <w:t>3）因其他原因造成工程的缺陷、损坏，可以委托分包人修复，发包人应承担修复的费用，因工程的缺陷、损坏造成的人身伤害和财产损失由责任方承担。</w:t>
      </w:r>
    </w:p>
    <w:p w14:paraId="6A383885">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58" w:name="_Toc44492526"/>
      <w:r>
        <w:rPr>
          <w:rFonts w:hint="eastAsia" w:eastAsia="仿宋_GB2312"/>
          <w:b w:val="0"/>
          <w:bCs w:val="0"/>
          <w:color w:val="000000" w:themeColor="text1"/>
          <w:kern w:val="0"/>
          <w:sz w:val="21"/>
          <w14:textFill>
            <w14:solidFill>
              <w14:schemeClr w14:val="tx1"/>
            </w14:solidFill>
          </w14:textFill>
        </w:rPr>
        <w:t>19.4.3. 修复通知</w:t>
      </w:r>
      <w:bookmarkEnd w:id="458"/>
    </w:p>
    <w:p w14:paraId="657C9E25">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在保修期内，发包人在使用过程中，发现已接收的工程存在缺陷或损坏的，应通过承包人书面通知分包人予以修复，但情况紧急必须立即修复缺陷或损坏的，分包人在口头通知后48小时内书面确认，分包人应在专用合同条款约定的合理期限内到达工程现场并修复缺陷或损坏。</w:t>
      </w:r>
    </w:p>
    <w:p w14:paraId="3A389048">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59" w:name="_Toc44492527"/>
      <w:r>
        <w:rPr>
          <w:rFonts w:hint="eastAsia" w:eastAsia="仿宋_GB2312"/>
          <w:b w:val="0"/>
          <w:bCs w:val="0"/>
          <w:color w:val="000000" w:themeColor="text1"/>
          <w:kern w:val="0"/>
          <w:sz w:val="21"/>
          <w14:textFill>
            <w14:solidFill>
              <w14:schemeClr w14:val="tx1"/>
            </w14:solidFill>
          </w14:textFill>
        </w:rPr>
        <w:t>19.4.4. 未能修复</w:t>
      </w:r>
      <w:bookmarkEnd w:id="459"/>
    </w:p>
    <w:p w14:paraId="3FE1CD36">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因分包人原因造成工程的缺陷或损坏，分包人拒绝维修或未能在合理期限内修复缺陷或损坏，且经发包人、承包人书面催告后仍未修复的，发包人有权自行修复或委托第三方修复，所需费用由分包人承担。</w:t>
      </w:r>
    </w:p>
    <w:p w14:paraId="2382413F">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60" w:name="_Toc44492528"/>
      <w:r>
        <w:rPr>
          <w:rFonts w:hint="eastAsia" w:eastAsia="仿宋_GB2312"/>
          <w:b w:val="0"/>
          <w:bCs w:val="0"/>
          <w:color w:val="000000" w:themeColor="text1"/>
          <w:kern w:val="0"/>
          <w:sz w:val="21"/>
          <w14:textFill>
            <w14:solidFill>
              <w14:schemeClr w14:val="tx1"/>
            </w14:solidFill>
          </w14:textFill>
        </w:rPr>
        <w:t>19.4.5. 分包人出入权</w:t>
      </w:r>
      <w:bookmarkEnd w:id="460"/>
    </w:p>
    <w:p w14:paraId="147DADE0">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在保修期内，为了修复缺陷或损坏，分包人有权出入工程现场，除情况紧急必须立即修复缺陷或损坏外，分包人应通过承包人提前24小时通知发包人进场修复的时间。分包人进入工程现场前应获得发包人同意，且不应影响发包人正常的生产经营，并应遵守发包人有关保安和保密等规定。</w:t>
      </w:r>
    </w:p>
    <w:p w14:paraId="25F190B4">
      <w:pPr>
        <w:pStyle w:val="77"/>
        <w:rPr>
          <w:color w:val="000000" w:themeColor="text1"/>
          <w14:textFill>
            <w14:solidFill>
              <w14:schemeClr w14:val="tx1"/>
            </w14:solidFill>
          </w14:textFill>
        </w:rPr>
      </w:pPr>
      <w:bookmarkStart w:id="461" w:name="_Toc44492529"/>
      <w:bookmarkStart w:id="462" w:name="_Toc47512250"/>
      <w:bookmarkStart w:id="463" w:name="_Toc44228001"/>
      <w:bookmarkStart w:id="464" w:name="_Toc407356013"/>
      <w:bookmarkStart w:id="465" w:name="_Toc3977"/>
      <w:bookmarkStart w:id="466" w:name="_Toc6968"/>
      <w:bookmarkStart w:id="467" w:name="_Toc91082312"/>
      <w:r>
        <w:rPr>
          <w:rFonts w:hint="eastAsia"/>
          <w:color w:val="000000" w:themeColor="text1"/>
          <w14:textFill>
            <w14:solidFill>
              <w14:schemeClr w14:val="tx1"/>
            </w14:solidFill>
          </w14:textFill>
        </w:rPr>
        <w:t>20.保险</w:t>
      </w:r>
      <w:bookmarkEnd w:id="461"/>
      <w:bookmarkEnd w:id="462"/>
      <w:bookmarkEnd w:id="463"/>
      <w:bookmarkEnd w:id="464"/>
      <w:bookmarkEnd w:id="465"/>
      <w:bookmarkEnd w:id="466"/>
      <w:bookmarkEnd w:id="467"/>
    </w:p>
    <w:p w14:paraId="4F33796B">
      <w:pPr>
        <w:pStyle w:val="81"/>
        <w:ind w:firstLine="480"/>
        <w:rPr>
          <w:color w:val="000000" w:themeColor="text1"/>
          <w14:textFill>
            <w14:solidFill>
              <w14:schemeClr w14:val="tx1"/>
            </w14:solidFill>
          </w14:textFill>
        </w:rPr>
      </w:pPr>
      <w:bookmarkStart w:id="468" w:name="_Toc2062"/>
      <w:bookmarkStart w:id="469" w:name="_Toc44492530"/>
      <w:bookmarkStart w:id="470" w:name="_Toc20941"/>
      <w:r>
        <w:rPr>
          <w:rFonts w:hint="eastAsia"/>
          <w:color w:val="000000" w:themeColor="text1"/>
          <w14:textFill>
            <w14:solidFill>
              <w14:schemeClr w14:val="tx1"/>
            </w14:solidFill>
          </w14:textFill>
        </w:rPr>
        <w:t>20.1.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建筑工程一切险(含第三者责任险）</w:t>
      </w:r>
      <w:bookmarkEnd w:id="468"/>
      <w:bookmarkEnd w:id="469"/>
      <w:bookmarkEnd w:id="470"/>
    </w:p>
    <w:p w14:paraId="2238726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不免除或减少、降低分包人按本合同所承担的全部责任和义务的前提下，本工程项目应投保建筑工程一切险(含第三者责任险）。本工程项目应投保的建筑工程一切险（含第三者责任险）的相关费用均已包含在合同总价中。其具体的投保内容、保险金额、保险费率、保险期限、免赔额等有关内容在专用合同条款中约定。</w:t>
      </w:r>
    </w:p>
    <w:p w14:paraId="15C6F48B">
      <w:pPr>
        <w:pStyle w:val="81"/>
        <w:ind w:firstLine="480"/>
        <w:rPr>
          <w:color w:val="000000" w:themeColor="text1"/>
          <w14:textFill>
            <w14:solidFill>
              <w14:schemeClr w14:val="tx1"/>
            </w14:solidFill>
          </w14:textFill>
        </w:rPr>
      </w:pPr>
      <w:bookmarkStart w:id="471" w:name="_Toc4392"/>
      <w:bookmarkStart w:id="472" w:name="_Toc6123"/>
      <w:bookmarkStart w:id="473" w:name="_Toc44492531"/>
      <w:r>
        <w:rPr>
          <w:rFonts w:hint="eastAsia"/>
          <w:color w:val="000000" w:themeColor="text1"/>
          <w14:textFill>
            <w14:solidFill>
              <w14:schemeClr w14:val="tx1"/>
            </w14:solidFill>
          </w14:textFill>
        </w:rPr>
        <w:t>20.2.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人身伤亡及财产损失责任险</w:t>
      </w:r>
      <w:bookmarkEnd w:id="471"/>
      <w:bookmarkEnd w:id="472"/>
      <w:bookmarkEnd w:id="473"/>
    </w:p>
    <w:p w14:paraId="0CFA9B4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对与本工程有关或本工程进行期间发生的或因本工程引致的人身伤亡、财产损失的费用、责任、损失、索偿或诉讼负责，并须保障发包人免负此类责任，除非有关伤亡是发包人或其应负责的人直接责任所引致的。若发包人因有关法律规定司法裁判、行政决定裁决或调解、和解协议或维稳需要先行承担责任或承担连带责任的，分包人应予赔偿。</w:t>
      </w:r>
    </w:p>
    <w:p w14:paraId="31CD9BE9">
      <w:pPr>
        <w:pStyle w:val="81"/>
        <w:ind w:firstLine="480"/>
        <w:rPr>
          <w:color w:val="000000" w:themeColor="text1"/>
          <w14:textFill>
            <w14:solidFill>
              <w14:schemeClr w14:val="tx1"/>
            </w14:solidFill>
          </w14:textFill>
        </w:rPr>
      </w:pPr>
      <w:bookmarkStart w:id="474" w:name="_Toc2000"/>
      <w:bookmarkStart w:id="475" w:name="_Toc44492532"/>
      <w:bookmarkStart w:id="476" w:name="_Toc5802"/>
      <w:r>
        <w:rPr>
          <w:rFonts w:hint="eastAsia"/>
          <w:color w:val="000000" w:themeColor="text1"/>
          <w14:textFill>
            <w14:solidFill>
              <w14:schemeClr w14:val="tx1"/>
            </w14:solidFill>
          </w14:textFill>
        </w:rPr>
        <w:t>20.3.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雇员赔偿保险</w:t>
      </w:r>
      <w:bookmarkEnd w:id="474"/>
      <w:bookmarkEnd w:id="475"/>
      <w:bookmarkEnd w:id="476"/>
    </w:p>
    <w:p w14:paraId="690AA1F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分包人须对其雇员、工作人员、代理人、劳务人员的意外或伤亡负全责。</w:t>
      </w:r>
    </w:p>
    <w:p w14:paraId="4648754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对任何承包单位的雇员、代理人、劳务人员或其他人的意外或伤亡，不论该人是受雇于承包人或其他分包单位，皆不负任何法律上的赔偿责任。分包人须保障发包人、承包人免负任何有关的索偿、要求、诉讼、成本、费用和支出。若发包人、承包人因有关法律规定或司法行政决定或和解协议需要先行承担责任或承担连带责任的，分包人应予赔偿。</w:t>
      </w:r>
    </w:p>
    <w:p w14:paraId="13BAEA0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分包人须为自己和对受雇于工地上或在当地任何地方从事与本工程有关的工作的所有员工、雇员、代理人、劳务人员或其他人的所有责任投有及维持所需的意外、工伤保险及社会保险等。</w:t>
      </w:r>
    </w:p>
    <w:p w14:paraId="1D3223B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假若有任何受雇于本工程或与本合同有关的雇员或其他人士，受到损伤，不论有无索偿，承包人须马上以书面形式将该损伤通知发包人。</w:t>
      </w:r>
    </w:p>
    <w:p w14:paraId="441152C3">
      <w:pPr>
        <w:pStyle w:val="81"/>
        <w:ind w:firstLine="480"/>
        <w:rPr>
          <w:color w:val="000000" w:themeColor="text1"/>
          <w14:textFill>
            <w14:solidFill>
              <w14:schemeClr w14:val="tx1"/>
            </w14:solidFill>
          </w14:textFill>
        </w:rPr>
      </w:pPr>
      <w:bookmarkStart w:id="477" w:name="_Toc28705"/>
      <w:bookmarkStart w:id="478" w:name="_Toc44492533"/>
      <w:bookmarkStart w:id="479" w:name="_Toc15128"/>
      <w:r>
        <w:rPr>
          <w:rFonts w:hint="eastAsia"/>
          <w:color w:val="000000" w:themeColor="text1"/>
          <w14:textFill>
            <w14:solidFill>
              <w14:schemeClr w14:val="tx1"/>
            </w14:solidFill>
          </w14:textFill>
        </w:rPr>
        <w:t>20.4.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其他保险</w:t>
      </w:r>
      <w:bookmarkEnd w:id="477"/>
      <w:bookmarkEnd w:id="478"/>
      <w:bookmarkEnd w:id="479"/>
    </w:p>
    <w:p w14:paraId="4AF31F5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除专用条款另有约定外，分包人应为其施工设备、进场的材料和工程设备等办理保险。</w:t>
      </w:r>
    </w:p>
    <w:p w14:paraId="0D7E7DB6">
      <w:pPr>
        <w:pStyle w:val="81"/>
        <w:ind w:firstLine="480"/>
        <w:rPr>
          <w:color w:val="000000" w:themeColor="text1"/>
          <w14:textFill>
            <w14:solidFill>
              <w14:schemeClr w14:val="tx1"/>
            </w14:solidFill>
          </w14:textFill>
        </w:rPr>
      </w:pPr>
      <w:bookmarkStart w:id="480" w:name="_Toc21252"/>
      <w:bookmarkStart w:id="481" w:name="_Toc22569"/>
      <w:bookmarkStart w:id="482" w:name="_Toc44492534"/>
      <w:r>
        <w:rPr>
          <w:rFonts w:hint="eastAsia"/>
          <w:color w:val="000000" w:themeColor="text1"/>
          <w14:textFill>
            <w14:solidFill>
              <w14:schemeClr w14:val="tx1"/>
            </w14:solidFill>
          </w14:textFill>
        </w:rPr>
        <w:t>20.5.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对各项保险的一般要求</w:t>
      </w:r>
      <w:bookmarkEnd w:id="480"/>
      <w:bookmarkEnd w:id="481"/>
      <w:bookmarkEnd w:id="482"/>
    </w:p>
    <w:p w14:paraId="0FC042F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分包人应向承包人、发包人提交各项保险生效的证据和保险单副本，保险单必须与专用条款约定的条件保持一致。</w:t>
      </w:r>
    </w:p>
    <w:p w14:paraId="391659B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将被视为对保险单内一切条款清楚明确，并积极地遵循保险条款和承保人关于解决索偿、追讨损失和防止意外的一切合理要求，并自费负责因未能遵循的后果。分包人应尊重保险索偿的结果并放弃对发包人因处理保险事宜引起的一切赔偿及责任追讨。分包人须自行承担保险单内规定的保险除外责任、免赔额、不负责项目或限制的费用，除非合同明确规定它们是属于发包人在本合同内应承担的风险或责任。</w:t>
      </w:r>
    </w:p>
    <w:p w14:paraId="2A97E5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需要变动保险合同条款时，应事先征得承包人、发包人同意，并通知监理人。保险人作出变动的，分包人应提异议的应及时提出异议、与其磋商，并在收到保险人通知后立即通知承包人、发包人和监理人，异议亦同。</w:t>
      </w:r>
    </w:p>
    <w:p w14:paraId="16A5A8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分包人应与保险人保持联系，使保险人能够随时了解工程实施中的变动，并确保按保险合同条款要求持续保险。</w:t>
      </w:r>
    </w:p>
    <w:p w14:paraId="614BC47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当保险事故发生时，投保人应按照保险单规定的条件和期限及时向保险人报告。</w:t>
      </w:r>
    </w:p>
    <w:p w14:paraId="6D9EABB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保险期若因分包人的过失而需延长，因此而增加的保险费由分包人负担。</w:t>
      </w:r>
    </w:p>
    <w:p w14:paraId="3FDE2D7F">
      <w:pPr>
        <w:pStyle w:val="77"/>
        <w:rPr>
          <w:color w:val="000000" w:themeColor="text1"/>
          <w14:textFill>
            <w14:solidFill>
              <w14:schemeClr w14:val="tx1"/>
            </w14:solidFill>
          </w14:textFill>
        </w:rPr>
      </w:pPr>
      <w:bookmarkStart w:id="483" w:name="_Toc1341"/>
      <w:bookmarkStart w:id="484" w:name="_Toc44228002"/>
      <w:bookmarkStart w:id="485" w:name="_Toc407356014"/>
      <w:bookmarkStart w:id="486" w:name="_Toc47512251"/>
      <w:bookmarkStart w:id="487" w:name="_Toc91082313"/>
      <w:bookmarkStart w:id="488" w:name="_Toc5318"/>
      <w:bookmarkStart w:id="489" w:name="_Toc44492535"/>
      <w:r>
        <w:rPr>
          <w:rFonts w:hint="eastAsia"/>
          <w:color w:val="000000" w:themeColor="text1"/>
          <w14:textFill>
            <w14:solidFill>
              <w14:schemeClr w14:val="tx1"/>
            </w14:solidFill>
          </w14:textFill>
        </w:rPr>
        <w:t>21.不可抗力</w:t>
      </w:r>
      <w:bookmarkEnd w:id="483"/>
      <w:bookmarkEnd w:id="484"/>
      <w:bookmarkEnd w:id="485"/>
      <w:bookmarkEnd w:id="486"/>
      <w:bookmarkEnd w:id="487"/>
      <w:bookmarkEnd w:id="488"/>
      <w:bookmarkEnd w:id="489"/>
    </w:p>
    <w:p w14:paraId="22E0B78D">
      <w:pPr>
        <w:pStyle w:val="81"/>
        <w:ind w:firstLine="480"/>
        <w:rPr>
          <w:color w:val="000000" w:themeColor="text1"/>
          <w14:textFill>
            <w14:solidFill>
              <w14:schemeClr w14:val="tx1"/>
            </w14:solidFill>
          </w14:textFill>
        </w:rPr>
      </w:pPr>
      <w:bookmarkStart w:id="490" w:name="_Toc44492536"/>
      <w:bookmarkStart w:id="491" w:name="_Toc5740"/>
      <w:bookmarkStart w:id="492" w:name="_Toc7859"/>
      <w:r>
        <w:rPr>
          <w:rFonts w:hint="eastAsia"/>
          <w:color w:val="000000" w:themeColor="text1"/>
          <w14:textFill>
            <w14:solidFill>
              <w14:schemeClr w14:val="tx1"/>
            </w14:solidFill>
          </w14:textFill>
        </w:rPr>
        <w:t>21.1.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不可抗力的确认</w:t>
      </w:r>
      <w:bookmarkEnd w:id="490"/>
      <w:bookmarkEnd w:id="491"/>
      <w:bookmarkEnd w:id="492"/>
    </w:p>
    <w:p w14:paraId="1D5B050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不可抗力是指分包人和承包人在订立合同时不可预见，在工程施工过程中不可避</w:t>
      </w:r>
      <w:r>
        <w:rPr>
          <w:rFonts w:hint="eastAsia"/>
          <w:color w:val="auto"/>
        </w:rPr>
        <w:t>免发生并不能克服的自然灾害和社会性突发事件，如地震、海啸、瘟疫、水灾、骚乱、</w:t>
      </w:r>
      <w:r>
        <w:rPr>
          <w:rFonts w:hint="eastAsia" w:ascii="仿宋" w:hAnsi="仿宋" w:eastAsia="仿宋" w:cs="仿宋"/>
          <w:color w:val="auto"/>
          <w:szCs w:val="24"/>
        </w:rPr>
        <w:t>戒严、</w:t>
      </w:r>
      <w:r>
        <w:rPr>
          <w:rFonts w:hint="eastAsia"/>
          <w:color w:val="000000" w:themeColor="text1"/>
          <w14:textFill>
            <w14:solidFill>
              <w14:schemeClr w14:val="tx1"/>
            </w14:solidFill>
          </w14:textFill>
        </w:rPr>
        <w:t>暴动、战争等。</w:t>
      </w:r>
    </w:p>
    <w:p w14:paraId="5FB7E9D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发生后，发包人和承包人、分包人应及时认真统计所造成的损失，收集不可抗力造成损失的证据。合同当事人对是否属于不可抗力或其损失的意见不一致的，由三方商定或确定。发生争议时，按第23条的约定办理。</w:t>
      </w:r>
    </w:p>
    <w:p w14:paraId="12C836C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21.1.3不可抗力包括的范围以及事件处理同总包合同响应条款。</w:t>
      </w:r>
    </w:p>
    <w:p w14:paraId="1962B954">
      <w:pPr>
        <w:pStyle w:val="81"/>
        <w:ind w:firstLine="480"/>
        <w:rPr>
          <w:color w:val="000000" w:themeColor="text1"/>
          <w14:textFill>
            <w14:solidFill>
              <w14:schemeClr w14:val="tx1"/>
            </w14:solidFill>
          </w14:textFill>
        </w:rPr>
      </w:pPr>
      <w:bookmarkStart w:id="493" w:name="_Toc44492537"/>
      <w:bookmarkStart w:id="494" w:name="_Toc14381"/>
      <w:bookmarkStart w:id="495" w:name="_Toc27173"/>
      <w:r>
        <w:rPr>
          <w:rFonts w:hint="eastAsia"/>
          <w:color w:val="000000" w:themeColor="text1"/>
          <w14:textFill>
            <w14:solidFill>
              <w14:schemeClr w14:val="tx1"/>
            </w14:solidFill>
          </w14:textFill>
        </w:rPr>
        <w:t>21.2.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不可抗力的通知</w:t>
      </w:r>
      <w:bookmarkEnd w:id="493"/>
      <w:bookmarkEnd w:id="494"/>
      <w:bookmarkEnd w:id="495"/>
    </w:p>
    <w:p w14:paraId="33A4F03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合同一方当事人遇到不可抗力事件，使其履行合同义务受到阻碍时，应立即通知合同另一方当事人、发包人和监理人，书面说明不可抗力和受阻碍的详细情况，并提供必要的证明。</w:t>
      </w:r>
    </w:p>
    <w:p w14:paraId="0D266CB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如不可抗力持续发生，合同一方当事人应及时向合同另一方当事人、发包人和监理人提交中间报告，说明不可抗力和履行合同受阻的情况，并于不可抗力事件结束后28天内提交最终报告及有关资料。</w:t>
      </w:r>
    </w:p>
    <w:p w14:paraId="03549142">
      <w:pPr>
        <w:pStyle w:val="81"/>
        <w:ind w:firstLine="480"/>
        <w:rPr>
          <w:color w:val="000000" w:themeColor="text1"/>
          <w14:textFill>
            <w14:solidFill>
              <w14:schemeClr w14:val="tx1"/>
            </w14:solidFill>
          </w14:textFill>
        </w:rPr>
      </w:pPr>
      <w:bookmarkStart w:id="496" w:name="_Toc7341"/>
      <w:bookmarkStart w:id="497" w:name="_Toc44492538"/>
      <w:bookmarkStart w:id="498" w:name="_Toc8796"/>
      <w:r>
        <w:rPr>
          <w:rFonts w:hint="eastAsia"/>
          <w:color w:val="000000" w:themeColor="text1"/>
          <w14:textFill>
            <w14:solidFill>
              <w14:schemeClr w14:val="tx1"/>
            </w14:solidFill>
          </w14:textFill>
        </w:rPr>
        <w:t>21.3.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不可抗力后果及其处理</w:t>
      </w:r>
      <w:bookmarkEnd w:id="496"/>
      <w:bookmarkEnd w:id="497"/>
      <w:bookmarkEnd w:id="498"/>
    </w:p>
    <w:p w14:paraId="0956F7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不可抗力发生后，发包人、承包人和分包人均应采取措施尽量避免和减少损失的扩大，任何一方没有采取有效措施导致损失扩大的，应对扩大的损失承担责任。</w:t>
      </w:r>
    </w:p>
    <w:p w14:paraId="23C036C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除专用条款另有约定外，不可抗力导致的人员伤亡、财产损失、费用增加和（或）工期延误等后果，由按以下原则承担：</w:t>
      </w:r>
    </w:p>
    <w:p w14:paraId="546E3B4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永久工程，包括已运至施工场地的材料和工程设备的损害，以及因工程损害造成的第三者人员伤亡和财产损失由发包人承担；</w:t>
      </w:r>
    </w:p>
    <w:p w14:paraId="1A9B81E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分包人设备的损坏由分包人承担；</w:t>
      </w:r>
    </w:p>
    <w:p w14:paraId="3E45444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发包人、承包人和分包人各自承担其人员伤亡和其他财产损失及其相关费用；</w:t>
      </w:r>
    </w:p>
    <w:p w14:paraId="096909D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分包人的停工损失由分包人承担，但停工期间应监理人要求照管工程和清理、修复工程的金额由发包人承担；</w:t>
      </w:r>
    </w:p>
    <w:p w14:paraId="748B4D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不能按期竣工的，应合理延长工期，分包人不需支付逾期竣工违约金。发包人要求赶工的，分包人应采取赶工措施，赶工费用由发包人承担。</w:t>
      </w:r>
    </w:p>
    <w:p w14:paraId="3DCD4D94">
      <w:pPr>
        <w:pStyle w:val="77"/>
        <w:rPr>
          <w:color w:val="000000" w:themeColor="text1"/>
          <w14:textFill>
            <w14:solidFill>
              <w14:schemeClr w14:val="tx1"/>
            </w14:solidFill>
          </w14:textFill>
        </w:rPr>
      </w:pPr>
      <w:bookmarkStart w:id="499" w:name="_Toc5360"/>
      <w:bookmarkStart w:id="500" w:name="_Toc47512252"/>
      <w:bookmarkStart w:id="501" w:name="_Toc91082314"/>
      <w:bookmarkStart w:id="502" w:name="_Toc44492539"/>
      <w:bookmarkStart w:id="503" w:name="_Toc18285"/>
      <w:bookmarkStart w:id="504" w:name="_Toc44228003"/>
      <w:bookmarkStart w:id="505" w:name="_Toc407356015"/>
      <w:r>
        <w:rPr>
          <w:rFonts w:hint="eastAsia"/>
          <w:color w:val="000000" w:themeColor="text1"/>
          <w14:textFill>
            <w14:solidFill>
              <w14:schemeClr w14:val="tx1"/>
            </w14:solidFill>
          </w14:textFill>
        </w:rPr>
        <w:t>22.违约</w:t>
      </w:r>
      <w:bookmarkEnd w:id="499"/>
      <w:bookmarkEnd w:id="500"/>
      <w:bookmarkEnd w:id="501"/>
      <w:bookmarkEnd w:id="502"/>
      <w:bookmarkEnd w:id="503"/>
      <w:bookmarkEnd w:id="504"/>
      <w:bookmarkEnd w:id="505"/>
    </w:p>
    <w:p w14:paraId="5383F02F">
      <w:pPr>
        <w:pStyle w:val="81"/>
        <w:ind w:firstLine="480"/>
        <w:rPr>
          <w:color w:val="000000" w:themeColor="text1"/>
          <w14:textFill>
            <w14:solidFill>
              <w14:schemeClr w14:val="tx1"/>
            </w14:solidFill>
          </w14:textFill>
        </w:rPr>
      </w:pPr>
      <w:bookmarkStart w:id="506" w:name="_Toc44492540"/>
      <w:bookmarkStart w:id="507" w:name="_Toc29125"/>
      <w:bookmarkStart w:id="508" w:name="_Toc22285"/>
      <w:r>
        <w:rPr>
          <w:rFonts w:hint="eastAsia"/>
          <w:color w:val="000000" w:themeColor="text1"/>
          <w14:textFill>
            <w14:solidFill>
              <w14:schemeClr w14:val="tx1"/>
            </w14:solidFill>
          </w14:textFill>
        </w:rPr>
        <w:t>22.1.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分包人违约</w:t>
      </w:r>
      <w:bookmarkEnd w:id="506"/>
      <w:bookmarkEnd w:id="507"/>
      <w:bookmarkEnd w:id="508"/>
    </w:p>
    <w:p w14:paraId="674F2823">
      <w:pPr>
        <w:pStyle w:val="81"/>
        <w:ind w:firstLine="420"/>
        <w:outlineLvl w:val="9"/>
        <w:rPr>
          <w:rFonts w:eastAsia="仿宋_GB2312"/>
          <w:color w:val="000000" w:themeColor="text1"/>
          <w:kern w:val="0"/>
          <w:sz w:val="21"/>
          <w14:textFill>
            <w14:solidFill>
              <w14:schemeClr w14:val="tx1"/>
            </w14:solidFill>
          </w14:textFill>
        </w:rPr>
      </w:pPr>
      <w:r>
        <w:rPr>
          <w:rFonts w:hint="eastAsia" w:eastAsia="仿宋_GB2312"/>
          <w:color w:val="000000" w:themeColor="text1"/>
          <w:kern w:val="0"/>
          <w:sz w:val="21"/>
          <w14:textFill>
            <w14:solidFill>
              <w14:schemeClr w14:val="tx1"/>
            </w14:solidFill>
          </w14:textFill>
        </w:rPr>
        <w:t>22.1.1</w:t>
      </w:r>
      <w:r>
        <w:rPr>
          <w:rFonts w:eastAsia="仿宋_GB2312"/>
          <w:color w:val="000000" w:themeColor="text1"/>
          <w:kern w:val="0"/>
          <w:sz w:val="21"/>
          <w14:textFill>
            <w14:solidFill>
              <w14:schemeClr w14:val="tx1"/>
            </w14:solidFill>
          </w14:textFill>
        </w:rPr>
        <w:t>. 在履行合同过程中发生的下列情况属分包人违约</w:t>
      </w:r>
      <w:r>
        <w:rPr>
          <w:rFonts w:hint="eastAsia" w:eastAsia="仿宋_GB2312"/>
          <w:color w:val="000000" w:themeColor="text1"/>
          <w:kern w:val="0"/>
          <w:sz w:val="21"/>
          <w14:textFill>
            <w14:solidFill>
              <w14:schemeClr w14:val="tx1"/>
            </w14:solidFill>
          </w14:textFill>
        </w:rPr>
        <w:t>：</w:t>
      </w:r>
    </w:p>
    <w:p w14:paraId="4EBDFCB2">
      <w:pPr>
        <w:pStyle w:val="81"/>
        <w:spacing w:before="0" w:after="0"/>
        <w:ind w:firstLine="420"/>
        <w:outlineLvl w:val="9"/>
        <w:rPr>
          <w:rFonts w:eastAsia="仿宋_GB2312"/>
          <w:color w:val="000000" w:themeColor="text1"/>
          <w:kern w:val="0"/>
          <w:sz w:val="21"/>
          <w14:textFill>
            <w14:solidFill>
              <w14:schemeClr w14:val="tx1"/>
            </w14:solidFill>
          </w14:textFill>
        </w:rPr>
      </w:pPr>
      <w:r>
        <w:rPr>
          <w:rFonts w:hint="eastAsia" w:eastAsia="仿宋_GB2312"/>
          <w:color w:val="000000" w:themeColor="text1"/>
          <w:kern w:val="0"/>
          <w:sz w:val="21"/>
          <w14:textFill>
            <w14:solidFill>
              <w14:schemeClr w14:val="tx1"/>
            </w14:solidFill>
          </w14:textFill>
        </w:rPr>
        <w:t>22.1.2. 分包人有任何违反本合同义务的行为都构成违约，均须按法律和合同约定承担违约责任。</w:t>
      </w:r>
    </w:p>
    <w:p w14:paraId="4D2660F7">
      <w:pPr>
        <w:pStyle w:val="81"/>
        <w:spacing w:before="0" w:after="0"/>
        <w:ind w:firstLine="420"/>
        <w:outlineLvl w:val="9"/>
        <w:rPr>
          <w:rFonts w:eastAsia="仿宋_GB2312"/>
          <w:color w:val="000000" w:themeColor="text1"/>
          <w:kern w:val="0"/>
          <w:sz w:val="21"/>
          <w14:textFill>
            <w14:solidFill>
              <w14:schemeClr w14:val="tx1"/>
            </w14:solidFill>
          </w14:textFill>
        </w:rPr>
      </w:pPr>
      <w:r>
        <w:rPr>
          <w:rFonts w:hint="eastAsia" w:eastAsia="仿宋_GB2312"/>
          <w:color w:val="000000" w:themeColor="text1"/>
          <w:kern w:val="0"/>
          <w:sz w:val="21"/>
          <w14:textFill>
            <w14:solidFill>
              <w14:schemeClr w14:val="tx1"/>
            </w14:solidFill>
          </w14:textFill>
        </w:rPr>
        <w:t>22.1.3. 对于分包人的违约行为，分包人承担违约责任的形式包括但不限于：</w:t>
      </w:r>
    </w:p>
    <w:p w14:paraId="19021EB3">
      <w:pPr>
        <w:pStyle w:val="81"/>
        <w:spacing w:before="0" w:after="0"/>
        <w:ind w:firstLine="630" w:firstLineChars="300"/>
        <w:outlineLvl w:val="9"/>
        <w:rPr>
          <w:rFonts w:eastAsia="仿宋_GB2312"/>
          <w:color w:val="000000" w:themeColor="text1"/>
          <w:kern w:val="0"/>
          <w:sz w:val="21"/>
          <w14:textFill>
            <w14:solidFill>
              <w14:schemeClr w14:val="tx1"/>
            </w14:solidFill>
          </w14:textFill>
        </w:rPr>
      </w:pPr>
      <w:r>
        <w:rPr>
          <w:rFonts w:eastAsia="仿宋_GB2312"/>
          <w:color w:val="000000" w:themeColor="text1"/>
          <w:kern w:val="0"/>
          <w:sz w:val="21"/>
          <w14:textFill>
            <w14:solidFill>
              <w14:schemeClr w14:val="tx1"/>
            </w14:solidFill>
          </w14:textFill>
        </w:rPr>
        <w:t>1</w:t>
      </w:r>
      <w:r>
        <w:rPr>
          <w:rFonts w:hint="eastAsia" w:eastAsia="仿宋_GB2312"/>
          <w:color w:val="000000" w:themeColor="text1"/>
          <w:kern w:val="0"/>
          <w:sz w:val="21"/>
          <w14:textFill>
            <w14:solidFill>
              <w14:schemeClr w14:val="tx1"/>
            </w14:solidFill>
          </w14:textFill>
        </w:rPr>
        <w:t>）严重违约责任：分包人违反合同义务符合承担严重违约责任的情形时，除按法律及合同约定承担其他违约责任外，每次还应当按专用合同条款的约定承担严重违约责任；</w:t>
      </w:r>
    </w:p>
    <w:p w14:paraId="68104671">
      <w:pPr>
        <w:pStyle w:val="5"/>
        <w:numPr>
          <w:ilvl w:val="2"/>
          <w:numId w:val="0"/>
        </w:numPr>
        <w:spacing w:before="0" w:after="0" w:line="360" w:lineRule="auto"/>
        <w:ind w:left="426" w:firstLine="140" w:firstLineChars="67"/>
        <w:rPr>
          <w:rFonts w:eastAsia="仿宋_GB2312"/>
          <w:b w:val="0"/>
          <w:bCs w:val="0"/>
          <w:color w:val="000000" w:themeColor="text1"/>
          <w:kern w:val="0"/>
          <w:sz w:val="21"/>
          <w14:textFill>
            <w14:solidFill>
              <w14:schemeClr w14:val="tx1"/>
            </w14:solidFill>
          </w14:textFill>
        </w:rPr>
      </w:pPr>
      <w:bookmarkStart w:id="509" w:name="_Toc44492541"/>
      <w:r>
        <w:rPr>
          <w:rFonts w:hint="eastAsia" w:eastAsia="仿宋_GB2312"/>
          <w:b w:val="0"/>
          <w:bCs w:val="0"/>
          <w:color w:val="000000" w:themeColor="text1"/>
          <w:kern w:val="0"/>
          <w:sz w:val="21"/>
          <w14:textFill>
            <w14:solidFill>
              <w14:schemeClr w14:val="tx1"/>
            </w14:solidFill>
          </w14:textFill>
        </w:rPr>
        <w:t>2）重大违约责任：分包人违反合同义务符合承担重大违约责任的情形时，除按法律及合同约定承担其他违约责任外，每次还应当按专用合同条款的约定承担重大违约责任；</w:t>
      </w:r>
      <w:bookmarkEnd w:id="509"/>
    </w:p>
    <w:p w14:paraId="620582AD">
      <w:pPr>
        <w:pStyle w:val="5"/>
        <w:numPr>
          <w:ilvl w:val="2"/>
          <w:numId w:val="0"/>
        </w:numPr>
        <w:spacing w:before="0" w:after="0" w:line="360" w:lineRule="auto"/>
        <w:ind w:left="426" w:firstLine="140" w:firstLineChars="67"/>
        <w:rPr>
          <w:rFonts w:eastAsia="仿宋_GB2312"/>
          <w:b w:val="0"/>
          <w:bCs w:val="0"/>
          <w:color w:val="000000" w:themeColor="text1"/>
          <w:kern w:val="0"/>
          <w:sz w:val="21"/>
          <w14:textFill>
            <w14:solidFill>
              <w14:schemeClr w14:val="tx1"/>
            </w14:solidFill>
          </w14:textFill>
        </w:rPr>
      </w:pPr>
      <w:bookmarkStart w:id="510" w:name="_Toc44492542"/>
      <w:r>
        <w:rPr>
          <w:rFonts w:hint="eastAsia" w:eastAsia="仿宋_GB2312"/>
          <w:b w:val="0"/>
          <w:bCs w:val="0"/>
          <w:color w:val="000000" w:themeColor="text1"/>
          <w:kern w:val="0"/>
          <w:sz w:val="21"/>
          <w14:textFill>
            <w14:solidFill>
              <w14:schemeClr w14:val="tx1"/>
            </w14:solidFill>
          </w14:textFill>
        </w:rPr>
        <w:t>3）一般违约责任：分包人违反合同义务符合承担一般违约责任的情形时，除按法律及合同约定承担其他违约责任外，每次还应当按专用合同条款的约定承担一般违约责任；</w:t>
      </w:r>
      <w:bookmarkEnd w:id="510"/>
    </w:p>
    <w:p w14:paraId="726CA469">
      <w:pPr>
        <w:pStyle w:val="5"/>
        <w:numPr>
          <w:ilvl w:val="2"/>
          <w:numId w:val="0"/>
        </w:numPr>
        <w:spacing w:before="0" w:after="0" w:line="360" w:lineRule="auto"/>
        <w:ind w:left="426" w:firstLine="140" w:firstLineChars="67"/>
        <w:rPr>
          <w:rFonts w:eastAsia="仿宋_GB2312"/>
          <w:b w:val="0"/>
          <w:bCs w:val="0"/>
          <w:color w:val="000000" w:themeColor="text1"/>
          <w:kern w:val="0"/>
          <w:sz w:val="21"/>
          <w14:textFill>
            <w14:solidFill>
              <w14:schemeClr w14:val="tx1"/>
            </w14:solidFill>
          </w14:textFill>
        </w:rPr>
      </w:pPr>
      <w:bookmarkStart w:id="511" w:name="_Toc44492543"/>
      <w:r>
        <w:rPr>
          <w:rFonts w:hint="eastAsia" w:eastAsia="仿宋_GB2312"/>
          <w:b w:val="0"/>
          <w:bCs w:val="0"/>
          <w:color w:val="000000" w:themeColor="text1"/>
          <w:kern w:val="0"/>
          <w:sz w:val="21"/>
          <w14:textFill>
            <w14:solidFill>
              <w14:schemeClr w14:val="tx1"/>
            </w14:solidFill>
          </w14:textFill>
        </w:rPr>
        <w:t>4）经发包人书面确认同意，因分包人违约造成承包人解除合同：分包人违反合同义务符合承包人可解除合同的情形时，承包人有权向分包人发出书面解除合同的通知，合同自该通知在送达分包人时即解除，分包人除按法律及合同约定承担其他违约责任外，还应当向承包人按专用条款约定承担违约责任。分包人向承包人承担违约责任并不免除分包人依法应承担的所有责任。</w:t>
      </w:r>
      <w:bookmarkEnd w:id="511"/>
    </w:p>
    <w:p w14:paraId="6CDB3868">
      <w:pPr>
        <w:ind w:firstLine="648" w:firstLineChars="27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5）分包人其他责任以合同约定为准。</w:t>
      </w:r>
    </w:p>
    <w:p w14:paraId="7BAE50DF">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22.1.4</w:t>
      </w:r>
      <w:r>
        <w:rPr>
          <w:rFonts w:eastAsia="仿宋_GB2312"/>
          <w:color w:val="000000" w:themeColor="text1"/>
          <w:kern w:val="0"/>
          <w:szCs w:val="32"/>
          <w14:textFill>
            <w14:solidFill>
              <w14:schemeClr w14:val="tx1"/>
            </w14:solidFill>
          </w14:textFill>
        </w:rPr>
        <w:t xml:space="preserve">. </w:t>
      </w:r>
      <w:r>
        <w:rPr>
          <w:rFonts w:hint="eastAsia" w:eastAsia="仿宋_GB2312"/>
          <w:color w:val="000000" w:themeColor="text1"/>
          <w:kern w:val="0"/>
          <w:szCs w:val="32"/>
          <w14:textFill>
            <w14:solidFill>
              <w14:schemeClr w14:val="tx1"/>
            </w14:solidFill>
          </w14:textFill>
        </w:rPr>
        <w:t>分包人支付违约金和承担其他违约责任的方法包括但不限于：</w:t>
      </w:r>
    </w:p>
    <w:p w14:paraId="28D28186">
      <w:pPr>
        <w:ind w:firstLine="48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1</w:t>
      </w:r>
      <w:r>
        <w:rPr>
          <w:rFonts w:hint="eastAsia" w:eastAsia="仿宋_GB2312"/>
          <w:color w:val="000000" w:themeColor="text1"/>
          <w:kern w:val="0"/>
          <w:szCs w:val="32"/>
          <w14:textFill>
            <w14:solidFill>
              <w14:schemeClr w14:val="tx1"/>
            </w14:solidFill>
          </w14:textFill>
        </w:rPr>
        <w:t>）发包人有权从应支付给分包人的工程款中直接扣除。</w:t>
      </w:r>
    </w:p>
    <w:p w14:paraId="340E54D4">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2</w:t>
      </w:r>
      <w:r>
        <w:rPr>
          <w:rFonts w:hint="eastAsia" w:eastAsia="仿宋_GB2312"/>
          <w:color w:val="000000" w:themeColor="text1"/>
          <w:kern w:val="0"/>
          <w:szCs w:val="32"/>
          <w14:textFill>
            <w14:solidFill>
              <w14:schemeClr w14:val="tx1"/>
            </w14:solidFill>
          </w14:textFill>
        </w:rPr>
        <w:t>）发包人有权向分包人所提供履约保函的银行提取相应的履约保证金额或直接从质量保证金中扣除。</w:t>
      </w:r>
    </w:p>
    <w:p w14:paraId="24C067CB">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3</w:t>
      </w:r>
      <w:r>
        <w:rPr>
          <w:rFonts w:hint="eastAsia" w:eastAsia="仿宋_GB2312"/>
          <w:color w:val="000000" w:themeColor="text1"/>
          <w:kern w:val="0"/>
          <w:szCs w:val="32"/>
          <w14:textFill>
            <w14:solidFill>
              <w14:schemeClr w14:val="tx1"/>
            </w14:solidFill>
          </w14:textFill>
        </w:rPr>
        <w:t>）发包人通知分包人支付或向分包人追偿，分包人应直接支付。</w:t>
      </w:r>
    </w:p>
    <w:p w14:paraId="0B932EC1">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4</w:t>
      </w:r>
      <w:r>
        <w:rPr>
          <w:rFonts w:hint="eastAsia" w:eastAsia="仿宋_GB2312"/>
          <w:color w:val="000000" w:themeColor="text1"/>
          <w:kern w:val="0"/>
          <w:szCs w:val="32"/>
          <w14:textFill>
            <w14:solidFill>
              <w14:schemeClr w14:val="tx1"/>
            </w14:solidFill>
          </w14:textFill>
        </w:rPr>
        <w:t>）分包人所支付的违约金不足弥补发包人损失的，分包人需赔偿发包人的全部损失。</w:t>
      </w:r>
    </w:p>
    <w:p w14:paraId="17CD3D81">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22.1.5. 除本合同另有约定外，分包人承担违约赔偿责任的范围包括但不限于发包人及承包人的直接经济损失、向第三方承担的违约责任以及发生的诉讼费、仲裁费、律师费等费用支出。</w:t>
      </w:r>
    </w:p>
    <w:p w14:paraId="27B87CED">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22.1.6. 对分包人违约的整改通知</w:t>
      </w:r>
    </w:p>
    <w:p w14:paraId="0E3A3F83">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1</w:t>
      </w:r>
      <w:r>
        <w:rPr>
          <w:rFonts w:hint="eastAsia" w:eastAsia="仿宋_GB2312"/>
          <w:color w:val="000000" w:themeColor="text1"/>
          <w:kern w:val="0"/>
          <w:szCs w:val="32"/>
          <w14:textFill>
            <w14:solidFill>
              <w14:schemeClr w14:val="tx1"/>
            </w14:solidFill>
          </w14:textFill>
        </w:rPr>
        <w:t>）分包人发生违约，但未达到可解除合同的情况时，除应承担合同约定的违约责任外，监理人还可向分包人发出整改通知，要求其在指定的期限内改正。分包人应承担其违约所引起的费用增加和（或）工期延误。</w:t>
      </w:r>
    </w:p>
    <w:p w14:paraId="3398EE26">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2</w:t>
      </w:r>
      <w:r>
        <w:rPr>
          <w:rFonts w:hint="eastAsia" w:eastAsia="仿宋_GB2312"/>
          <w:color w:val="000000" w:themeColor="text1"/>
          <w:kern w:val="0"/>
          <w:szCs w:val="32"/>
          <w14:textFill>
            <w14:solidFill>
              <w14:schemeClr w14:val="tx1"/>
            </w14:solidFill>
          </w14:textFill>
        </w:rPr>
        <w:t>）监理人要求分包人停工整改的，经检查证明分包人已采取了有效措施纠正违约行为，具备复工条件的，可由监理人在取得发包人同意的情况下签发复工通知复工。</w:t>
      </w:r>
    </w:p>
    <w:p w14:paraId="41BDAF10">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3</w:t>
      </w:r>
      <w:r>
        <w:rPr>
          <w:rFonts w:hint="eastAsia" w:eastAsia="仿宋_GB2312"/>
          <w:color w:val="000000" w:themeColor="text1"/>
          <w:kern w:val="0"/>
          <w:szCs w:val="32"/>
          <w14:textFill>
            <w14:solidFill>
              <w14:schemeClr w14:val="tx1"/>
            </w14:solidFill>
          </w14:textFill>
        </w:rPr>
        <w:t>）监理人发出整改通知7天后，分包人仍不纠正违约行为的，经发包人书面同意，承包人有权向分包人发出解除合同通知。</w:t>
      </w:r>
    </w:p>
    <w:p w14:paraId="289B59A9">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22.1.7. 分包人违约解除合同</w:t>
      </w:r>
    </w:p>
    <w:p w14:paraId="2ED97428">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22.1.7.1.</w:t>
      </w:r>
      <w:r>
        <w:rPr>
          <w:rFonts w:hint="eastAsia" w:eastAsia="仿宋_GB2312"/>
          <w:color w:val="000000" w:themeColor="text1"/>
          <w:kern w:val="0"/>
          <w:szCs w:val="32"/>
          <w14:textFill>
            <w14:solidFill>
              <w14:schemeClr w14:val="tx1"/>
            </w14:solidFill>
          </w14:textFill>
        </w:rPr>
        <w:tab/>
      </w:r>
      <w:r>
        <w:rPr>
          <w:rFonts w:hint="eastAsia" w:eastAsia="仿宋_GB2312"/>
          <w:color w:val="000000" w:themeColor="text1"/>
          <w:kern w:val="0"/>
          <w:szCs w:val="32"/>
          <w14:textFill>
            <w14:solidFill>
              <w14:schemeClr w14:val="tx1"/>
            </w14:solidFill>
          </w14:textFill>
        </w:rPr>
        <w:t>合同解除后，发包人、承包人可派员进驻施工场地，另行组织人员或委托其他分包人施工。发包人、承包人因继续完成该工程的需要，有权扣留使用分包人在现场的材料、设备和临时设施。但发包人、承包人的这一行动不免除分包人应承担的违约责任，也不影响发包人、承包人根据合同约定享有的索赔权利。</w:t>
      </w:r>
    </w:p>
    <w:p w14:paraId="7DE3275E">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22.1.7.2. 因分包人违约导致合同解除后的估价、付款和结清</w:t>
      </w:r>
    </w:p>
    <w:p w14:paraId="3A688C0D">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1</w:t>
      </w:r>
      <w:r>
        <w:rPr>
          <w:rFonts w:hint="eastAsia" w:eastAsia="仿宋_GB2312"/>
          <w:color w:val="000000" w:themeColor="text1"/>
          <w:kern w:val="0"/>
          <w:szCs w:val="32"/>
          <w14:textFill>
            <w14:solidFill>
              <w14:schemeClr w14:val="tx1"/>
            </w14:solidFill>
          </w14:textFill>
        </w:rPr>
        <w:t>）合同解除后，发包人、承包人商定或确定分包人实际完成工作的价值，以及分包人已提供的材料、施工设备、工程设备和临时工程等的价值。</w:t>
      </w:r>
    </w:p>
    <w:p w14:paraId="582258F7">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2</w:t>
      </w:r>
      <w:r>
        <w:rPr>
          <w:rFonts w:hint="eastAsia" w:eastAsia="仿宋_GB2312"/>
          <w:color w:val="000000" w:themeColor="text1"/>
          <w:kern w:val="0"/>
          <w:szCs w:val="32"/>
          <w14:textFill>
            <w14:solidFill>
              <w14:schemeClr w14:val="tx1"/>
            </w14:solidFill>
          </w14:textFill>
        </w:rPr>
        <w:t>）合同解除后，发包人、承包人有权暂停对分包人的一切付款，核清各项付款和已扣款金额，以及分包人应支付的违约金。</w:t>
      </w:r>
    </w:p>
    <w:p w14:paraId="463DA3F9">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3</w:t>
      </w:r>
      <w:r>
        <w:rPr>
          <w:rFonts w:hint="eastAsia" w:eastAsia="仿宋_GB2312"/>
          <w:color w:val="000000" w:themeColor="text1"/>
          <w:kern w:val="0"/>
          <w:szCs w:val="32"/>
          <w14:textFill>
            <w14:solidFill>
              <w14:schemeClr w14:val="tx1"/>
            </w14:solidFill>
          </w14:textFill>
        </w:rPr>
        <w:t>）发包人、承包人有权没收履约担保项下的金额，并按合同约定扣留分包人一定比例的质量保证金，分包人应当按合同约定承担缺陷保修责任，计算缺陷责任期、保修期的开始时间由双方协商确定。</w:t>
      </w:r>
    </w:p>
    <w:p w14:paraId="35C4E5A0">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4</w:t>
      </w:r>
      <w:r>
        <w:rPr>
          <w:rFonts w:hint="eastAsia" w:eastAsia="仿宋_GB2312"/>
          <w:color w:val="000000" w:themeColor="text1"/>
          <w:kern w:val="0"/>
          <w:szCs w:val="32"/>
          <w14:textFill>
            <w14:solidFill>
              <w14:schemeClr w14:val="tx1"/>
            </w14:solidFill>
          </w14:textFill>
        </w:rPr>
        <w:t>）合同解除后，发包人或承包人应向分包人索赔由于解除合同给发包人或承包人造成的全部损失。</w:t>
      </w:r>
    </w:p>
    <w:p w14:paraId="049C1448">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5</w:t>
      </w:r>
      <w:r>
        <w:rPr>
          <w:rFonts w:hint="eastAsia" w:eastAsia="仿宋_GB2312"/>
          <w:color w:val="000000" w:themeColor="text1"/>
          <w:kern w:val="0"/>
          <w:szCs w:val="32"/>
          <w14:textFill>
            <w14:solidFill>
              <w14:schemeClr w14:val="tx1"/>
            </w14:solidFill>
          </w14:textFill>
        </w:rPr>
        <w:t>）承包人和分包人未能就解除合同后的结清达成一致而形成争议的，按第23条的约定办理。</w:t>
      </w:r>
    </w:p>
    <w:p w14:paraId="7D98DAAA">
      <w:pPr>
        <w:ind w:firstLine="484" w:firstLineChars="202"/>
        <w:rPr>
          <w:color w:val="000000" w:themeColor="text1"/>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22.1.7.3</w:t>
      </w:r>
      <w:r>
        <w:rPr>
          <w:rFonts w:eastAsia="仿宋_GB2312"/>
          <w:color w:val="000000" w:themeColor="text1"/>
          <w:kern w:val="0"/>
          <w:szCs w:val="32"/>
          <w14:textFill>
            <w14:solidFill>
              <w14:schemeClr w14:val="tx1"/>
            </w14:solidFill>
          </w14:textFill>
        </w:rPr>
        <w:t xml:space="preserve"> </w:t>
      </w:r>
      <w:r>
        <w:rPr>
          <w:rFonts w:hint="eastAsia" w:eastAsia="仿宋_GB2312"/>
          <w:color w:val="000000" w:themeColor="text1"/>
          <w:kern w:val="0"/>
          <w:szCs w:val="32"/>
          <w14:textFill>
            <w14:solidFill>
              <w14:schemeClr w14:val="tx1"/>
            </w14:solidFill>
          </w14:textFill>
        </w:rPr>
        <w:t>协议利益的转让</w:t>
      </w:r>
    </w:p>
    <w:p w14:paraId="30FE3F30">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hint="eastAsia" w:eastAsia="仿宋_GB2312"/>
          <w:color w:val="000000" w:themeColor="text1"/>
          <w:kern w:val="0"/>
          <w:szCs w:val="32"/>
          <w14:textFill>
            <w14:solidFill>
              <w14:schemeClr w14:val="tx1"/>
            </w14:solidFill>
          </w14:textFill>
        </w:rPr>
        <w:t>因分包人违约解除合同或经发包人书面同意承包人因分包人违约而解除合同的，发包人及承包人有权要求分包人将其为实施合同而签订的材料和设备的订货协议或任何服务协议利益按合同价转让给承包人，并在解除合同后的14天内，依法办理转让手续。分包人应按承包人的要求办理。</w:t>
      </w:r>
    </w:p>
    <w:p w14:paraId="438B1812">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22.1.8</w:t>
      </w:r>
      <w:r>
        <w:rPr>
          <w:rFonts w:eastAsia="仿宋_GB2312"/>
          <w:color w:val="000000" w:themeColor="text1"/>
          <w:kern w:val="0"/>
          <w:szCs w:val="32"/>
          <w14:textFill>
            <w14:solidFill>
              <w14:schemeClr w14:val="tx1"/>
            </w14:solidFill>
          </w14:textFill>
        </w:rPr>
        <w:t xml:space="preserve">. </w:t>
      </w:r>
      <w:r>
        <w:rPr>
          <w:rFonts w:hint="eastAsia" w:eastAsia="仿宋_GB2312"/>
          <w:color w:val="000000" w:themeColor="text1"/>
          <w:kern w:val="0"/>
          <w:szCs w:val="32"/>
          <w14:textFill>
            <w14:solidFill>
              <w14:schemeClr w14:val="tx1"/>
            </w14:solidFill>
          </w14:textFill>
        </w:rPr>
        <w:t>紧急情况下无能力或不愿进行抢救</w:t>
      </w:r>
    </w:p>
    <w:p w14:paraId="5D5555DA">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hint="eastAsia" w:eastAsia="仿宋_GB2312"/>
          <w:color w:val="000000" w:themeColor="text1"/>
          <w:kern w:val="0"/>
          <w:szCs w:val="32"/>
          <w14:textFill>
            <w14:solidFill>
              <w14:schemeClr w14:val="tx1"/>
            </w14:solidFill>
          </w14:textFill>
        </w:rPr>
        <w:t>在工程实施期间或缺陷责任期、保修期内发生危及工程安全的事件，监理人通知分包人进行抢救，分包人声明无能力或不愿立即执行或实际执行不足的，发包人或承包人有权雇佣其他人员进行抢救。此类抢救按合同约定属于分包人义务的，由此发生的金额和（或）工期延误由分包人承担。</w:t>
      </w:r>
    </w:p>
    <w:p w14:paraId="3C3C4DEA">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22.1.9. 分包人其它违约情况及处理方式在专用条款中说明。</w:t>
      </w:r>
    </w:p>
    <w:p w14:paraId="2099C088">
      <w:pPr>
        <w:pStyle w:val="81"/>
        <w:ind w:firstLine="480"/>
        <w:rPr>
          <w:color w:val="000000" w:themeColor="text1"/>
          <w14:textFill>
            <w14:solidFill>
              <w14:schemeClr w14:val="tx1"/>
            </w14:solidFill>
          </w14:textFill>
        </w:rPr>
      </w:pPr>
      <w:bookmarkStart w:id="512" w:name="_Toc27357"/>
      <w:bookmarkStart w:id="513" w:name="_Toc44492544"/>
      <w:bookmarkStart w:id="514" w:name="_Toc28321"/>
      <w:r>
        <w:rPr>
          <w:rFonts w:hint="eastAsia"/>
          <w:color w:val="000000" w:themeColor="text1"/>
          <w14:textFill>
            <w14:solidFill>
              <w14:schemeClr w14:val="tx1"/>
            </w14:solidFill>
          </w14:textFill>
        </w:rPr>
        <w:t>22.2.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承包人违约</w:t>
      </w:r>
      <w:bookmarkEnd w:id="512"/>
      <w:bookmarkEnd w:id="513"/>
      <w:bookmarkEnd w:id="514"/>
    </w:p>
    <w:p w14:paraId="069C3F3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在履行合同过程中发生的下列情形，属承包人违约：</w:t>
      </w:r>
    </w:p>
    <w:p w14:paraId="570DFD1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承包人未能按合同约定付款的；</w:t>
      </w:r>
    </w:p>
    <w:p w14:paraId="53B07A4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专用条款约定属承包人违约的其他情形。</w:t>
      </w:r>
    </w:p>
    <w:p w14:paraId="0D17D8DE">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22.2.2</w:t>
      </w:r>
      <w:r>
        <w:rPr>
          <w:rFonts w:hint="eastAsia"/>
          <w:color w:val="000000" w:themeColor="text1"/>
          <w14:textFill>
            <w14:solidFill>
              <w14:schemeClr w14:val="tx1"/>
            </w14:solidFill>
          </w14:textFill>
        </w:rPr>
        <w:t>承包人发生违约情况时，分包人可向承包人发出通知，要求承包人采取有效措施纠正违约行为。承包人收到分包人通知后的</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天内仍不履行合同义务，分包人可向发包人及监理请求协助。</w:t>
      </w:r>
    </w:p>
    <w:p w14:paraId="77A6A5FE">
      <w:pPr>
        <w:pStyle w:val="81"/>
        <w:ind w:firstLine="480"/>
        <w:rPr>
          <w:color w:val="000000" w:themeColor="text1"/>
          <w14:textFill>
            <w14:solidFill>
              <w14:schemeClr w14:val="tx1"/>
            </w14:solidFill>
          </w14:textFill>
        </w:rPr>
      </w:pPr>
      <w:bookmarkStart w:id="515" w:name="_Toc19386"/>
      <w:bookmarkStart w:id="516" w:name="_Toc28541"/>
      <w:bookmarkStart w:id="517" w:name="_Toc44492545"/>
      <w:r>
        <w:rPr>
          <w:rFonts w:hint="eastAsia"/>
          <w:color w:val="000000" w:themeColor="text1"/>
          <w14:textFill>
            <w14:solidFill>
              <w14:schemeClr w14:val="tx1"/>
            </w14:solidFill>
          </w14:textFill>
        </w:rPr>
        <w:t>22.3.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第三人造成的违约</w:t>
      </w:r>
      <w:bookmarkEnd w:id="515"/>
      <w:bookmarkEnd w:id="516"/>
      <w:bookmarkEnd w:id="517"/>
    </w:p>
    <w:p w14:paraId="4529BF5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1120748B">
      <w:pPr>
        <w:pStyle w:val="77"/>
        <w:rPr>
          <w:color w:val="000000" w:themeColor="text1"/>
          <w14:textFill>
            <w14:solidFill>
              <w14:schemeClr w14:val="tx1"/>
            </w14:solidFill>
          </w14:textFill>
        </w:rPr>
      </w:pPr>
      <w:bookmarkStart w:id="518" w:name="_Toc407356016"/>
      <w:bookmarkStart w:id="519" w:name="_Toc30164"/>
      <w:bookmarkStart w:id="520" w:name="_Toc44492546"/>
      <w:bookmarkStart w:id="521" w:name="_Toc91082315"/>
      <w:bookmarkStart w:id="522" w:name="_Toc47512253"/>
      <w:bookmarkStart w:id="523" w:name="_Toc44228004"/>
      <w:bookmarkStart w:id="524" w:name="_Toc9061"/>
      <w:r>
        <w:rPr>
          <w:rFonts w:hint="eastAsia"/>
          <w:color w:val="000000" w:themeColor="text1"/>
          <w14:textFill>
            <w14:solidFill>
              <w14:schemeClr w14:val="tx1"/>
            </w14:solidFill>
          </w14:textFill>
        </w:rPr>
        <w:t>23.</w:t>
      </w:r>
      <w:bookmarkEnd w:id="518"/>
      <w:bookmarkStart w:id="525" w:name="_Toc407356017"/>
      <w:r>
        <w:rPr>
          <w:rFonts w:hint="eastAsia"/>
          <w:color w:val="000000" w:themeColor="text1"/>
          <w14:textFill>
            <w14:solidFill>
              <w14:schemeClr w14:val="tx1"/>
            </w14:solidFill>
          </w14:textFill>
        </w:rPr>
        <w:t>争议的解决</w:t>
      </w:r>
      <w:bookmarkEnd w:id="519"/>
      <w:bookmarkEnd w:id="520"/>
      <w:bookmarkEnd w:id="521"/>
      <w:bookmarkEnd w:id="522"/>
      <w:bookmarkEnd w:id="523"/>
      <w:bookmarkEnd w:id="524"/>
      <w:bookmarkEnd w:id="525"/>
    </w:p>
    <w:p w14:paraId="58E7071C">
      <w:pPr>
        <w:pStyle w:val="81"/>
        <w:ind w:firstLine="480"/>
        <w:rPr>
          <w:color w:val="000000" w:themeColor="text1"/>
          <w14:textFill>
            <w14:solidFill>
              <w14:schemeClr w14:val="tx1"/>
            </w14:solidFill>
          </w14:textFill>
        </w:rPr>
      </w:pPr>
      <w:bookmarkStart w:id="526" w:name="_Toc14938"/>
      <w:bookmarkStart w:id="527" w:name="_Toc54"/>
      <w:bookmarkStart w:id="528" w:name="_Toc44492547"/>
      <w:r>
        <w:rPr>
          <w:rFonts w:hint="eastAsia"/>
          <w:color w:val="000000" w:themeColor="text1"/>
          <w14:textFill>
            <w14:solidFill>
              <w14:schemeClr w14:val="tx1"/>
            </w14:solidFill>
          </w14:textFill>
        </w:rPr>
        <w:t>23.1.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争议的解决方式</w:t>
      </w:r>
      <w:bookmarkEnd w:id="526"/>
      <w:bookmarkEnd w:id="527"/>
      <w:bookmarkEnd w:id="528"/>
    </w:p>
    <w:p w14:paraId="22C3D9C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合同当事人双方在履行合同时发生争议，双方应友好协商，可以采取和解或者要求有关主管部门调解。当事人不愿和解、调解或者和解、调解不成的，采取向承包人住所地的人民法院提起诉讼的方式解决。</w:t>
      </w:r>
    </w:p>
    <w:p w14:paraId="4ADEFA7E">
      <w:pPr>
        <w:pStyle w:val="81"/>
        <w:ind w:firstLine="480"/>
        <w:rPr>
          <w:color w:val="000000" w:themeColor="text1"/>
          <w14:textFill>
            <w14:solidFill>
              <w14:schemeClr w14:val="tx1"/>
            </w14:solidFill>
          </w14:textFill>
        </w:rPr>
      </w:pPr>
      <w:bookmarkStart w:id="529" w:name="_Toc27034"/>
      <w:bookmarkStart w:id="530" w:name="_Toc44492548"/>
      <w:bookmarkStart w:id="531" w:name="_Toc27705"/>
      <w:r>
        <w:rPr>
          <w:rFonts w:hint="eastAsia"/>
          <w:color w:val="000000" w:themeColor="text1"/>
          <w14:textFill>
            <w14:solidFill>
              <w14:schemeClr w14:val="tx1"/>
            </w14:solidFill>
          </w14:textFill>
        </w:rPr>
        <w:t>23.2.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争议的解决</w:t>
      </w:r>
      <w:bookmarkEnd w:id="529"/>
      <w:bookmarkEnd w:id="530"/>
      <w:bookmarkEnd w:id="531"/>
    </w:p>
    <w:p w14:paraId="366A33E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发生争议后，除非出现下列情况的，合同当事人双方都应继续履行合同，分包人保持施工连续，保护好已完工程：</w:t>
      </w:r>
    </w:p>
    <w:p w14:paraId="0626274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 调解要求停止施工，且为合同当事人双方接受；</w:t>
      </w:r>
    </w:p>
    <w:p w14:paraId="2F48B9D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 法院要求停止施工。</w:t>
      </w:r>
    </w:p>
    <w:bookmarkEnd w:id="51"/>
    <w:p w14:paraId="6B0D2BEF">
      <w:pPr>
        <w:pStyle w:val="56"/>
        <w:ind w:firstLine="480"/>
        <w:rPr>
          <w:color w:val="000000" w:themeColor="text1"/>
          <w14:textFill>
            <w14:solidFill>
              <w14:schemeClr w14:val="tx1"/>
            </w14:solidFill>
          </w14:textFill>
        </w:rPr>
      </w:pPr>
    </w:p>
    <w:p w14:paraId="78F3EA8B">
      <w:pPr>
        <w:pStyle w:val="72"/>
        <w:rPr>
          <w:color w:val="000000" w:themeColor="text1"/>
          <w14:textFill>
            <w14:solidFill>
              <w14:schemeClr w14:val="tx1"/>
            </w14:solidFill>
          </w14:textFill>
        </w:rPr>
      </w:pPr>
      <w:bookmarkStart w:id="532" w:name="_Toc402450458"/>
      <w:r>
        <w:rPr>
          <w:color w:val="000000" w:themeColor="text1"/>
          <w14:textFill>
            <w14:solidFill>
              <w14:schemeClr w14:val="tx1"/>
            </w14:solidFill>
          </w14:textFill>
        </w:rPr>
        <w:br w:type="page"/>
      </w:r>
      <w:bookmarkStart w:id="533" w:name="_Toc22266"/>
      <w:bookmarkStart w:id="534" w:name="_Toc6932"/>
      <w:bookmarkStart w:id="535" w:name="_Toc44227950"/>
      <w:bookmarkStart w:id="536" w:name="_Toc31006"/>
      <w:bookmarkStart w:id="537" w:name="_Toc31994"/>
      <w:bookmarkStart w:id="538" w:name="_Toc40186511"/>
      <w:bookmarkStart w:id="539" w:name="_Toc44492549"/>
      <w:bookmarkStart w:id="540" w:name="_Toc28594"/>
      <w:r>
        <w:rPr>
          <w:rFonts w:hint="eastAsia"/>
          <w:color w:val="000000" w:themeColor="text1"/>
          <w14:textFill>
            <w14:solidFill>
              <w14:schemeClr w14:val="tx1"/>
            </w14:solidFill>
          </w14:textFill>
        </w:rPr>
        <w:t>第三部分 专用条款</w:t>
      </w:r>
      <w:bookmarkEnd w:id="532"/>
      <w:bookmarkEnd w:id="533"/>
      <w:bookmarkEnd w:id="534"/>
      <w:bookmarkEnd w:id="535"/>
      <w:bookmarkEnd w:id="536"/>
      <w:bookmarkEnd w:id="537"/>
      <w:bookmarkEnd w:id="538"/>
      <w:bookmarkEnd w:id="539"/>
      <w:bookmarkEnd w:id="540"/>
    </w:p>
    <w:p w14:paraId="05A4D7DD">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bookmarkStart w:id="541" w:name="_Toc402450459"/>
      <w:r>
        <w:rPr>
          <w:rFonts w:ascii="仿宋" w:hAnsi="仿宋" w:eastAsia="仿宋"/>
          <w:b w:val="0"/>
          <w:color w:val="000000" w:themeColor="text1"/>
          <w:sz w:val="24"/>
          <w:szCs w:val="24"/>
          <w14:textFill>
            <w14:solidFill>
              <w14:schemeClr w14:val="tx1"/>
            </w14:solidFill>
          </w14:textFill>
        </w:rPr>
        <w:fldChar w:fldCharType="begin"/>
      </w:r>
      <w:r>
        <w:rPr>
          <w:rFonts w:ascii="仿宋" w:hAnsi="仿宋" w:eastAsia="仿宋"/>
          <w:b w:val="0"/>
          <w:color w:val="000000" w:themeColor="text1"/>
          <w:sz w:val="24"/>
          <w:szCs w:val="24"/>
          <w14:textFill>
            <w14:solidFill>
              <w14:schemeClr w14:val="tx1"/>
            </w14:solidFill>
          </w14:textFill>
        </w:rPr>
        <w:instrText xml:space="preserve"> </w:instrText>
      </w:r>
      <w:r>
        <w:rPr>
          <w:rFonts w:hint="eastAsia" w:ascii="仿宋" w:hAnsi="仿宋" w:eastAsia="仿宋"/>
          <w:b w:val="0"/>
          <w:color w:val="000000" w:themeColor="text1"/>
          <w:sz w:val="24"/>
          <w:szCs w:val="24"/>
          <w14:textFill>
            <w14:solidFill>
              <w14:schemeClr w14:val="tx1"/>
            </w14:solidFill>
          </w14:textFill>
        </w:rPr>
        <w:instrText xml:space="preserve">TOC \b p3 \o "1-2" \h \z \u</w:instrText>
      </w:r>
      <w:r>
        <w:rPr>
          <w:rFonts w:ascii="仿宋" w:hAnsi="仿宋" w:eastAsia="仿宋"/>
          <w:b w:val="0"/>
          <w:color w:val="000000" w:themeColor="text1"/>
          <w:sz w:val="24"/>
          <w:szCs w:val="24"/>
          <w14:textFill>
            <w14:solidFill>
              <w14:schemeClr w14:val="tx1"/>
            </w14:solidFill>
          </w14:textFill>
        </w:rPr>
        <w:instrText xml:space="preserve"> </w:instrText>
      </w:r>
      <w:r>
        <w:rPr>
          <w:rFonts w:ascii="仿宋" w:hAnsi="仿宋" w:eastAsia="仿宋"/>
          <w:b w:val="0"/>
          <w:color w:val="000000" w:themeColor="text1"/>
          <w:sz w:val="24"/>
          <w:szCs w:val="24"/>
          <w14:textFill>
            <w14:solidFill>
              <w14:schemeClr w14:val="tx1"/>
            </w14:solidFill>
          </w14:textFill>
        </w:rPr>
        <w:fldChar w:fldCharType="separate"/>
      </w:r>
      <w:r>
        <w:fldChar w:fldCharType="begin"/>
      </w:r>
      <w:r>
        <w:instrText xml:space="preserve"> HYPERLINK \l "_Toc91082434" </w:instrText>
      </w:r>
      <w:r>
        <w:fldChar w:fldCharType="separate"/>
      </w:r>
      <w:r>
        <w:rPr>
          <w:rStyle w:val="48"/>
          <w:b w:val="0"/>
          <w:color w:val="000000" w:themeColor="text1"/>
          <w:sz w:val="24"/>
          <w:szCs w:val="24"/>
          <w14:textFill>
            <w14:solidFill>
              <w14:schemeClr w14:val="tx1"/>
            </w14:solidFill>
          </w14:textFill>
        </w:rPr>
        <w:t>1.</w:t>
      </w:r>
      <w:r>
        <w:rPr>
          <w:rStyle w:val="48"/>
          <w:rFonts w:hint="eastAsia"/>
          <w:b w:val="0"/>
          <w:color w:val="000000" w:themeColor="text1"/>
          <w:sz w:val="24"/>
          <w:szCs w:val="24"/>
          <w14:textFill>
            <w14:solidFill>
              <w14:schemeClr w14:val="tx1"/>
            </w14:solidFill>
          </w14:textFill>
        </w:rPr>
        <w:t>一般约定</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49</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BFE33CB">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"_Toc91082435" </w:instrText>
      </w:r>
      <w:r>
        <w:fldChar w:fldCharType="separate"/>
      </w:r>
      <w:r>
        <w:rPr>
          <w:rStyle w:val="48"/>
          <w:b w:val="0"/>
          <w:color w:val="000000" w:themeColor="text1"/>
          <w:sz w:val="24"/>
          <w:szCs w:val="24"/>
          <w14:textFill>
            <w14:solidFill>
              <w14:schemeClr w14:val="tx1"/>
            </w14:solidFill>
          </w14:textFill>
        </w:rPr>
        <w:t>2.</w:t>
      </w:r>
      <w:r>
        <w:rPr>
          <w:rStyle w:val="48"/>
          <w:rFonts w:hint="eastAsia"/>
          <w:b w:val="0"/>
          <w:color w:val="000000" w:themeColor="text1"/>
          <w:sz w:val="24"/>
          <w:szCs w:val="24"/>
          <w14:textFill>
            <w14:solidFill>
              <w14:schemeClr w14:val="tx1"/>
            </w14:solidFill>
          </w14:textFill>
        </w:rPr>
        <w:t>承包人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51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6BEA0312">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"_Toc91082436" </w:instrText>
      </w:r>
      <w:r>
        <w:fldChar w:fldCharType="separate"/>
      </w:r>
      <w:r>
        <w:rPr>
          <w:rStyle w:val="48"/>
          <w:b w:val="0"/>
          <w:color w:val="000000" w:themeColor="text1"/>
          <w:sz w:val="24"/>
          <w:szCs w:val="24"/>
          <w14:textFill>
            <w14:solidFill>
              <w14:schemeClr w14:val="tx1"/>
            </w14:solidFill>
          </w14:textFill>
        </w:rPr>
        <w:t>3.</w:t>
      </w:r>
      <w:r>
        <w:rPr>
          <w:rStyle w:val="48"/>
          <w:rFonts w:hint="eastAsia"/>
          <w:b w:val="0"/>
          <w:color w:val="000000" w:themeColor="text1"/>
          <w:sz w:val="24"/>
          <w:szCs w:val="24"/>
          <w14:textFill>
            <w14:solidFill>
              <w14:schemeClr w14:val="tx1"/>
            </w14:solidFill>
          </w14:textFill>
        </w:rPr>
        <w:t>监理人及造价咨询人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53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0A85B85">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"_Toc91082437" </w:instrText>
      </w:r>
      <w:r>
        <w:fldChar w:fldCharType="separate"/>
      </w:r>
      <w:r>
        <w:rPr>
          <w:rStyle w:val="48"/>
          <w:b w:val="0"/>
          <w:color w:val="000000" w:themeColor="text1"/>
          <w:sz w:val="24"/>
          <w:szCs w:val="24"/>
          <w14:textFill>
            <w14:solidFill>
              <w14:schemeClr w14:val="tx1"/>
            </w14:solidFill>
          </w14:textFill>
        </w:rPr>
        <w:t>4.</w:t>
      </w:r>
      <w:r>
        <w:rPr>
          <w:rStyle w:val="48"/>
          <w:rFonts w:hint="eastAsia"/>
          <w:b w:val="0"/>
          <w:color w:val="000000" w:themeColor="text1"/>
          <w:sz w:val="24"/>
          <w:szCs w:val="24"/>
          <w14:textFill>
            <w14:solidFill>
              <w14:schemeClr w14:val="tx1"/>
            </w14:solidFill>
          </w14:textFill>
        </w:rPr>
        <w:t>分包人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54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FD67BED">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"_Toc91082438" </w:instrText>
      </w:r>
      <w:r>
        <w:fldChar w:fldCharType="separate"/>
      </w:r>
      <w:r>
        <w:rPr>
          <w:rStyle w:val="48"/>
          <w:b w:val="0"/>
          <w:color w:val="000000" w:themeColor="text1"/>
          <w:sz w:val="24"/>
          <w:szCs w:val="24"/>
          <w14:textFill>
            <w14:solidFill>
              <w14:schemeClr w14:val="tx1"/>
            </w14:solidFill>
          </w14:textFill>
        </w:rPr>
        <w:t>5.</w:t>
      </w:r>
      <w:r>
        <w:rPr>
          <w:rStyle w:val="48"/>
          <w:rFonts w:hint="eastAsia"/>
          <w:b w:val="0"/>
          <w:color w:val="000000" w:themeColor="text1"/>
          <w:sz w:val="24"/>
          <w:szCs w:val="24"/>
          <w14:textFill>
            <w14:solidFill>
              <w14:schemeClr w14:val="tx1"/>
            </w14:solidFill>
          </w14:textFill>
        </w:rPr>
        <w:t>材料和工程设备</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ED20939">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"_Toc91082439" </w:instrText>
      </w:r>
      <w:r>
        <w:fldChar w:fldCharType="separate"/>
      </w:r>
      <w:r>
        <w:rPr>
          <w:rStyle w:val="48"/>
          <w:b w:val="0"/>
          <w:color w:val="000000" w:themeColor="text1"/>
          <w:sz w:val="24"/>
          <w:szCs w:val="24"/>
          <w14:textFill>
            <w14:solidFill>
              <w14:schemeClr w14:val="tx1"/>
            </w14:solidFill>
          </w14:textFill>
        </w:rPr>
        <w:t>6.</w:t>
      </w:r>
      <w:r>
        <w:rPr>
          <w:rStyle w:val="48"/>
          <w:rFonts w:hint="eastAsia"/>
          <w:b w:val="0"/>
          <w:color w:val="000000" w:themeColor="text1"/>
          <w:sz w:val="24"/>
          <w:szCs w:val="24"/>
          <w14:textFill>
            <w14:solidFill>
              <w14:schemeClr w14:val="tx1"/>
            </w14:solidFill>
          </w14:textFill>
        </w:rPr>
        <w:t>施工设备和临时设施</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_Toc91082439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1022B41">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"_Toc91082440" </w:instrText>
      </w:r>
      <w:r>
        <w:fldChar w:fldCharType="separate"/>
      </w:r>
      <w:r>
        <w:rPr>
          <w:rStyle w:val="48"/>
          <w:b w:val="0"/>
          <w:color w:val="000000" w:themeColor="text1"/>
          <w:sz w:val="24"/>
          <w:szCs w:val="24"/>
          <w14:textFill>
            <w14:solidFill>
              <w14:schemeClr w14:val="tx1"/>
            </w14:solidFill>
          </w14:textFill>
        </w:rPr>
        <w:t>7.</w:t>
      </w:r>
      <w:r>
        <w:rPr>
          <w:rStyle w:val="48"/>
          <w:rFonts w:hint="eastAsia"/>
          <w:b w:val="0"/>
          <w:color w:val="000000" w:themeColor="text1"/>
          <w:sz w:val="24"/>
          <w:szCs w:val="24"/>
          <w14:textFill>
            <w14:solidFill>
              <w14:schemeClr w14:val="tx1"/>
            </w14:solidFill>
          </w14:textFill>
        </w:rPr>
        <w:t>交通运输</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_Toc91082440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E31A500">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"_Toc91082441" </w:instrText>
      </w:r>
      <w:r>
        <w:fldChar w:fldCharType="separate"/>
      </w:r>
      <w:r>
        <w:rPr>
          <w:rStyle w:val="48"/>
          <w:b w:val="0"/>
          <w:color w:val="000000" w:themeColor="text1"/>
          <w:sz w:val="24"/>
          <w:szCs w:val="24"/>
          <w14:textFill>
            <w14:solidFill>
              <w14:schemeClr w14:val="tx1"/>
            </w14:solidFill>
          </w14:textFill>
        </w:rPr>
        <w:t>8.</w:t>
      </w:r>
      <w:r>
        <w:rPr>
          <w:rStyle w:val="48"/>
          <w:rFonts w:hint="eastAsia"/>
          <w:b w:val="0"/>
          <w:color w:val="000000" w:themeColor="text1"/>
          <w:sz w:val="24"/>
          <w:szCs w:val="24"/>
          <w14:textFill>
            <w14:solidFill>
              <w14:schemeClr w14:val="tx1"/>
            </w14:solidFill>
          </w14:textFill>
        </w:rPr>
        <w:t>测量放线</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_Toc91082441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9A1CD00">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"_Toc91082442" </w:instrText>
      </w:r>
      <w:r>
        <w:fldChar w:fldCharType="separate"/>
      </w:r>
      <w:r>
        <w:rPr>
          <w:rStyle w:val="48"/>
          <w:b w:val="0"/>
          <w:color w:val="000000" w:themeColor="text1"/>
          <w:sz w:val="24"/>
          <w:szCs w:val="24"/>
          <w14:textFill>
            <w14:solidFill>
              <w14:schemeClr w14:val="tx1"/>
            </w14:solidFill>
          </w14:textFill>
        </w:rPr>
        <w:t>9.</w:t>
      </w:r>
      <w:r>
        <w:rPr>
          <w:rStyle w:val="48"/>
          <w:rFonts w:hint="eastAsia"/>
          <w:b w:val="0"/>
          <w:color w:val="000000" w:themeColor="text1"/>
          <w:sz w:val="24"/>
          <w:szCs w:val="24"/>
          <w14:textFill>
            <w14:solidFill>
              <w14:schemeClr w14:val="tx1"/>
            </w14:solidFill>
          </w14:textFill>
        </w:rPr>
        <w:t>施工安全、治安保卫和环境保护</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_Toc91082442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138029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"_Toc91082443" </w:instrText>
      </w:r>
      <w:r>
        <w:fldChar w:fldCharType="separate"/>
      </w:r>
      <w:r>
        <w:rPr>
          <w:rStyle w:val="48"/>
          <w:b w:val="0"/>
          <w:color w:val="000000" w:themeColor="text1"/>
          <w:sz w:val="24"/>
          <w:szCs w:val="24"/>
          <w14:textFill>
            <w14:solidFill>
              <w14:schemeClr w14:val="tx1"/>
            </w14:solidFill>
          </w14:textFill>
        </w:rPr>
        <w:t>10.</w:t>
      </w:r>
      <w:r>
        <w:rPr>
          <w:rStyle w:val="48"/>
          <w:rFonts w:hint="eastAsia"/>
          <w:b w:val="0"/>
          <w:color w:val="000000" w:themeColor="text1"/>
          <w:sz w:val="24"/>
          <w:szCs w:val="24"/>
          <w14:textFill>
            <w14:solidFill>
              <w14:schemeClr w14:val="tx1"/>
            </w14:solidFill>
          </w14:textFill>
        </w:rPr>
        <w:t>进度计划</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69</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3994FC7">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"_Toc91082444" </w:instrText>
      </w:r>
      <w:r>
        <w:fldChar w:fldCharType="separate"/>
      </w:r>
      <w:r>
        <w:rPr>
          <w:rStyle w:val="48"/>
          <w:b w:val="0"/>
          <w:color w:val="000000" w:themeColor="text1"/>
          <w:sz w:val="24"/>
          <w:szCs w:val="24"/>
          <w14:textFill>
            <w14:solidFill>
              <w14:schemeClr w14:val="tx1"/>
            </w14:solidFill>
          </w14:textFill>
        </w:rPr>
        <w:t>11.</w:t>
      </w:r>
      <w:r>
        <w:rPr>
          <w:rStyle w:val="48"/>
          <w:rFonts w:hint="eastAsia"/>
          <w:b w:val="0"/>
          <w:color w:val="000000" w:themeColor="text1"/>
          <w:sz w:val="24"/>
          <w:szCs w:val="24"/>
          <w14:textFill>
            <w14:solidFill>
              <w14:schemeClr w14:val="tx1"/>
            </w14:solidFill>
          </w14:textFill>
        </w:rPr>
        <w:t>开工和竣工</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630FB6E">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"_Toc91082445" </w:instrText>
      </w:r>
      <w:r>
        <w:fldChar w:fldCharType="separate"/>
      </w:r>
      <w:r>
        <w:rPr>
          <w:rStyle w:val="48"/>
          <w:b w:val="0"/>
          <w:color w:val="000000" w:themeColor="text1"/>
          <w:sz w:val="24"/>
          <w:szCs w:val="24"/>
          <w14:textFill>
            <w14:solidFill>
              <w14:schemeClr w14:val="tx1"/>
            </w14:solidFill>
          </w14:textFill>
        </w:rPr>
        <w:t>12.</w:t>
      </w:r>
      <w:r>
        <w:rPr>
          <w:rStyle w:val="48"/>
          <w:rFonts w:hint="eastAsia"/>
          <w:b w:val="0"/>
          <w:color w:val="000000" w:themeColor="text1"/>
          <w:sz w:val="24"/>
          <w:szCs w:val="24"/>
          <w14:textFill>
            <w14:solidFill>
              <w14:schemeClr w14:val="tx1"/>
            </w14:solidFill>
          </w14:textFill>
        </w:rPr>
        <w:t>暂停施工</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8950395">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"_Toc91082446" </w:instrText>
      </w:r>
      <w:r>
        <w:fldChar w:fldCharType="separate"/>
      </w:r>
      <w:r>
        <w:rPr>
          <w:rStyle w:val="48"/>
          <w:b w:val="0"/>
          <w:color w:val="000000" w:themeColor="text1"/>
          <w:sz w:val="24"/>
          <w:szCs w:val="24"/>
          <w14:textFill>
            <w14:solidFill>
              <w14:schemeClr w14:val="tx1"/>
            </w14:solidFill>
          </w14:textFill>
        </w:rPr>
        <w:t>13.</w:t>
      </w:r>
      <w:r>
        <w:rPr>
          <w:rStyle w:val="48"/>
          <w:rFonts w:hint="eastAsia"/>
          <w:b w:val="0"/>
          <w:color w:val="000000" w:themeColor="text1"/>
          <w:sz w:val="24"/>
          <w:szCs w:val="24"/>
          <w14:textFill>
            <w14:solidFill>
              <w14:schemeClr w14:val="tx1"/>
            </w14:solidFill>
          </w14:textFill>
        </w:rPr>
        <w:t>工程质量</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F0F8ACA">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"_Toc91082447" </w:instrText>
      </w:r>
      <w:r>
        <w:fldChar w:fldCharType="separate"/>
      </w:r>
      <w:r>
        <w:rPr>
          <w:rStyle w:val="48"/>
          <w:b w:val="0"/>
          <w:color w:val="000000" w:themeColor="text1"/>
          <w:sz w:val="24"/>
          <w:szCs w:val="24"/>
          <w14:textFill>
            <w14:solidFill>
              <w14:schemeClr w14:val="tx1"/>
            </w14:solidFill>
          </w14:textFill>
        </w:rPr>
        <w:t>14.</w:t>
      </w:r>
      <w:r>
        <w:rPr>
          <w:rStyle w:val="48"/>
          <w:rFonts w:hint="eastAsia"/>
          <w:b w:val="0"/>
          <w:color w:val="000000" w:themeColor="text1"/>
          <w:sz w:val="24"/>
          <w:szCs w:val="24"/>
          <w14:textFill>
            <w14:solidFill>
              <w14:schemeClr w14:val="tx1"/>
            </w14:solidFill>
          </w14:textFill>
        </w:rPr>
        <w:t>试验和检验</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1D69A612">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"_Toc91082448" </w:instrText>
      </w:r>
      <w:r>
        <w:fldChar w:fldCharType="separate"/>
      </w:r>
      <w:r>
        <w:rPr>
          <w:rStyle w:val="48"/>
          <w:b w:val="0"/>
          <w:color w:val="000000" w:themeColor="text1"/>
          <w:sz w:val="24"/>
          <w:szCs w:val="24"/>
          <w14:textFill>
            <w14:solidFill>
              <w14:schemeClr w14:val="tx1"/>
            </w14:solidFill>
          </w14:textFill>
        </w:rPr>
        <w:t>15.</w:t>
      </w:r>
      <w:r>
        <w:rPr>
          <w:rStyle w:val="48"/>
          <w:rFonts w:hint="eastAsia"/>
          <w:b w:val="0"/>
          <w:color w:val="000000" w:themeColor="text1"/>
          <w:sz w:val="24"/>
          <w:szCs w:val="24"/>
          <w14:textFill>
            <w14:solidFill>
              <w14:schemeClr w14:val="tx1"/>
            </w14:solidFill>
          </w14:textFill>
        </w:rPr>
        <w:t>变更</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77</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C12794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"_Toc91082450" </w:instrText>
      </w:r>
      <w:r>
        <w:fldChar w:fldCharType="separate"/>
      </w:r>
      <w:r>
        <w:rPr>
          <w:rStyle w:val="48"/>
          <w:b w:val="0"/>
          <w:color w:val="000000" w:themeColor="text1"/>
          <w:sz w:val="24"/>
          <w:szCs w:val="24"/>
          <w14:textFill>
            <w14:solidFill>
              <w14:schemeClr w14:val="tx1"/>
            </w14:solidFill>
          </w14:textFill>
        </w:rPr>
        <w:t>16.</w:t>
      </w:r>
      <w:r>
        <w:rPr>
          <w:rStyle w:val="48"/>
          <w:rFonts w:hint="eastAsia"/>
          <w:b w:val="0"/>
          <w:color w:val="000000" w:themeColor="text1"/>
          <w:sz w:val="24"/>
          <w:szCs w:val="24"/>
          <w14:textFill>
            <w14:solidFill>
              <w14:schemeClr w14:val="tx1"/>
            </w14:solidFill>
          </w14:textFill>
        </w:rPr>
        <w:t>价格调整</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_Toc91082450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81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EBA860F">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"_Toc91082451" </w:instrText>
      </w:r>
      <w:r>
        <w:fldChar w:fldCharType="separate"/>
      </w:r>
      <w:r>
        <w:rPr>
          <w:rStyle w:val="48"/>
          <w:b w:val="0"/>
          <w:color w:val="000000" w:themeColor="text1"/>
          <w:sz w:val="24"/>
          <w:szCs w:val="24"/>
          <w14:textFill>
            <w14:solidFill>
              <w14:schemeClr w14:val="tx1"/>
            </w14:solidFill>
          </w14:textFill>
        </w:rPr>
        <w:t>17.</w:t>
      </w:r>
      <w:r>
        <w:rPr>
          <w:rStyle w:val="48"/>
          <w:rFonts w:hint="eastAsia"/>
          <w:b w:val="0"/>
          <w:color w:val="000000" w:themeColor="text1"/>
          <w:sz w:val="24"/>
          <w:szCs w:val="24"/>
          <w14:textFill>
            <w14:solidFill>
              <w14:schemeClr w14:val="tx1"/>
            </w14:solidFill>
          </w14:textFill>
        </w:rPr>
        <w:t>计量与支付</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_Toc91082451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85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136F49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"_Toc91082452" </w:instrText>
      </w:r>
      <w:r>
        <w:fldChar w:fldCharType="separate"/>
      </w:r>
      <w:r>
        <w:rPr>
          <w:rStyle w:val="48"/>
          <w:b w:val="0"/>
          <w:color w:val="000000" w:themeColor="text1"/>
          <w:sz w:val="24"/>
          <w:szCs w:val="24"/>
          <w14:textFill>
            <w14:solidFill>
              <w14:schemeClr w14:val="tx1"/>
            </w14:solidFill>
          </w14:textFill>
        </w:rPr>
        <w:t>18.</w:t>
      </w:r>
      <w:r>
        <w:rPr>
          <w:rStyle w:val="48"/>
          <w:rFonts w:hint="eastAsia"/>
          <w:b w:val="0"/>
          <w:color w:val="000000" w:themeColor="text1"/>
          <w:sz w:val="24"/>
          <w:szCs w:val="24"/>
          <w14:textFill>
            <w14:solidFill>
              <w14:schemeClr w14:val="tx1"/>
            </w14:solidFill>
          </w14:textFill>
        </w:rPr>
        <w:t>竣工验收</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_Toc91082452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8731609">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"_Toc91082453" </w:instrText>
      </w:r>
      <w:r>
        <w:fldChar w:fldCharType="separate"/>
      </w:r>
      <w:r>
        <w:rPr>
          <w:rStyle w:val="48"/>
          <w:b w:val="0"/>
          <w:color w:val="000000" w:themeColor="text1"/>
          <w:sz w:val="24"/>
          <w:szCs w:val="24"/>
          <w14:textFill>
            <w14:solidFill>
              <w14:schemeClr w14:val="tx1"/>
            </w14:solidFill>
          </w14:textFill>
        </w:rPr>
        <w:t>19.</w:t>
      </w:r>
      <w:r>
        <w:rPr>
          <w:rStyle w:val="48"/>
          <w:rFonts w:hint="eastAsia"/>
          <w:b w:val="0"/>
          <w:color w:val="000000" w:themeColor="text1"/>
          <w:sz w:val="24"/>
          <w:szCs w:val="24"/>
          <w14:textFill>
            <w14:solidFill>
              <w14:schemeClr w14:val="tx1"/>
            </w14:solidFill>
          </w14:textFill>
        </w:rPr>
        <w:t>缺陷责任与保修</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658F15F1">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"_Toc91082454" </w:instrText>
      </w:r>
      <w:r>
        <w:fldChar w:fldCharType="separate"/>
      </w:r>
      <w:r>
        <w:rPr>
          <w:rStyle w:val="48"/>
          <w:b w:val="0"/>
          <w:color w:val="000000" w:themeColor="text1"/>
          <w:sz w:val="24"/>
          <w:szCs w:val="24"/>
          <w14:textFill>
            <w14:solidFill>
              <w14:schemeClr w14:val="tx1"/>
            </w14:solidFill>
          </w14:textFill>
        </w:rPr>
        <w:t>20.</w:t>
      </w:r>
      <w:r>
        <w:rPr>
          <w:rStyle w:val="48"/>
          <w:rFonts w:hint="eastAsia"/>
          <w:b w:val="0"/>
          <w:color w:val="000000" w:themeColor="text1"/>
          <w:sz w:val="24"/>
          <w:szCs w:val="24"/>
          <w14:textFill>
            <w14:solidFill>
              <w14:schemeClr w14:val="tx1"/>
            </w14:solidFill>
          </w14:textFill>
        </w:rPr>
        <w:t>保险</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EC9D1F7">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"_Toc91082455" </w:instrText>
      </w:r>
      <w:r>
        <w:fldChar w:fldCharType="separate"/>
      </w:r>
      <w:r>
        <w:rPr>
          <w:rStyle w:val="48"/>
          <w:b w:val="0"/>
          <w:color w:val="000000" w:themeColor="text1"/>
          <w:sz w:val="24"/>
          <w:szCs w:val="24"/>
          <w14:textFill>
            <w14:solidFill>
              <w14:schemeClr w14:val="tx1"/>
            </w14:solidFill>
          </w14:textFill>
        </w:rPr>
        <w:t>21.</w:t>
      </w:r>
      <w:r>
        <w:rPr>
          <w:rStyle w:val="48"/>
          <w:rFonts w:hint="eastAsia"/>
          <w:b w:val="0"/>
          <w:color w:val="000000" w:themeColor="text1"/>
          <w:sz w:val="24"/>
          <w:szCs w:val="24"/>
          <w14:textFill>
            <w14:solidFill>
              <w14:schemeClr w14:val="tx1"/>
            </w14:solidFill>
          </w14:textFill>
        </w:rPr>
        <w:t>不可抗力</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1FD73B9E">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"_Toc91082456" </w:instrText>
      </w:r>
      <w:r>
        <w:fldChar w:fldCharType="separate"/>
      </w:r>
      <w:r>
        <w:rPr>
          <w:rStyle w:val="48"/>
          <w:b w:val="0"/>
          <w:color w:val="000000" w:themeColor="text1"/>
          <w:sz w:val="24"/>
          <w:szCs w:val="24"/>
          <w14:textFill>
            <w14:solidFill>
              <w14:schemeClr w14:val="tx1"/>
            </w14:solidFill>
          </w14:textFill>
        </w:rPr>
        <w:t>22.</w:t>
      </w:r>
      <w:r>
        <w:rPr>
          <w:rStyle w:val="48"/>
          <w:rFonts w:hint="eastAsia"/>
          <w:b w:val="0"/>
          <w:color w:val="000000" w:themeColor="text1"/>
          <w:sz w:val="24"/>
          <w:szCs w:val="24"/>
          <w14:textFill>
            <w14:solidFill>
              <w14:schemeClr w14:val="tx1"/>
            </w14:solidFill>
          </w14:textFill>
        </w:rPr>
        <w:t>违约</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C25B2FD">
      <w:pPr>
        <w:pStyle w:val="34"/>
        <w:tabs>
          <w:tab w:val="left" w:pos="2100"/>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"_Toc91082457" </w:instrText>
      </w:r>
      <w:r>
        <w:fldChar w:fldCharType="separate"/>
      </w:r>
      <w:r>
        <w:rPr>
          <w:rStyle w:val="48"/>
          <w:b w:val="0"/>
          <w:color w:val="000000" w:themeColor="text1"/>
          <w:sz w:val="24"/>
          <w:szCs w:val="24"/>
          <w14:textFill>
            <w14:solidFill>
              <w14:schemeClr w14:val="tx1"/>
            </w14:solidFill>
          </w14:textFill>
        </w:rPr>
        <w:t>23.</w:t>
      </w:r>
      <w:r>
        <w:rPr>
          <w:rStyle w:val="48"/>
          <w:rFonts w:hint="eastAsia"/>
          <w:b w:val="0"/>
          <w:color w:val="000000" w:themeColor="text1"/>
          <w:sz w:val="24"/>
          <w:szCs w:val="24"/>
          <w14:textFill>
            <w14:solidFill>
              <w14:schemeClr w14:val="tx1"/>
            </w14:solidFill>
          </w14:textFill>
        </w:rPr>
        <w:t>争议的解决</w:t>
      </w:r>
      <w:r>
        <w:rPr>
          <w:rStyle w:val="48"/>
          <w:b w:val="0"/>
          <w:color w:val="000000" w:themeColor="text1"/>
          <w:sz w:val="24"/>
          <w:szCs w:val="24"/>
          <w14:textFill>
            <w14:solidFill>
              <w14:schemeClr w14:val="tx1"/>
            </w14:solidFill>
          </w14:textFill>
        </w:rPr>
        <w:t>………</w:t>
      </w:r>
      <w:r>
        <w:rPr>
          <w:rStyle w:val="48"/>
          <w:rFonts w:hint="eastAsia"/>
          <w:b w:val="0"/>
          <w:color w:val="000000" w:themeColor="text1"/>
          <w:sz w:val="24"/>
          <w:szCs w:val="24"/>
          <w14:textFill>
            <w14:solidFill>
              <w14:schemeClr w14:val="tx1"/>
            </w14:solidFill>
          </w14:textFill>
        </w:rPr>
        <w:t>.</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102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7CAC520">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"_Toc91082458" </w:instrText>
      </w:r>
      <w:r>
        <w:fldChar w:fldCharType="separate"/>
      </w:r>
      <w:r>
        <w:rPr>
          <w:rStyle w:val="48"/>
          <w:b w:val="0"/>
          <w:color w:val="000000" w:themeColor="text1"/>
          <w:sz w:val="24"/>
          <w:szCs w:val="24"/>
          <w14:textFill>
            <w14:solidFill>
              <w14:schemeClr w14:val="tx1"/>
            </w14:solidFill>
          </w14:textFill>
        </w:rPr>
        <w:t>24.</w:t>
      </w:r>
      <w:r>
        <w:rPr>
          <w:rStyle w:val="48"/>
          <w:rFonts w:hint="eastAsia"/>
          <w:b w:val="0"/>
          <w:color w:val="000000" w:themeColor="text1"/>
          <w:sz w:val="24"/>
          <w:szCs w:val="24"/>
          <w14:textFill>
            <w14:solidFill>
              <w14:schemeClr w14:val="tx1"/>
            </w14:solidFill>
          </w14:textFill>
        </w:rPr>
        <w:t>合同的解除</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102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63D86B2">
      <w:pPr>
        <w:pStyle w:val="56"/>
        <w:ind w:firstLine="0" w:firstLineChars="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Cs w:val="24"/>
          <w14:textFill>
            <w14:solidFill>
              <w14:schemeClr w14:val="tx1"/>
            </w14:solidFill>
          </w14:textFill>
        </w:rPr>
        <w:fldChar w:fldCharType="end"/>
      </w:r>
    </w:p>
    <w:p w14:paraId="78859613">
      <w:pPr>
        <w:pStyle w:val="56"/>
        <w:spacing w:line="440" w:lineRule="exact"/>
        <w:ind w:firstLine="0" w:firstLineChars="0"/>
        <w:rPr>
          <w:rFonts w:eastAsia="黑体"/>
          <w:bCs/>
          <w:color w:val="000000" w:themeColor="text1"/>
          <w:sz w:val="30"/>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14:paraId="79F3A214">
      <w:pPr>
        <w:pStyle w:val="77"/>
        <w:rPr>
          <w:color w:val="000000" w:themeColor="text1"/>
          <w14:textFill>
            <w14:solidFill>
              <w14:schemeClr w14:val="tx1"/>
            </w14:solidFill>
          </w14:textFill>
        </w:rPr>
      </w:pPr>
      <w:bookmarkStart w:id="542" w:name="_Toc23052"/>
      <w:bookmarkStart w:id="543" w:name="_Toc26596"/>
      <w:bookmarkStart w:id="544" w:name="_Toc10189"/>
      <w:bookmarkStart w:id="545" w:name="_Toc38987270"/>
      <w:bookmarkStart w:id="546" w:name="_Toc44228153"/>
      <w:bookmarkStart w:id="547" w:name="_Toc44492550"/>
      <w:bookmarkStart w:id="548" w:name="_Toc91082434"/>
      <w:bookmarkStart w:id="549" w:name="p3"/>
      <w:r>
        <w:rPr>
          <w:rFonts w:hint="eastAsia"/>
          <w:color w:val="000000" w:themeColor="text1"/>
          <w14:textFill>
            <w14:solidFill>
              <w14:schemeClr w14:val="tx1"/>
            </w14:solidFill>
          </w14:textFill>
        </w:rPr>
        <w:t>1.一般约定</w:t>
      </w:r>
      <w:bookmarkEnd w:id="541"/>
      <w:bookmarkEnd w:id="542"/>
      <w:bookmarkEnd w:id="543"/>
      <w:bookmarkEnd w:id="544"/>
      <w:bookmarkEnd w:id="545"/>
      <w:bookmarkEnd w:id="546"/>
      <w:bookmarkEnd w:id="547"/>
      <w:bookmarkEnd w:id="548"/>
    </w:p>
    <w:p w14:paraId="73914485">
      <w:pPr>
        <w:pStyle w:val="5"/>
        <w:keepNext w:val="0"/>
        <w:keepLines w:val="0"/>
        <w:numPr>
          <w:ilvl w:val="2"/>
          <w:numId w:val="0"/>
        </w:numPr>
        <w:adjustRightInd w:val="0"/>
        <w:snapToGrid w:val="0"/>
        <w:spacing w:before="0" w:after="0" w:line="360" w:lineRule="auto"/>
        <w:ind w:firstLine="480" w:firstLineChars="200"/>
        <w:jc w:val="left"/>
        <w:rPr>
          <w:rFonts w:eastAsia="黑体"/>
          <w:b w:val="0"/>
          <w:color w:val="000000" w:themeColor="text1"/>
          <w:sz w:val="24"/>
          <w14:textFill>
            <w14:solidFill>
              <w14:schemeClr w14:val="tx1"/>
            </w14:solidFill>
          </w14:textFill>
        </w:rPr>
      </w:pPr>
      <w:bookmarkStart w:id="550" w:name="_Toc16615"/>
      <w:bookmarkStart w:id="551" w:name="_Toc44492551"/>
      <w:bookmarkStart w:id="552" w:name="_Toc27074"/>
      <w:r>
        <w:rPr>
          <w:rFonts w:hint="eastAsia" w:eastAsia="黑体"/>
          <w:b w:val="0"/>
          <w:color w:val="000000" w:themeColor="text1"/>
          <w:sz w:val="24"/>
          <w14:textFill>
            <w14:solidFill>
              <w14:schemeClr w14:val="tx1"/>
            </w14:solidFill>
          </w14:textFill>
        </w:rPr>
        <w:t>1.1.2.合同当事人和人员</w:t>
      </w:r>
    </w:p>
    <w:p w14:paraId="2E1F9E4B">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1.1.6 </w:t>
      </w:r>
      <w:r>
        <w:rPr>
          <w:rFonts w:hint="eastAsia"/>
          <w:color w:val="000000" w:themeColor="text1"/>
          <w14:textFill>
            <w14:solidFill>
              <w14:schemeClr w14:val="tx1"/>
            </w14:solidFill>
          </w14:textFill>
        </w:rPr>
        <w:t>现金支付：指采用支票或银行转账等无账期的支付方式；</w:t>
      </w:r>
    </w:p>
    <w:p w14:paraId="7768EFB3">
      <w:pPr>
        <w:pStyle w:val="56"/>
        <w:ind w:firstLine="480"/>
        <w:rPr>
          <w:b/>
          <w:color w:val="000000" w:themeColor="text1"/>
          <w14:textFill>
            <w14:solidFill>
              <w14:schemeClr w14:val="tx1"/>
            </w14:solidFill>
          </w14:textFill>
        </w:rPr>
      </w:pPr>
      <w:r>
        <w:rPr>
          <w:color w:val="000000" w:themeColor="text1"/>
          <w14:textFill>
            <w14:solidFill>
              <w14:schemeClr w14:val="tx1"/>
            </w14:solidFill>
          </w14:textFill>
        </w:rPr>
        <w:t xml:space="preserve">1.1.7 </w:t>
      </w:r>
      <w:r>
        <w:rPr>
          <w:rFonts w:hint="eastAsia"/>
          <w:color w:val="000000" w:themeColor="text1"/>
          <w14:textFill>
            <w14:solidFill>
              <w14:schemeClr w14:val="tx1"/>
            </w14:solidFill>
          </w14:textFill>
        </w:rPr>
        <w:t>非现金支付：指采用包括但不限于商业承兑汇票、供应链票据等有账期的支付方式。</w:t>
      </w:r>
    </w:p>
    <w:p w14:paraId="2D981189">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 语言文字</w:t>
      </w:r>
      <w:bookmarkEnd w:id="550"/>
      <w:bookmarkEnd w:id="551"/>
      <w:bookmarkEnd w:id="552"/>
    </w:p>
    <w:p w14:paraId="0FA5314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 本合同除使用汉语外，还使用</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语言文字。</w:t>
      </w:r>
    </w:p>
    <w:p w14:paraId="5E871F2A">
      <w:pPr>
        <w:pStyle w:val="81"/>
        <w:ind w:firstLine="480"/>
        <w:rPr>
          <w:color w:val="000000" w:themeColor="text1"/>
          <w14:textFill>
            <w14:solidFill>
              <w14:schemeClr w14:val="tx1"/>
            </w14:solidFill>
          </w14:textFill>
        </w:rPr>
      </w:pPr>
      <w:bookmarkStart w:id="553" w:name="_Toc3575"/>
      <w:bookmarkStart w:id="554" w:name="_Toc44492552"/>
      <w:bookmarkStart w:id="555" w:name="_Toc3979"/>
      <w:r>
        <w:rPr>
          <w:rFonts w:hint="eastAsia"/>
          <w:color w:val="000000" w:themeColor="text1"/>
          <w14:textFill>
            <w14:solidFill>
              <w14:schemeClr w14:val="tx1"/>
            </w14:solidFill>
          </w14:textFill>
        </w:rPr>
        <w:t>1.3.适用法律、标准及规范</w:t>
      </w:r>
      <w:bookmarkEnd w:id="553"/>
      <w:bookmarkEnd w:id="554"/>
      <w:bookmarkEnd w:id="555"/>
    </w:p>
    <w:p w14:paraId="0B81F99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 本合同需要特别明示所适用的法律、行政法规有：</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68E5A1E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 本合同适用的标准、规范为中华人民共和国现行的有关工程建设与施工的技术标准与规范，包括但不限于：</w:t>
      </w:r>
      <w:r>
        <w:rPr>
          <w:rFonts w:hint="eastAsia"/>
          <w:color w:val="000000" w:themeColor="text1"/>
          <w:u w:val="single"/>
          <w14:textFill>
            <w14:solidFill>
              <w14:schemeClr w14:val="tx1"/>
            </w14:solidFill>
          </w14:textFill>
        </w:rPr>
        <w:t>《建筑工程施工与验收规范》中适用于本工程的施工与验收规范、本合同中约定的有关技术标准要求等。</w:t>
      </w:r>
      <w:r>
        <w:rPr>
          <w:rFonts w:hint="eastAsia"/>
          <w:color w:val="000000" w:themeColor="text1"/>
          <w14:textFill>
            <w14:solidFill>
              <w14:schemeClr w14:val="tx1"/>
            </w14:solidFill>
          </w14:textFill>
        </w:rPr>
        <w:t xml:space="preserve"> </w:t>
      </w:r>
    </w:p>
    <w:p w14:paraId="3277F901">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1.3.3. 通用条款第1.3.3中的“1.3.1”修订为“1.3.2”。发包人提出的标准、规范：</w:t>
      </w:r>
      <w:r>
        <w:rPr>
          <w:rFonts w:hint="eastAsia"/>
          <w:color w:val="000000" w:themeColor="text1"/>
          <w:u w:val="single"/>
          <w14:textFill>
            <w14:solidFill>
              <w14:schemeClr w14:val="tx1"/>
            </w14:solidFill>
          </w14:textFill>
        </w:rPr>
        <w:t xml:space="preserve">  详见附件3《施工技术要求》。</w:t>
      </w:r>
    </w:p>
    <w:p w14:paraId="023BD2EB">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1.4</w:t>
      </w:r>
      <w:r>
        <w:rPr>
          <w:rFonts w:eastAsia="黑体"/>
          <w:bCs/>
          <w:color w:val="000000" w:themeColor="text1"/>
          <w:kern w:val="2"/>
          <w14:textFill>
            <w14:solidFill>
              <w14:schemeClr w14:val="tx1"/>
            </w14:solidFill>
          </w14:textFill>
        </w:rPr>
        <w:t xml:space="preserve"> </w:t>
      </w:r>
      <w:r>
        <w:rPr>
          <w:rFonts w:hint="eastAsia" w:eastAsia="黑体"/>
          <w:bCs/>
          <w:color w:val="000000" w:themeColor="text1"/>
          <w:kern w:val="2"/>
          <w14:textFill>
            <w14:solidFill>
              <w14:schemeClr w14:val="tx1"/>
            </w14:solidFill>
          </w14:textFill>
        </w:rPr>
        <w:t>合同文件的优先顺序</w:t>
      </w:r>
    </w:p>
    <w:p w14:paraId="2605B74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 通用条款1.4.1修订为：</w:t>
      </w:r>
    </w:p>
    <w:p w14:paraId="525DEE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均为合同的组成部分，互为补充和解释。若合同文件中对本工程质量、进度、安全等要求有不一致的，分包人应在施工前通过承包人向发包人提出，除发包人明确指示适用何种规定外，以对分包人义务、责任要求高者严者为准；其他内容出现不一致的，除本合同另有明文规定外，按以下排列在前者为准，同一顺序文件出现不一致的，以时间在后者为准；经发包人认定分包人的有关承诺比顺序在前的文件对发包人更有利的，就该承诺事项以该特定承诺为准。</w:t>
      </w:r>
    </w:p>
    <w:p w14:paraId="1748AF43">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⑴本合同签订后双方新签订的补充协议；</w:t>
      </w:r>
    </w:p>
    <w:p w14:paraId="66F934FA">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⑵本合同第一部分的协议书；</w:t>
      </w:r>
    </w:p>
    <w:p w14:paraId="788069AF">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⑶中标通知书及其附件； </w:t>
      </w:r>
    </w:p>
    <w:p w14:paraId="4EDE5C68">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⑷本合同第四部分的补充条款；</w:t>
      </w:r>
    </w:p>
    <w:p w14:paraId="4CD071B1">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⑸本合同第三部分的专用条款；</w:t>
      </w:r>
    </w:p>
    <w:p w14:paraId="186C0AAD">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⑹本合同附件；</w:t>
      </w:r>
    </w:p>
    <w:p w14:paraId="0B10FBDE">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w:t>
      </w:r>
      <w:r>
        <w:rPr>
          <w:rFonts w:hint="eastAsia"/>
          <w:color w:val="000000" w:themeColor="text1"/>
          <w14:textFill>
            <w14:solidFill>
              <w14:schemeClr w14:val="tx1"/>
            </w14:solidFill>
          </w14:textFill>
        </w:rPr>
        <w:t>本合同第二部分的通用条款；</w:t>
      </w:r>
    </w:p>
    <w:p w14:paraId="3679D385">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(8)</w:t>
      </w:r>
      <w:r>
        <w:rPr>
          <w:rFonts w:hint="eastAsia"/>
          <w:color w:val="000000" w:themeColor="text1"/>
          <w14:textFill>
            <w14:solidFill>
              <w14:schemeClr w14:val="tx1"/>
            </w14:solidFill>
          </w14:textFill>
        </w:rPr>
        <w:t>本工程招标文件中的技术要求和投标报价规定及招标过程中的澄清、修改、答疑或补遗文件（如有）；</w:t>
      </w:r>
    </w:p>
    <w:p w14:paraId="76EF9830">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(9)</w:t>
      </w:r>
      <w:r>
        <w:rPr>
          <w:rFonts w:hint="eastAsia"/>
          <w:color w:val="000000" w:themeColor="text1"/>
          <w14:textFill>
            <w14:solidFill>
              <w14:schemeClr w14:val="tx1"/>
            </w14:solidFill>
          </w14:textFill>
        </w:rPr>
        <w:t>投标文件(包括承包人在评标期间和合同谈判过程中递交和确认并经发包人同意的对有关问题的补充资料和澄清文件等)；</w:t>
      </w:r>
    </w:p>
    <w:p w14:paraId="7F33BBFB">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r>
        <w:rPr>
          <w:rFonts w:hint="eastAsia"/>
          <w:color w:val="000000" w:themeColor="text1"/>
          <w14:textFill>
            <w14:solidFill>
              <w14:schemeClr w14:val="tx1"/>
            </w14:solidFill>
          </w14:textFill>
        </w:rPr>
        <w:t>现行的标准、规范、规定及有关技术文件；</w:t>
      </w:r>
    </w:p>
    <w:p w14:paraId="757C7FEA">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(11)</w:t>
      </w:r>
      <w:r>
        <w:rPr>
          <w:rFonts w:hint="eastAsia"/>
          <w:color w:val="000000" w:themeColor="text1"/>
          <w14:textFill>
            <w14:solidFill>
              <w14:schemeClr w14:val="tx1"/>
            </w14:solidFill>
          </w14:textFill>
        </w:rPr>
        <w:t>图纸和技术规格书；</w:t>
      </w:r>
    </w:p>
    <w:p w14:paraId="60803ABE">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(12)</w:t>
      </w:r>
      <w:r>
        <w:rPr>
          <w:rFonts w:hint="eastAsia"/>
          <w:color w:val="000000" w:themeColor="text1"/>
          <w14:textFill>
            <w14:solidFill>
              <w14:schemeClr w14:val="tx1"/>
            </w14:solidFill>
          </w14:textFill>
        </w:rPr>
        <w:t>已标价工程量清单；</w:t>
      </w:r>
    </w:p>
    <w:p w14:paraId="2665C805">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(13)</w:t>
      </w:r>
      <w:r>
        <w:rPr>
          <w:rFonts w:hint="eastAsia"/>
          <w:color w:val="000000" w:themeColor="text1"/>
          <w14:textFill>
            <w14:solidFill>
              <w14:schemeClr w14:val="tx1"/>
            </w14:solidFill>
          </w14:textFill>
        </w:rPr>
        <w:t>发包人和承包人双方有关本工程的变更、洽商等书面文件及组成合同的其他文件。</w:t>
      </w:r>
    </w:p>
    <w:p w14:paraId="046483D9">
      <w:pPr>
        <w:pStyle w:val="81"/>
        <w:ind w:firstLine="480"/>
        <w:rPr>
          <w:color w:val="000000" w:themeColor="text1"/>
          <w14:textFill>
            <w14:solidFill>
              <w14:schemeClr w14:val="tx1"/>
            </w14:solidFill>
          </w14:textFill>
        </w:rPr>
      </w:pPr>
      <w:bookmarkStart w:id="556" w:name="_Toc44492553"/>
      <w:bookmarkStart w:id="557" w:name="_Toc6960"/>
      <w:bookmarkStart w:id="558" w:name="_Toc105"/>
      <w:r>
        <w:rPr>
          <w:rFonts w:hint="eastAsia"/>
          <w:color w:val="000000" w:themeColor="text1"/>
          <w14:textFill>
            <w14:solidFill>
              <w14:schemeClr w14:val="tx1"/>
            </w14:solidFill>
          </w14:textFill>
        </w:rPr>
        <w:t>1.6. 图纸和分包人文件</w:t>
      </w:r>
      <w:bookmarkEnd w:id="556"/>
      <w:bookmarkEnd w:id="557"/>
      <w:bookmarkEnd w:id="558"/>
    </w:p>
    <w:p w14:paraId="72E12DA3">
      <w:pPr>
        <w:pStyle w:val="79"/>
        <w:ind w:firstLine="482"/>
        <w:rPr>
          <w:color w:val="000000" w:themeColor="text1"/>
          <w14:textFill>
            <w14:solidFill>
              <w14:schemeClr w14:val="tx1"/>
            </w14:solidFill>
          </w14:textFill>
        </w:rPr>
      </w:pPr>
      <w:bookmarkStart w:id="559" w:name="_Toc24632"/>
      <w:r>
        <w:rPr>
          <w:rFonts w:hint="eastAsia"/>
          <w:color w:val="000000" w:themeColor="text1"/>
          <w14:textFill>
            <w14:solidFill>
              <w14:schemeClr w14:val="tx1"/>
            </w14:solidFill>
          </w14:textFill>
        </w:rPr>
        <w:t>1.6.1. 承包人提供的图纸</w:t>
      </w:r>
      <w:bookmarkEnd w:id="559"/>
    </w:p>
    <w:p w14:paraId="26AECB2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发包人通过承包人在</w:t>
      </w:r>
      <w:r>
        <w:rPr>
          <w:rFonts w:hint="eastAsia"/>
          <w:color w:val="000000" w:themeColor="text1"/>
          <w:u w:val="single"/>
          <w14:textFill>
            <w14:solidFill>
              <w14:schemeClr w14:val="tx1"/>
            </w14:solidFill>
          </w14:textFill>
        </w:rPr>
        <w:t xml:space="preserve"> 工程开工前 </w:t>
      </w:r>
      <w:r>
        <w:rPr>
          <w:rFonts w:hint="eastAsia"/>
          <w:color w:val="000000" w:themeColor="text1"/>
          <w14:textFill>
            <w14:solidFill>
              <w14:schemeClr w14:val="tx1"/>
            </w14:solidFill>
          </w14:textFill>
        </w:rPr>
        <w:t>向分包人提供</w:t>
      </w:r>
      <w:r>
        <w:rPr>
          <w:rFonts w:hint="eastAsia"/>
          <w:color w:val="000000" w:themeColor="text1"/>
          <w:u w:val="single"/>
          <w14:textFill>
            <w14:solidFill>
              <w14:schemeClr w14:val="tx1"/>
            </w14:solidFill>
          </w14:textFill>
        </w:rPr>
        <w:t xml:space="preserve">  施工图纸  </w:t>
      </w:r>
      <w:r>
        <w:rPr>
          <w:rFonts w:hint="eastAsia"/>
          <w:color w:val="000000" w:themeColor="text1"/>
          <w14:textFill>
            <w14:solidFill>
              <w14:schemeClr w14:val="tx1"/>
            </w14:solidFill>
          </w14:textFill>
        </w:rPr>
        <w:t>一式</w:t>
      </w:r>
      <w:r>
        <w:rPr>
          <w:rFonts w:hint="eastAsia"/>
          <w:color w:val="000000" w:themeColor="text1"/>
          <w:u w:val="single"/>
          <w14:textFill>
            <w14:solidFill>
              <w14:schemeClr w14:val="tx1"/>
            </w14:solidFill>
          </w14:textFill>
        </w:rPr>
        <w:t xml:space="preserve">捌 </w:t>
      </w:r>
      <w:r>
        <w:rPr>
          <w:rFonts w:hint="eastAsia"/>
          <w:color w:val="000000" w:themeColor="text1"/>
          <w14:textFill>
            <w14:solidFill>
              <w14:schemeClr w14:val="tx1"/>
            </w14:solidFill>
          </w14:textFill>
        </w:rPr>
        <w:t>份。</w:t>
      </w:r>
    </w:p>
    <w:p w14:paraId="3F22290A">
      <w:pPr>
        <w:pStyle w:val="79"/>
        <w:ind w:firstLine="482"/>
        <w:rPr>
          <w:color w:val="000000" w:themeColor="text1"/>
          <w14:textFill>
            <w14:solidFill>
              <w14:schemeClr w14:val="tx1"/>
            </w14:solidFill>
          </w14:textFill>
        </w:rPr>
      </w:pPr>
      <w:bookmarkStart w:id="560" w:name="_Toc11577"/>
      <w:r>
        <w:rPr>
          <w:rFonts w:hint="eastAsia"/>
          <w:color w:val="000000" w:themeColor="text1"/>
          <w14:textFill>
            <w14:solidFill>
              <w14:schemeClr w14:val="tx1"/>
            </w14:solidFill>
          </w14:textFill>
        </w:rPr>
        <w:t>1.6.2. 分包人提供的图纸</w:t>
      </w:r>
      <w:bookmarkEnd w:id="560"/>
    </w:p>
    <w:p w14:paraId="7AD09A4C">
      <w:pPr>
        <w:pStyle w:val="56"/>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hint="eastAsia" w:ascii="仿宋" w:hAnsi="仿宋" w:eastAsia="仿宋" w:cs="宋体"/>
          <w:color w:val="000000" w:themeColor="text1"/>
          <w14:textFill>
            <w14:solidFill>
              <w14:schemeClr w14:val="tx1"/>
            </w14:solidFill>
          </w14:textFill>
        </w:rPr>
        <w:tab/>
      </w:r>
      <w:r>
        <w:rPr>
          <w:rFonts w:hint="eastAsia" w:ascii="仿宋" w:hAnsi="仿宋" w:eastAsia="仿宋" w:cs="宋体"/>
          <w:color w:val="000000" w:themeColor="text1"/>
          <w14:textFill>
            <w14:solidFill>
              <w14:schemeClr w14:val="tx1"/>
            </w14:solidFill>
          </w14:textFill>
        </w:rPr>
        <w:t>分包人需提交的深化设计图纸：</w:t>
      </w:r>
    </w:p>
    <w:p w14:paraId="6CCCB8A3">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提交的数量为：壹式八份。所提交的资料需同时包括纸质版与电子版（CAD文档与PDF文档）。</w:t>
      </w:r>
    </w:p>
    <w:p w14:paraId="29FCF6CE">
      <w:pPr>
        <w:pStyle w:val="56"/>
        <w:ind w:firstLine="480"/>
        <w:rPr>
          <w:color w:val="000000" w:themeColor="text1"/>
          <w14:textFill>
            <w14:solidFill>
              <w14:schemeClr w14:val="tx1"/>
            </w14:solidFill>
          </w14:textFill>
        </w:rPr>
      </w:pPr>
      <w:bookmarkStart w:id="561" w:name="_Toc495652728"/>
      <w:bookmarkStart w:id="562" w:name="_Toc495653031"/>
      <w:bookmarkStart w:id="563" w:name="_Toc496531120"/>
      <w:bookmarkStart w:id="564" w:name="_Toc498960541"/>
      <w:bookmarkStart w:id="565" w:name="_Toc495916046"/>
      <w:bookmarkStart w:id="566" w:name="_Toc496532146"/>
      <w:r>
        <w:rPr>
          <w:rFonts w:hint="eastAsia"/>
          <w:color w:val="000000" w:themeColor="text1"/>
          <w14:textFill>
            <w14:solidFill>
              <w14:schemeClr w14:val="tx1"/>
            </w14:solidFill>
          </w14:textFill>
        </w:rPr>
        <w:t>深化设计的相关费用、施工期间因各方原因之深化设计修改费用、深化设计图审核费及深化设计出图费用已含于本合同暂定总价中，由分包人承担，承包人不再另行支付。</w:t>
      </w:r>
      <w:bookmarkEnd w:id="561"/>
      <w:bookmarkEnd w:id="562"/>
      <w:bookmarkEnd w:id="563"/>
      <w:bookmarkEnd w:id="564"/>
      <w:bookmarkEnd w:id="565"/>
      <w:bookmarkEnd w:id="566"/>
    </w:p>
    <w:p w14:paraId="267842F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分包人提供的竣工图的份数：竣工图纸壹式叁份及相应的电子磁盘资料叁套。</w:t>
      </w:r>
    </w:p>
    <w:p w14:paraId="111FB8A5">
      <w:pPr>
        <w:pStyle w:val="56"/>
        <w:ind w:firstLine="480"/>
        <w:rPr>
          <w:bCs/>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其他需分包人提供的图级及其要求：</w:t>
      </w:r>
      <w:r>
        <w:rPr>
          <w:rFonts w:hint="eastAsia"/>
          <w:bCs/>
          <w:color w:val="000000" w:themeColor="text1"/>
          <w14:textFill>
            <w14:solidFill>
              <w14:schemeClr w14:val="tx1"/>
            </w14:solidFill>
          </w14:textFill>
        </w:rPr>
        <w:t>竣工资料及竣工图纸必须准确真实的反映实际施工情况（含电子版文件叁套）。竣工图由分包人编制，相关费用（包括但不限于编制费及出图费（如需）由分包人承担）在合同暂定总价中综合考虑。</w:t>
      </w:r>
    </w:p>
    <w:p w14:paraId="16766CF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  深化设计相关要求：详见补充条款。</w:t>
      </w:r>
    </w:p>
    <w:p w14:paraId="0220DA77">
      <w:pPr>
        <w:pStyle w:val="81"/>
        <w:ind w:firstLine="480"/>
        <w:rPr>
          <w:color w:val="000000" w:themeColor="text1"/>
          <w14:textFill>
            <w14:solidFill>
              <w14:schemeClr w14:val="tx1"/>
            </w14:solidFill>
          </w14:textFill>
        </w:rPr>
      </w:pPr>
      <w:bookmarkStart w:id="567" w:name="_Toc31011"/>
      <w:bookmarkStart w:id="568" w:name="_Toc44492554"/>
      <w:bookmarkStart w:id="569" w:name="_Toc28022"/>
      <w:r>
        <w:rPr>
          <w:rFonts w:hint="eastAsia"/>
          <w:color w:val="000000" w:themeColor="text1"/>
          <w14:textFill>
            <w14:solidFill>
              <w14:schemeClr w14:val="tx1"/>
            </w14:solidFill>
          </w14:textFill>
        </w:rPr>
        <w:t>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文物和地下障碍物</w:t>
      </w:r>
      <w:bookmarkEnd w:id="567"/>
      <w:bookmarkEnd w:id="568"/>
      <w:bookmarkEnd w:id="569"/>
    </w:p>
    <w:p w14:paraId="5AB4A85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1.9.1. 通用条款第1.9.1条中“由此导致工期延误超过7天的，顺延延误的工期。如发现后隐瞒不报，致使文物遭受破坏，责任者依法承担相应责任”修订为：由此导致工期延误超过7天的，顺延延误超过7天（不含本数）以上部分的工期，工期延误在7天及以内的，工期不顺延。如发现后隐瞒不报，致使文物遭受破坏，责任者依法承担相应责任。</w:t>
      </w:r>
    </w:p>
    <w:p w14:paraId="6A6E708C">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.9.3. </w:t>
      </w:r>
      <w:r>
        <w:rPr>
          <w:color w:val="000000" w:themeColor="text1"/>
          <w14:textFill>
            <w14:solidFill>
              <w14:schemeClr w14:val="tx1"/>
            </w14:solidFill>
          </w14:textFill>
        </w:rPr>
        <w:t>发包人和承包人向分包人提供的有关现场的所有基础资料和数据（包括地下管线、气象和水文观测、地质勘察资料和地下工程等有关基础资料），是发包人和承包人现有的能供分包人利用的资料，发包人和承包人对分包人由此而做出的理解、推论、结论和决策等概不负责。分包人有义务对所有基础资料的真实性、准确性和完整性进行复核确认，不得以资料不齐全、不真实、不准确等向发包人或承包人提出索赔。</w:t>
      </w:r>
    </w:p>
    <w:p w14:paraId="6C89391C">
      <w:pPr>
        <w:pStyle w:val="77"/>
        <w:rPr>
          <w:color w:val="000000" w:themeColor="text1"/>
          <w14:textFill>
            <w14:solidFill>
              <w14:schemeClr w14:val="tx1"/>
            </w14:solidFill>
          </w14:textFill>
        </w:rPr>
      </w:pPr>
      <w:bookmarkStart w:id="570" w:name="_Toc2911"/>
      <w:bookmarkStart w:id="571" w:name="_Toc38987271"/>
      <w:bookmarkStart w:id="572" w:name="_Toc19507"/>
      <w:bookmarkStart w:id="573" w:name="_Toc44228154"/>
      <w:bookmarkStart w:id="574" w:name="_Toc44492555"/>
      <w:bookmarkStart w:id="575" w:name="_Toc22419"/>
      <w:bookmarkStart w:id="576" w:name="_Toc91082435"/>
      <w:r>
        <w:rPr>
          <w:rFonts w:hint="eastAsia"/>
          <w:color w:val="000000" w:themeColor="text1"/>
          <w14:textFill>
            <w14:solidFill>
              <w14:schemeClr w14:val="tx1"/>
            </w14:solidFill>
          </w14:textFill>
        </w:rPr>
        <w:t>.</w:t>
      </w:r>
      <w:bookmarkEnd w:id="570"/>
      <w:bookmarkEnd w:id="571"/>
      <w:bookmarkEnd w:id="572"/>
      <w:bookmarkEnd w:id="573"/>
      <w:bookmarkEnd w:id="574"/>
      <w:bookmarkEnd w:id="575"/>
      <w:r>
        <w:rPr>
          <w:rFonts w:hint="eastAsia"/>
          <w:color w:val="000000" w:themeColor="text1"/>
          <w14:textFill>
            <w14:solidFill>
              <w14:schemeClr w14:val="tx1"/>
            </w14:solidFill>
          </w14:textFill>
        </w:rPr>
        <w:t>承包人</w:t>
      </w:r>
      <w:bookmarkEnd w:id="576"/>
    </w:p>
    <w:p w14:paraId="7170C48C">
      <w:pPr>
        <w:pStyle w:val="81"/>
        <w:ind w:firstLine="480"/>
        <w:rPr>
          <w:color w:val="000000" w:themeColor="text1"/>
          <w14:textFill>
            <w14:solidFill>
              <w14:schemeClr w14:val="tx1"/>
            </w14:solidFill>
          </w14:textFill>
        </w:rPr>
      </w:pPr>
      <w:bookmarkStart w:id="577" w:name="_Toc5409"/>
      <w:bookmarkStart w:id="578" w:name="_Toc9080"/>
      <w:bookmarkStart w:id="579" w:name="_Toc44492556"/>
      <w:r>
        <w:rPr>
          <w:rFonts w:hint="eastAsia"/>
          <w:color w:val="000000" w:themeColor="text1"/>
          <w14:textFill>
            <w14:solidFill>
              <w14:schemeClr w14:val="tx1"/>
            </w14:solidFill>
          </w14:textFill>
        </w:rPr>
        <w:t>2.1. 承包人代表</w:t>
      </w:r>
      <w:bookmarkEnd w:id="577"/>
      <w:bookmarkEnd w:id="578"/>
      <w:bookmarkEnd w:id="579"/>
    </w:p>
    <w:p w14:paraId="0AA4A95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 承包人代表的姓名：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31B02E0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2.1.2.承包人赋予承包人代表的其他权限：</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 xml:space="preserve">。 </w:t>
      </w:r>
    </w:p>
    <w:p w14:paraId="61ABDE15">
      <w:pPr>
        <w:pStyle w:val="79"/>
        <w:ind w:firstLine="482"/>
        <w:rPr>
          <w:color w:val="000000" w:themeColor="text1"/>
          <w14:textFill>
            <w14:solidFill>
              <w14:schemeClr w14:val="tx1"/>
            </w14:solidFill>
          </w14:textFill>
        </w:rPr>
      </w:pPr>
      <w:bookmarkStart w:id="580" w:name="_Toc28717"/>
      <w:r>
        <w:rPr>
          <w:rFonts w:hint="eastAsia"/>
          <w:color w:val="000000" w:themeColor="text1"/>
          <w14:textFill>
            <w14:solidFill>
              <w14:schemeClr w14:val="tx1"/>
            </w14:solidFill>
          </w14:textFill>
        </w:rPr>
        <w:t>2.2. 承包人一般权利义务</w:t>
      </w:r>
      <w:bookmarkEnd w:id="580"/>
    </w:p>
    <w:p w14:paraId="12511026">
      <w:pPr>
        <w:pStyle w:val="79"/>
        <w:ind w:firstLine="480"/>
        <w:rPr>
          <w:b w:val="0"/>
          <w:color w:val="000000" w:themeColor="text1"/>
          <w14:textFill>
            <w14:solidFill>
              <w14:schemeClr w14:val="tx1"/>
            </w14:solidFill>
          </w14:textFill>
        </w:rPr>
      </w:pPr>
      <w:bookmarkStart w:id="581" w:name="_Toc1856"/>
      <w:bookmarkStart w:id="582" w:name="_Toc21967"/>
      <w:r>
        <w:rPr>
          <w:rFonts w:hint="eastAsia"/>
          <w:b w:val="0"/>
          <w:color w:val="000000" w:themeColor="text1"/>
          <w14:textFill>
            <w14:solidFill>
              <w14:schemeClr w14:val="tx1"/>
            </w14:solidFill>
          </w14:textFill>
        </w:rPr>
        <w:t>2.2.1</w:t>
      </w:r>
      <w:r>
        <w:rPr>
          <w:b w:val="0"/>
          <w:color w:val="000000" w:themeColor="text1"/>
          <w14:textFill>
            <w14:solidFill>
              <w14:schemeClr w14:val="tx1"/>
            </w14:solidFill>
          </w14:textFill>
        </w:rPr>
        <w:t xml:space="preserve">. </w:t>
      </w:r>
      <w:r>
        <w:rPr>
          <w:rFonts w:eastAsia="仿宋_GB2312"/>
          <w:b w:val="0"/>
          <w:color w:val="000000" w:themeColor="text1"/>
          <w14:textFill>
            <w14:solidFill>
              <w14:schemeClr w14:val="tx1"/>
            </w14:solidFill>
          </w14:textFill>
        </w:rPr>
        <w:t>经发包人书面同意</w:t>
      </w:r>
      <w:r>
        <w:rPr>
          <w:rFonts w:hint="eastAsia" w:eastAsia="仿宋_GB2312"/>
          <w:b w:val="0"/>
          <w:color w:val="000000" w:themeColor="text1"/>
          <w14:textFill>
            <w14:solidFill>
              <w14:schemeClr w14:val="tx1"/>
            </w14:solidFill>
          </w14:textFill>
        </w:rPr>
        <w:t>，承包人在实施过程中根据本工程实际情况需要有权增减部分内容。</w:t>
      </w:r>
      <w:bookmarkEnd w:id="581"/>
    </w:p>
    <w:p w14:paraId="13FD91B1">
      <w:pPr>
        <w:pStyle w:val="79"/>
        <w:ind w:firstLine="480"/>
        <w:rPr>
          <w:rFonts w:eastAsia="仿宋_GB2312"/>
          <w:b w:val="0"/>
          <w:color w:val="000000" w:themeColor="text1"/>
          <w14:textFill>
            <w14:solidFill>
              <w14:schemeClr w14:val="tx1"/>
            </w14:solidFill>
          </w14:textFill>
        </w:rPr>
      </w:pPr>
      <w:r>
        <w:rPr>
          <w:rFonts w:hint="eastAsia" w:eastAsia="仿宋_GB2312"/>
          <w:b w:val="0"/>
          <w:color w:val="000000" w:themeColor="text1"/>
          <w14:textFill>
            <w14:solidFill>
              <w14:schemeClr w14:val="tx1"/>
            </w14:solidFill>
          </w14:textFill>
        </w:rPr>
        <w:t>2.2.4. 承包人完成以下工作：</w:t>
      </w:r>
      <w:bookmarkEnd w:id="582"/>
    </w:p>
    <w:p w14:paraId="738EE9D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 通用条款第2.2.4条第1）款增加内容：设计交底后，分包人应当继续审查相关图纸中可能存在的不符合法律规定、适用标准、施工规范的任何错误、冲突，并在</w:t>
      </w:r>
      <w:r>
        <w:rPr>
          <w:color w:val="000000" w:themeColor="text1"/>
          <w:u w:val="single"/>
          <w14:textFill>
            <w14:solidFill>
              <w14:schemeClr w14:val="tx1"/>
            </w14:solidFill>
          </w14:textFill>
        </w:rPr>
        <w:t>7</w:t>
      </w:r>
      <w:r>
        <w:rPr>
          <w:rFonts w:hint="eastAsia"/>
          <w:color w:val="000000" w:themeColor="text1"/>
          <w14:textFill>
            <w14:solidFill>
              <w14:schemeClr w14:val="tx1"/>
            </w14:solidFill>
          </w14:textFill>
        </w:rPr>
        <w:t>天内以书面方式报承包人、发包人及监理人。</w:t>
      </w:r>
    </w:p>
    <w:p w14:paraId="477C7E58">
      <w:pPr>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其他由承包人完成的工作：</w:t>
      </w:r>
    </w:p>
    <w:p w14:paraId="2BB4EFE9">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分包人进场后，承包人提供水平控制线，进行现场交验。</w:t>
      </w:r>
    </w:p>
    <w:p w14:paraId="343D2204">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分包人进场后，承包人向分包人提供施工场地的工程地质和地上（下）管线资料。分包人对地上（下）管线负有保护责任，如因分包人原因造成损坏，由分包人负责维修并承担费用。</w:t>
      </w:r>
    </w:p>
    <w:p w14:paraId="68C1418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2.2.5 施</w:t>
      </w:r>
      <w:r>
        <w:rPr>
          <w:color w:val="000000" w:themeColor="text1"/>
          <w14:textFill>
            <w14:solidFill>
              <w14:schemeClr w14:val="tx1"/>
            </w14:solidFill>
          </w14:textFill>
        </w:rPr>
        <w:t>工所需水、电、电讯线路说明：</w:t>
      </w:r>
    </w:p>
    <w:p w14:paraId="7FD3742D">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）关于施工所需水、电费用的具体约定：</w:t>
      </w:r>
      <w:r>
        <w:rPr>
          <w:rFonts w:hint="eastAsia"/>
          <w:color w:val="000000" w:themeColor="text1"/>
          <w:u w:val="single"/>
          <w14:textFill>
            <w14:solidFill>
              <w14:schemeClr w14:val="tx1"/>
            </w14:solidFill>
          </w14:textFill>
        </w:rPr>
        <w:t>分包人在合同报价中综合考虑施工所需、生活区等用水、电费，费用由分包人向承包人协商支付</w:t>
      </w:r>
      <w:r>
        <w:rPr>
          <w:rFonts w:hint="eastAsia"/>
          <w:color w:val="000000" w:themeColor="text1"/>
          <w14:textFill>
            <w14:solidFill>
              <w14:schemeClr w14:val="tx1"/>
            </w14:solidFill>
          </w14:textFill>
        </w:rPr>
        <w:t>。</w:t>
      </w:r>
    </w:p>
    <w:p w14:paraId="61153C89">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2）</w:t>
      </w:r>
      <w:r>
        <w:rPr>
          <w:rFonts w:hint="eastAsia" w:ascii="Times New Roman" w:hAnsi="Times New Roman" w:eastAsia="仿宋_GB2312"/>
          <w:color w:val="000000" w:themeColor="text1"/>
          <w:kern w:val="0"/>
          <w:szCs w:val="32"/>
          <w14:textFill>
            <w14:solidFill>
              <w14:schemeClr w14:val="tx1"/>
            </w14:solidFill>
          </w14:textFill>
        </w:rPr>
        <w:t>施工场地内施工所需用水、用电、通讯的接驳地点：</w:t>
      </w:r>
    </w:p>
    <w:p w14:paraId="588855A5">
      <w:pPr>
        <w:pStyle w:val="151"/>
        <w:snapToGrid w:val="0"/>
        <w:ind w:firstLine="48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a</w:t>
      </w:r>
      <w:r>
        <w:rPr>
          <w:rFonts w:hint="eastAsia" w:ascii="Times New Roman" w:hAnsi="Times New Roman" w:eastAsia="仿宋_GB2312" w:cs="Times New Roman"/>
          <w:color w:val="000000" w:themeColor="text1"/>
          <w:szCs w:val="32"/>
          <w14:textFill>
            <w14:solidFill>
              <w14:schemeClr w14:val="tx1"/>
            </w14:solidFill>
          </w14:textFill>
        </w:rPr>
        <w:t>）施工场地内施工所需水的接驳地点：发包人已将施工所需用水接驳点提供给承包人，承包人负责提供施工所需用水接驳口，由分包人自行负责从接驳口接出水表、阀门及管道设备等；如现有施工用水指标无法满足施工要求，由分包人自行解决。</w:t>
      </w:r>
    </w:p>
    <w:p w14:paraId="4747DDC8">
      <w:pPr>
        <w:pStyle w:val="151"/>
        <w:snapToGrid w:val="0"/>
        <w:ind w:firstLine="48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b</w:t>
      </w:r>
      <w:r>
        <w:rPr>
          <w:rFonts w:hint="eastAsia" w:ascii="Times New Roman" w:hAnsi="Times New Roman" w:eastAsia="仿宋_GB2312" w:cs="Times New Roman"/>
          <w:color w:val="000000" w:themeColor="text1"/>
          <w:szCs w:val="32"/>
          <w14:textFill>
            <w14:solidFill>
              <w14:schemeClr w14:val="tx1"/>
            </w14:solidFill>
          </w14:textFill>
        </w:rPr>
        <w:t>）施工场地内所需雨污水接驳地点：发包人已将施工所需雨污水接驳点提供给承包人，承包人负责提供施工所需雨污水接驳口，由分包人自行负责从接驳口接出管道设备等。</w:t>
      </w:r>
    </w:p>
    <w:p w14:paraId="17A769B5">
      <w:pPr>
        <w:pStyle w:val="151"/>
        <w:ind w:firstLine="48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c</w:t>
      </w:r>
      <w:r>
        <w:rPr>
          <w:rFonts w:hint="eastAsia" w:ascii="Times New Roman" w:hAnsi="Times New Roman" w:eastAsia="仿宋_GB2312" w:cs="Times New Roman"/>
          <w:color w:val="000000" w:themeColor="text1"/>
          <w:szCs w:val="32"/>
          <w14:textFill>
            <w14:solidFill>
              <w14:schemeClr w14:val="tx1"/>
            </w14:solidFill>
          </w14:textFill>
        </w:rPr>
        <w:t>）施工场地内施工所需电的接驳地点：发包人已将施工所需用电接驳点提供给承包人，承包人负责提供施工所需用电接驳口，由分包人自行负责从接驳口接出电表、电箱及电缆设备等；分包人自行考虑备用的发电机组设备，以保证偶然停电或承包人未能及时提供接驳口情况下施工能正常进行（承包人不另行额外支付）。如因施工高峰期或者抢工中，临时施工用电容量不够，则增容由承包方自行解决。</w:t>
      </w:r>
    </w:p>
    <w:p w14:paraId="3F66586E">
      <w:pPr>
        <w:pStyle w:val="151"/>
        <w:ind w:firstLine="48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d</w:t>
      </w:r>
      <w:r>
        <w:rPr>
          <w:rFonts w:hint="eastAsia" w:ascii="Times New Roman" w:hAnsi="Times New Roman" w:eastAsia="仿宋_GB2312" w:cs="Times New Roman"/>
          <w:color w:val="000000" w:themeColor="text1"/>
          <w:szCs w:val="32"/>
          <w14:textFill>
            <w14:solidFill>
              <w14:schemeClr w14:val="tx1"/>
            </w14:solidFill>
          </w14:textFill>
        </w:rPr>
        <w:t>）施工场地内施工所需通讯的接驳地点：承包人负责施工场内通讯条件，分包人自行协商解决通讯设施使用、费用相关问题。</w:t>
      </w:r>
    </w:p>
    <w:p w14:paraId="193B246C">
      <w:pPr>
        <w:pStyle w:val="151"/>
        <w:ind w:firstLine="48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e</w:t>
      </w:r>
      <w:r>
        <w:rPr>
          <w:rFonts w:hint="eastAsia" w:ascii="Times New Roman" w:hAnsi="Times New Roman" w:eastAsia="仿宋_GB2312" w:cs="Times New Roman"/>
          <w:color w:val="000000" w:themeColor="text1"/>
          <w:szCs w:val="32"/>
          <w14:textFill>
            <w14:solidFill>
              <w14:schemeClr w14:val="tx1"/>
            </w14:solidFill>
          </w14:textFill>
        </w:rPr>
        <w:t>）现场发生的施工及生活等一切用水、用电费用由分包人向承包人交纳；分包人如建设食堂，排污相关费用自行负责与水务环保部门沟通；上述有关费用已包含在合同价款中，发包人不另行计价支付。</w:t>
      </w:r>
    </w:p>
    <w:p w14:paraId="3000E156">
      <w:pPr>
        <w:pStyle w:val="56"/>
        <w:ind w:firstLine="482"/>
        <w:rPr>
          <w:color w:val="000000" w:themeColor="text1"/>
          <w14:textFill>
            <w14:solidFill>
              <w14:schemeClr w14:val="tx1"/>
            </w14:solidFill>
          </w14:textFill>
        </w:rPr>
      </w:pPr>
      <w:bookmarkStart w:id="583" w:name="_Toc18813"/>
      <w:r>
        <w:rPr>
          <w:rFonts w:hint="eastAsia"/>
          <w:b/>
          <w:color w:val="000000" w:themeColor="text1"/>
          <w14:textFill>
            <w14:solidFill>
              <w14:schemeClr w14:val="tx1"/>
            </w14:solidFill>
          </w14:textFill>
        </w:rPr>
        <w:t>2.2.6. 承包人委托分包人办理的工作</w:t>
      </w:r>
      <w:r>
        <w:rPr>
          <w:rFonts w:hint="eastAsia"/>
          <w:color w:val="000000" w:themeColor="text1"/>
          <w14:textFill>
            <w14:solidFill>
              <w14:schemeClr w14:val="tx1"/>
            </w14:solidFill>
          </w14:textFill>
        </w:rPr>
        <w:t>（包括但不限于）</w:t>
      </w:r>
      <w:r>
        <w:rPr>
          <w:rFonts w:hint="eastAsia"/>
          <w:b/>
          <w:color w:val="000000" w:themeColor="text1"/>
          <w14:textFill>
            <w14:solidFill>
              <w14:schemeClr w14:val="tx1"/>
            </w14:solidFill>
          </w14:textFill>
        </w:rPr>
        <w:t>：</w:t>
      </w:r>
      <w:bookmarkEnd w:id="583"/>
    </w:p>
    <w:p w14:paraId="61B1F73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1）负责办理本合同范围内工程开工至竣工验收所必须的行政许可、报审、报批、报备等手续（如需）。</w:t>
      </w:r>
    </w:p>
    <w:p w14:paraId="6A49C1F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2）与承包人协助发包人办理相关设计图纸的审核、审查、备案及项目的报批、报建、验收等相关手续。</w:t>
      </w:r>
    </w:p>
    <w:p w14:paraId="0CFB616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3）负责协调本工程施工相关的职能部门、单位及周边在建其他</w:t>
      </w:r>
      <w:r>
        <w:rPr>
          <w:color w:val="000000" w:themeColor="text1"/>
          <w14:textFill>
            <w14:solidFill>
              <w14:schemeClr w14:val="tx1"/>
            </w14:solidFill>
          </w14:textFill>
        </w:rPr>
        <w:t>工程</w:t>
      </w:r>
      <w:r>
        <w:rPr>
          <w:rFonts w:hint="eastAsia"/>
          <w:color w:val="000000" w:themeColor="text1"/>
          <w14:textFill>
            <w14:solidFill>
              <w14:schemeClr w14:val="tx1"/>
            </w14:solidFill>
          </w14:textFill>
        </w:rPr>
        <w:t>，包括且不限于：街道居委、公安派出所、建设管理部门、城管部门、交通部门、质量安全监督等；协调事项包括不限于：环境清理、市容维护、交通、噪音、民扰调停等工作。</w:t>
      </w:r>
    </w:p>
    <w:p w14:paraId="76C918E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4）分包人完成以上工作内容所需的一切费用均包含在合同价款其他措施费用中。</w:t>
      </w:r>
    </w:p>
    <w:p w14:paraId="39CDA1C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承包人应向分包人提供一份总包合同(有关承包工程的价格内容除外)的副本或复印件。分包人应全面了解总包合同的各项规定(有关承包工程的价格内容除外)。</w:t>
      </w:r>
    </w:p>
    <w:p w14:paraId="1EF672F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2.2.8.除本合同条款另有约定，分包人应履行并承担总包合同中与分包工程有关的分包人的所有义务与责任，同时应避免因分包人自身行为或疏漏造成承包人违反总包合同中约定的承包人义务的情况发生。</w:t>
      </w:r>
    </w:p>
    <w:p w14:paraId="6CB9663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2.2.9.分包人须服从承包人、发包人有关的指令。分包人提交文件、资料原则上应先由承包人审核后（</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个工作日内），再由承包人报送发包人。</w:t>
      </w:r>
    </w:p>
    <w:p w14:paraId="351FFFAF">
      <w:pPr>
        <w:pStyle w:val="93"/>
        <w:ind w:firstLine="420"/>
        <w:rPr>
          <w:rFonts w:ascii="Times New Roman" w:hAnsi="Times New Roman" w:eastAsia="黑体"/>
          <w:color w:val="000000" w:themeColor="text1"/>
          <w:szCs w:val="32"/>
          <w14:textFill>
            <w14:solidFill>
              <w14:schemeClr w14:val="tx1"/>
            </w14:solidFill>
          </w14:textFill>
        </w:rPr>
      </w:pPr>
      <w:bookmarkStart w:id="584" w:name="_Toc44492557"/>
      <w:r>
        <w:rPr>
          <w:rFonts w:hint="eastAsia" w:ascii="仿宋_GB2312" w:hAnsi="Times New Roman" w:eastAsia="仿宋_GB2312"/>
          <w:color w:val="000000" w:themeColor="text1"/>
          <w14:textFill>
            <w14:solidFill>
              <w14:schemeClr w14:val="tx1"/>
            </w14:solidFill>
          </w14:textFill>
        </w:rPr>
        <w:t>2.</w:t>
      </w:r>
      <w:r>
        <w:rPr>
          <w:rFonts w:ascii="仿宋_GB2312" w:hAnsi="Times New Roman" w:eastAsia="仿宋_GB2312"/>
          <w:color w:val="000000" w:themeColor="text1"/>
          <w14:textFill>
            <w14:solidFill>
              <w14:schemeClr w14:val="tx1"/>
            </w14:solidFill>
          </w14:textFill>
        </w:rPr>
        <w:t>3</w:t>
      </w:r>
      <w:r>
        <w:rPr>
          <w:rFonts w:hint="eastAsia" w:ascii="Times New Roman" w:hAnsi="Times New Roman" w:eastAsia="黑体"/>
          <w:color w:val="000000" w:themeColor="text1"/>
          <w:szCs w:val="32"/>
          <w14:textFill>
            <w14:solidFill>
              <w14:schemeClr w14:val="tx1"/>
            </w14:solidFill>
          </w14:textFill>
        </w:rPr>
        <w:t>检查配合工作</w:t>
      </w:r>
      <w:bookmarkEnd w:id="584"/>
    </w:p>
    <w:p w14:paraId="2677EAA3">
      <w:pPr>
        <w:pStyle w:val="56"/>
        <w:ind w:firstLine="484" w:firstLineChars="202"/>
        <w:rPr>
          <w:color w:val="000000" w:themeColor="text1"/>
          <w14:textFill>
            <w14:solidFill>
              <w14:schemeClr w14:val="tx1"/>
            </w14:solidFill>
          </w14:textFill>
        </w:rPr>
      </w:pPr>
      <w:r>
        <w:rPr>
          <w:color w:val="000000" w:themeColor="text1"/>
          <w14:textFill>
            <w14:solidFill>
              <w14:schemeClr w14:val="tx1"/>
            </w14:solidFill>
          </w14:textFill>
        </w:rPr>
        <w:t>2.3</w:t>
      </w:r>
      <w:r>
        <w:rPr>
          <w:rFonts w:hint="eastAsia"/>
          <w:color w:val="000000" w:themeColor="text1"/>
          <w14:textFill>
            <w14:solidFill>
              <w14:schemeClr w14:val="tx1"/>
            </w14:solidFill>
          </w14:textFill>
        </w:rPr>
        <w:t>.1 发包人将根据合同情况自主或引入第三方质量、安全等评估单位进行现场检查，检查内容包括但不限于现场实测实量、质量及安全风险、现场管理行为、安全文明、资料、人员等。承包人、分包人需对发包人下发的评价体系充分掌握、内部宣讲，并配合现场检查；发包人将按需对检查结果进行公布、下发整改单、排名及通报批评；必要时根据发包人的管理需要，可在通报栏处增加分包人董事长相片及姓名信息。</w:t>
      </w:r>
    </w:p>
    <w:p w14:paraId="3C3D2447">
      <w:pPr>
        <w:pStyle w:val="77"/>
        <w:rPr>
          <w:color w:val="000000" w:themeColor="text1"/>
          <w14:textFill>
            <w14:solidFill>
              <w14:schemeClr w14:val="tx1"/>
            </w14:solidFill>
          </w14:textFill>
        </w:rPr>
      </w:pPr>
      <w:bookmarkStart w:id="585" w:name="_Toc44492558"/>
      <w:bookmarkStart w:id="586" w:name="_Toc44228155"/>
      <w:bookmarkStart w:id="587" w:name="_Toc38987272"/>
      <w:bookmarkStart w:id="588" w:name="_Toc8075"/>
      <w:bookmarkStart w:id="589" w:name="_Toc16467"/>
      <w:bookmarkStart w:id="590" w:name="_Toc30903"/>
      <w:bookmarkStart w:id="591" w:name="_Toc91082436"/>
      <w:r>
        <w:rPr>
          <w:rFonts w:hint="eastAsia"/>
          <w:color w:val="000000" w:themeColor="text1"/>
          <w14:textFill>
            <w14:solidFill>
              <w14:schemeClr w14:val="tx1"/>
            </w14:solidFill>
          </w14:textFill>
        </w:rPr>
        <w:t>3.监理人及造价咨询人</w:t>
      </w:r>
      <w:bookmarkEnd w:id="585"/>
      <w:bookmarkEnd w:id="586"/>
      <w:bookmarkEnd w:id="587"/>
      <w:bookmarkEnd w:id="588"/>
      <w:bookmarkEnd w:id="589"/>
      <w:bookmarkEnd w:id="590"/>
      <w:bookmarkEnd w:id="591"/>
    </w:p>
    <w:p w14:paraId="6CCA861F">
      <w:pPr>
        <w:pStyle w:val="81"/>
        <w:ind w:firstLine="480"/>
        <w:rPr>
          <w:color w:val="000000" w:themeColor="text1"/>
          <w14:textFill>
            <w14:solidFill>
              <w14:schemeClr w14:val="tx1"/>
            </w14:solidFill>
          </w14:textFill>
        </w:rPr>
      </w:pPr>
      <w:bookmarkStart w:id="592" w:name="_Toc22118"/>
      <w:bookmarkStart w:id="593" w:name="_Toc20538"/>
      <w:bookmarkStart w:id="594" w:name="_Toc44492559"/>
      <w:r>
        <w:rPr>
          <w:rFonts w:hint="eastAsia"/>
          <w:color w:val="000000" w:themeColor="text1"/>
          <w14:textFill>
            <w14:solidFill>
              <w14:schemeClr w14:val="tx1"/>
            </w14:solidFill>
          </w14:textFill>
        </w:rPr>
        <w:t xml:space="preserve">3.1. </w:t>
      </w:r>
      <w:bookmarkEnd w:id="592"/>
      <w:bookmarkEnd w:id="593"/>
      <w:bookmarkEnd w:id="594"/>
      <w:r>
        <w:rPr>
          <w:rFonts w:hint="eastAsia"/>
          <w:color w:val="000000" w:themeColor="text1"/>
          <w14:textFill>
            <w14:solidFill>
              <w14:schemeClr w14:val="tx1"/>
            </w14:solidFill>
          </w14:textFill>
        </w:rPr>
        <w:t>监理人</w:t>
      </w:r>
    </w:p>
    <w:p w14:paraId="6AB0E04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 总监理工程师的姓名：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1D9394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 发包人另行委托的职权：</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 xml:space="preserve">。 </w:t>
      </w:r>
    </w:p>
    <w:p w14:paraId="42B7C25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 监理人需要取得发包人批准才能行使的其他职权为：</w:t>
      </w:r>
      <w:r>
        <w:rPr>
          <w:rFonts w:hint="eastAsia"/>
          <w:color w:val="000000" w:themeColor="text1"/>
          <w:u w:val="single"/>
          <w14:textFill>
            <w14:solidFill>
              <w14:schemeClr w14:val="tx1"/>
            </w14:solidFill>
          </w14:textFill>
        </w:rPr>
        <w:t xml:space="preserve"> 按监理委托合同约定执行 </w:t>
      </w:r>
      <w:r>
        <w:rPr>
          <w:rFonts w:hint="eastAsia"/>
          <w:color w:val="000000" w:themeColor="text1"/>
          <w14:textFill>
            <w14:solidFill>
              <w14:schemeClr w14:val="tx1"/>
            </w14:solidFill>
          </w14:textFill>
        </w:rPr>
        <w:t>。</w:t>
      </w:r>
    </w:p>
    <w:p w14:paraId="123A3A3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 xml:space="preserve"> 监理人管理要求：</w:t>
      </w:r>
    </w:p>
    <w:p w14:paraId="2F4DC542">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1）分包人应服从监理人在进度控制、质量控制和安全管理的要求。按时参加监理人主持召开的监理例会和专题会，严格按照承包人、监理人批准的施工方案进行施工，并按照监理人的要求对方案进行必要的修改或修正。按时参加由监理人组织的工程质量抽查和质量管理考评，对施工中出现的重大质量问题进行会审和制定解决方案。</w:t>
      </w:r>
    </w:p>
    <w:p w14:paraId="4F588922">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（2）按时参加由监理人组织的安全生产检查和安全管理考评，对发现的重大安全隐患、重大危险源及时制定整改措施。执行监理人提出的整改、返工、停工指令，充分履行责任，全面贯彻和执行监理人的指令。</w:t>
      </w:r>
    </w:p>
    <w:p w14:paraId="18A79BA9">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（4）分包人的质量保证体系，专职管理人员和特种作业人员的资格证、上岗证以及分包队伍的资质报发包人、承包人、监理人审核确认。</w:t>
      </w:r>
    </w:p>
    <w:p w14:paraId="1062A380">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（5）分包人的施工组织设计、施工进度计划及专项施工方案应报承包人、监理人审核确认。</w:t>
      </w:r>
    </w:p>
    <w:p w14:paraId="5C25761E">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（6）分包人使用材料的品牌资料应报发包人、承包人、监理人确认：</w:t>
      </w:r>
    </w:p>
    <w:p w14:paraId="6ED4917F">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（7）分包人施工完成并自检合格后，应及时填写分部 (子分部)工程报验申请表，并附子分部验收记录表、报承包人、监理人单位确认。</w:t>
      </w:r>
    </w:p>
    <w:p w14:paraId="536FCA15">
      <w:pPr>
        <w:pStyle w:val="81"/>
        <w:ind w:firstLine="480"/>
        <w:rPr>
          <w:color w:val="000000" w:themeColor="text1"/>
          <w14:textFill>
            <w14:solidFill>
              <w14:schemeClr w14:val="tx1"/>
            </w14:solidFill>
          </w14:textFill>
        </w:rPr>
      </w:pPr>
      <w:bookmarkStart w:id="595" w:name="_Toc5085"/>
      <w:bookmarkStart w:id="596" w:name="_Toc17131"/>
      <w:bookmarkStart w:id="597" w:name="_Toc44492560"/>
      <w:r>
        <w:rPr>
          <w:rFonts w:hint="eastAsia"/>
          <w:color w:val="000000" w:themeColor="text1"/>
          <w14:textFill>
            <w14:solidFill>
              <w14:schemeClr w14:val="tx1"/>
            </w14:solidFill>
          </w14:textFill>
        </w:rPr>
        <w:t>3.2监理人的指示</w:t>
      </w:r>
    </w:p>
    <w:p w14:paraId="791C8220">
      <w:pPr>
        <w:pStyle w:val="81"/>
        <w:ind w:firstLine="420"/>
        <w:rPr>
          <w:rFonts w:eastAsia="仿宋_GB2312"/>
          <w:color w:val="000000" w:themeColor="text1"/>
          <w:kern w:val="0"/>
          <w:sz w:val="21"/>
          <w14:textFill>
            <w14:solidFill>
              <w14:schemeClr w14:val="tx1"/>
            </w14:solidFill>
          </w14:textFill>
        </w:rPr>
      </w:pPr>
      <w:r>
        <w:rPr>
          <w:rFonts w:hint="eastAsia" w:eastAsia="仿宋_GB2312"/>
          <w:color w:val="000000" w:themeColor="text1"/>
          <w:kern w:val="0"/>
          <w:sz w:val="21"/>
          <w14:textFill>
            <w14:solidFill>
              <w14:schemeClr w14:val="tx1"/>
            </w14:solidFill>
          </w14:textFill>
        </w:rPr>
        <w:t>3.2.2. 补充：分包人进场后发包人应向分包人提供《监理合同》并办理收发记录。若发包人未及时向分包人提供《监理合同》的，分包人有义务根据本合同3.2条约定向发包人索要相关资料。</w:t>
      </w:r>
    </w:p>
    <w:p w14:paraId="1C0D8A47">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 造价咨询人</w:t>
      </w:r>
      <w:bookmarkEnd w:id="595"/>
      <w:bookmarkEnd w:id="596"/>
      <w:bookmarkEnd w:id="597"/>
    </w:p>
    <w:p w14:paraId="091FCE9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3.3.1. 造价咨询人单位名称：</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4B6D492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 发包人委托的职权：</w:t>
      </w:r>
      <w:r>
        <w:rPr>
          <w:rFonts w:hint="eastAsia"/>
          <w:color w:val="000000" w:themeColor="text1"/>
          <w:u w:val="single"/>
          <w14:textFill>
            <w14:solidFill>
              <w14:schemeClr w14:val="tx1"/>
            </w14:solidFill>
          </w14:textFill>
        </w:rPr>
        <w:t>详《珠江新城A3-3（B）地块项目造价咨询服务合同》有关约定</w:t>
      </w:r>
      <w:r>
        <w:rPr>
          <w:rFonts w:hint="eastAsia"/>
          <w:color w:val="000000" w:themeColor="text1"/>
          <w14:textFill>
            <w14:solidFill>
              <w14:schemeClr w14:val="tx1"/>
            </w14:solidFill>
          </w14:textFill>
        </w:rPr>
        <w:t xml:space="preserve">。 </w:t>
      </w:r>
    </w:p>
    <w:p w14:paraId="37E1F950">
      <w:pPr>
        <w:pStyle w:val="77"/>
        <w:rPr>
          <w:color w:val="000000" w:themeColor="text1"/>
          <w14:textFill>
            <w14:solidFill>
              <w14:schemeClr w14:val="tx1"/>
            </w14:solidFill>
          </w14:textFill>
        </w:rPr>
      </w:pPr>
      <w:bookmarkStart w:id="598" w:name="_Toc38987273"/>
      <w:bookmarkStart w:id="599" w:name="_Toc19988"/>
      <w:bookmarkStart w:id="600" w:name="_Toc44228156"/>
      <w:bookmarkStart w:id="601" w:name="_Toc16975"/>
      <w:bookmarkStart w:id="602" w:name="_Toc44492561"/>
      <w:bookmarkStart w:id="603" w:name="_Toc24371"/>
      <w:bookmarkStart w:id="604" w:name="_Toc91082437"/>
      <w:r>
        <w:rPr>
          <w:rFonts w:hint="eastAsia"/>
          <w:color w:val="000000" w:themeColor="text1"/>
          <w14:textFill>
            <w14:solidFill>
              <w14:schemeClr w14:val="tx1"/>
            </w14:solidFill>
          </w14:textFill>
        </w:rPr>
        <w:t>4.</w:t>
      </w:r>
      <w:bookmarkEnd w:id="598"/>
      <w:bookmarkEnd w:id="599"/>
      <w:bookmarkEnd w:id="600"/>
      <w:bookmarkEnd w:id="601"/>
      <w:bookmarkEnd w:id="602"/>
      <w:bookmarkEnd w:id="603"/>
      <w:r>
        <w:rPr>
          <w:rFonts w:hint="eastAsia"/>
          <w:color w:val="000000" w:themeColor="text1"/>
          <w14:textFill>
            <w14:solidFill>
              <w14:schemeClr w14:val="tx1"/>
            </w14:solidFill>
          </w14:textFill>
        </w:rPr>
        <w:t>分包人</w:t>
      </w:r>
      <w:bookmarkEnd w:id="604"/>
    </w:p>
    <w:p w14:paraId="70A41859">
      <w:pPr>
        <w:pStyle w:val="81"/>
        <w:ind w:firstLine="480"/>
        <w:rPr>
          <w:color w:val="000000" w:themeColor="text1"/>
          <w14:textFill>
            <w14:solidFill>
              <w14:schemeClr w14:val="tx1"/>
            </w14:solidFill>
          </w14:textFill>
        </w:rPr>
      </w:pPr>
      <w:bookmarkStart w:id="605" w:name="_Toc12934"/>
      <w:bookmarkStart w:id="606" w:name="_Toc19631"/>
      <w:bookmarkStart w:id="607" w:name="_Toc44492562"/>
      <w:r>
        <w:rPr>
          <w:rFonts w:hint="eastAsia"/>
          <w:color w:val="000000" w:themeColor="text1"/>
          <w14:textFill>
            <w14:solidFill>
              <w14:schemeClr w14:val="tx1"/>
            </w14:solidFill>
          </w14:textFill>
        </w:rPr>
        <w:t xml:space="preserve">4.1 </w:t>
      </w:r>
      <w:bookmarkEnd w:id="605"/>
      <w:bookmarkEnd w:id="606"/>
      <w:r>
        <w:rPr>
          <w:rFonts w:hint="eastAsia"/>
          <w:color w:val="000000" w:themeColor="text1"/>
          <w14:textFill>
            <w14:solidFill>
              <w14:schemeClr w14:val="tx1"/>
            </w14:solidFill>
          </w14:textFill>
        </w:rPr>
        <w:t>分包人的一般</w:t>
      </w:r>
      <w:r>
        <w:rPr>
          <w:color w:val="000000" w:themeColor="text1"/>
          <w14:textFill>
            <w14:solidFill>
              <w14:schemeClr w14:val="tx1"/>
            </w14:solidFill>
          </w14:textFill>
        </w:rPr>
        <w:t>义务</w:t>
      </w:r>
      <w:bookmarkEnd w:id="607"/>
    </w:p>
    <w:p w14:paraId="5102E550">
      <w:pPr>
        <w:pStyle w:val="79"/>
        <w:ind w:firstLine="482"/>
        <w:rPr>
          <w:color w:val="000000" w:themeColor="text1"/>
          <w14:textFill>
            <w14:solidFill>
              <w14:schemeClr w14:val="tx1"/>
            </w14:solidFill>
          </w14:textFill>
        </w:rPr>
      </w:pPr>
      <w:bookmarkStart w:id="608" w:name="_Toc19231"/>
      <w:r>
        <w:rPr>
          <w:rFonts w:hint="eastAsia"/>
          <w:color w:val="000000" w:themeColor="text1"/>
          <w14:textFill>
            <w14:solidFill>
              <w14:schemeClr w14:val="tx1"/>
            </w14:solidFill>
          </w14:textFill>
        </w:rPr>
        <w:t>4.1.1.完成以下各项承包工作：</w:t>
      </w:r>
      <w:bookmarkEnd w:id="608"/>
    </w:p>
    <w:p w14:paraId="1EB0BE3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3）对分包人工作的补充约定如下：</w:t>
      </w:r>
    </w:p>
    <w:p w14:paraId="015EB924">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A.</w:t>
      </w:r>
      <w:r>
        <w:rPr>
          <w:rFonts w:hint="eastAsia" w:ascii="Times New Roman" w:hAnsi="Times New Roman" w:eastAsia="仿宋_GB2312"/>
          <w:b/>
          <w:color w:val="000000" w:themeColor="text1"/>
          <w:kern w:val="0"/>
          <w:szCs w:val="32"/>
          <w14:textFill>
            <w14:solidFill>
              <w14:schemeClr w14:val="tx1"/>
            </w14:solidFill>
          </w14:textFill>
        </w:rPr>
        <w:t>幕墙工程的深化设计</w:t>
      </w:r>
    </w:p>
    <w:p w14:paraId="14A3DB7D">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分包人需在深入理解设计意图后，对本工程范围进行施工深化设计，以满足实际施工需要。施工深化设计内容包括详细的幕墙结构计算书</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应包括面材至主体结构连接的所有构件计算</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，热工计算书，图纸封面，目录，幕墙深化设计说明，幕墙深化图纸及送审等，具体工作包括但不限于</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本项目用到的材料表</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包括主要杆件钢材和所有型材断面图以及幕墙表面材料的种类清单等</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幕墙整体平立、剖面图、展开图，幕墙局部平、立、剖面图、展开图，幕墙系统本身的安装节点详图，标准位置的详图，转角位置的详图，特殊位置的详图，复杂位置的三维立体放样图，幕墙施工样板图纸，幕墙性能试验样板图纸，幕墙各系统之间交界的安装节点详图，幕墙埋件图包括后补埋件，所有与相邻作业交接面的安装节点详图及各类收口节点详图，幕墙装饰完成面与室外地坪处的收口节点，幕墙装饰完成面与屋顶或女儿墙的收口节点，层间防火及防火分区防火封堵深化设计，防雷节点及配合幕墙泛光照明、光储直柔、室内装饰的相关设计等，原则上图纸应绘制涵盖所有的与幕墙相关的内容或相邻作业交接面内容。</w:t>
      </w:r>
    </w:p>
    <w:p w14:paraId="24AE42E3">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深化设计完成后，发包人根据需要组织专家评审、送交发包人或发包人委托的第三方机构审查。以上发生的相关费用包括专家评审费已包含在投标报价</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签约合同价</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中，结算时不予调整。</w:t>
      </w:r>
    </w:p>
    <w:p w14:paraId="0D7EF6EE">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因深化施工图送审批准滞后而导致的工期损失，分包人应采取补救措施达到满足项目整体工期的要求，分包人不得以此为由提出工期或费用索赔。</w:t>
      </w:r>
    </w:p>
    <w:p w14:paraId="275E1C27">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B.</w:t>
      </w:r>
      <w:r>
        <w:rPr>
          <w:rFonts w:hint="eastAsia" w:ascii="Times New Roman" w:hAnsi="Times New Roman" w:eastAsia="仿宋_GB2312"/>
          <w:b/>
          <w:color w:val="000000" w:themeColor="text1"/>
          <w:kern w:val="0"/>
          <w:szCs w:val="32"/>
          <w14:textFill>
            <w14:solidFill>
              <w14:schemeClr w14:val="tx1"/>
            </w14:solidFill>
          </w14:textFill>
        </w:rPr>
        <w:t>项目组织架构申报</w:t>
      </w:r>
    </w:p>
    <w:p w14:paraId="3B183614">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分包人在中标通知书下发后</w:t>
      </w:r>
      <w:r>
        <w:rPr>
          <w:rFonts w:ascii="Times New Roman" w:hAnsi="Times New Roman" w:eastAsia="仿宋_GB2312"/>
          <w:color w:val="000000" w:themeColor="text1"/>
          <w:kern w:val="0"/>
          <w:szCs w:val="32"/>
          <w14:textFill>
            <w14:solidFill>
              <w14:schemeClr w14:val="tx1"/>
            </w14:solidFill>
          </w14:textFill>
        </w:rPr>
        <w:t>15</w:t>
      </w:r>
      <w:r>
        <w:rPr>
          <w:rFonts w:hint="eastAsia" w:ascii="Times New Roman" w:hAnsi="Times New Roman" w:eastAsia="仿宋_GB2312"/>
          <w:color w:val="000000" w:themeColor="text1"/>
          <w:kern w:val="0"/>
          <w:szCs w:val="32"/>
          <w14:textFill>
            <w14:solidFill>
              <w14:schemeClr w14:val="tx1"/>
            </w14:solidFill>
          </w14:textFill>
        </w:rPr>
        <w:t>日内完成项目人员组织架构组建，且主要施工管理人员必须到场，同时向发包人、承包人、监理人提供主要施工管理人员职称证书、执业证书、业绩证明、单位社保等证件复印件（加盖公章，验原件收复印件），其余管理人员根据承包人提出需求后</w:t>
      </w:r>
      <w:r>
        <w:rPr>
          <w:rFonts w:ascii="Times New Roman" w:hAnsi="Times New Roman" w:eastAsia="仿宋_GB2312"/>
          <w:color w:val="000000" w:themeColor="text1"/>
          <w:kern w:val="0"/>
          <w:szCs w:val="32"/>
          <w14:textFill>
            <w14:solidFill>
              <w14:schemeClr w14:val="tx1"/>
            </w14:solidFill>
          </w14:textFill>
        </w:rPr>
        <w:t>7</w:t>
      </w:r>
      <w:r>
        <w:rPr>
          <w:rFonts w:hint="eastAsia" w:ascii="Times New Roman" w:hAnsi="Times New Roman" w:eastAsia="仿宋_GB2312"/>
          <w:color w:val="000000" w:themeColor="text1"/>
          <w:kern w:val="0"/>
          <w:szCs w:val="32"/>
          <w14:textFill>
            <w14:solidFill>
              <w14:schemeClr w14:val="tx1"/>
            </w14:solidFill>
          </w14:textFill>
        </w:rPr>
        <w:t>日内全部到场。</w:t>
      </w:r>
    </w:p>
    <w:p w14:paraId="6587B4DC">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C.</w:t>
      </w:r>
      <w:r>
        <w:rPr>
          <w:rFonts w:hint="eastAsia" w:ascii="Times New Roman" w:hAnsi="Times New Roman" w:eastAsia="仿宋_GB2312"/>
          <w:b/>
          <w:color w:val="000000" w:themeColor="text1"/>
          <w:kern w:val="0"/>
          <w:szCs w:val="32"/>
          <w14:textFill>
            <w14:solidFill>
              <w14:schemeClr w14:val="tx1"/>
            </w14:solidFill>
          </w14:textFill>
        </w:rPr>
        <w:t>管理体系申报</w:t>
      </w:r>
    </w:p>
    <w:p w14:paraId="79C3CE2C">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分包人在中标通知书下发后</w:t>
      </w:r>
      <w:r>
        <w:rPr>
          <w:rFonts w:ascii="Times New Roman" w:hAnsi="Times New Roman" w:eastAsia="仿宋_GB2312"/>
          <w:color w:val="000000" w:themeColor="text1"/>
          <w:kern w:val="0"/>
          <w:szCs w:val="32"/>
          <w14:textFill>
            <w14:solidFill>
              <w14:schemeClr w14:val="tx1"/>
            </w14:solidFill>
          </w14:textFill>
        </w:rPr>
        <w:t>30</w:t>
      </w:r>
      <w:r>
        <w:rPr>
          <w:rFonts w:hint="eastAsia" w:ascii="Times New Roman" w:hAnsi="Times New Roman" w:eastAsia="仿宋_GB2312"/>
          <w:color w:val="000000" w:themeColor="text1"/>
          <w:kern w:val="0"/>
          <w:szCs w:val="32"/>
          <w14:textFill>
            <w14:solidFill>
              <w14:schemeClr w14:val="tx1"/>
            </w14:solidFill>
          </w14:textFill>
        </w:rPr>
        <w:t>日内结合本项目的目标、标准及特点，制定并上报项目质量管理体系、安全及文明施工管理体系、进度管控体系以及相应的管理措施，经承包人及监理人审批通过后执行。</w:t>
      </w:r>
    </w:p>
    <w:p w14:paraId="39D3A89E">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D.</w:t>
      </w:r>
      <w:r>
        <w:rPr>
          <w:rFonts w:hint="eastAsia" w:ascii="Times New Roman" w:hAnsi="Times New Roman" w:eastAsia="仿宋_GB2312"/>
          <w:b/>
          <w:color w:val="000000" w:themeColor="text1"/>
          <w:kern w:val="0"/>
          <w:szCs w:val="32"/>
          <w14:textFill>
            <w14:solidFill>
              <w14:schemeClr w14:val="tx1"/>
            </w14:solidFill>
          </w14:textFill>
        </w:rPr>
        <w:t>开工准备</w:t>
      </w:r>
    </w:p>
    <w:p w14:paraId="2EC3F269">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分包人各阶段计划工期开工前</w:t>
      </w:r>
      <w:r>
        <w:rPr>
          <w:rFonts w:ascii="Times New Roman" w:hAnsi="Times New Roman" w:eastAsia="仿宋_GB2312"/>
          <w:color w:val="000000" w:themeColor="text1"/>
          <w:kern w:val="0"/>
          <w:szCs w:val="32"/>
          <w14:textFill>
            <w14:solidFill>
              <w14:schemeClr w14:val="tx1"/>
            </w14:solidFill>
          </w14:textFill>
        </w:rPr>
        <w:t>7</w:t>
      </w:r>
      <w:r>
        <w:rPr>
          <w:rFonts w:hint="eastAsia" w:ascii="Times New Roman" w:hAnsi="Times New Roman" w:eastAsia="仿宋_GB2312"/>
          <w:color w:val="000000" w:themeColor="text1"/>
          <w:kern w:val="0"/>
          <w:szCs w:val="32"/>
          <w14:textFill>
            <w14:solidFill>
              <w14:schemeClr w14:val="tx1"/>
            </w14:solidFill>
          </w14:textFill>
        </w:rPr>
        <w:t>日内需根据承包人需求保证开工所需的工人、机械设备及材料到场，具备实质性开工条件，同时向承包人、监理人提供技术工人上岗证、操作证及大型设备年审证等证件复印件（加盖公章，验原件收复印件）。</w:t>
      </w:r>
    </w:p>
    <w:p w14:paraId="3A89420F">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E.</w:t>
      </w:r>
      <w:r>
        <w:rPr>
          <w:rFonts w:hint="eastAsia" w:ascii="Times New Roman" w:hAnsi="Times New Roman" w:eastAsia="仿宋_GB2312"/>
          <w:b/>
          <w:color w:val="000000" w:themeColor="text1"/>
          <w:kern w:val="0"/>
          <w:szCs w:val="32"/>
          <w14:textFill>
            <w14:solidFill>
              <w14:schemeClr w14:val="tx1"/>
            </w14:solidFill>
          </w14:textFill>
        </w:rPr>
        <w:t>参观观摩</w:t>
      </w:r>
    </w:p>
    <w:p w14:paraId="4E47D86C">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承诺按要求做好外部单位现场考察、交流、学习的陪同及接待工作；并根据项目实际需要组织对外地标杆项目的对标考察、观摩；在举办重大活动以及发包人、承包人需要的时间段内，可能对施工做出某些限制和配合要求，分包人应按照要求作出必要的配合，并承担有可能因此而引起工效降低需增加的费用，以上发生的相关费用由分包人在投标报价中综合考虑，结算不予调整。</w:t>
      </w:r>
    </w:p>
    <w:p w14:paraId="2D3A8C2D">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F. BIM</w:t>
      </w:r>
      <w:r>
        <w:rPr>
          <w:rFonts w:hint="eastAsia" w:ascii="Times New Roman" w:hAnsi="Times New Roman" w:eastAsia="仿宋_GB2312"/>
          <w:b/>
          <w:color w:val="000000" w:themeColor="text1"/>
          <w:kern w:val="0"/>
          <w:szCs w:val="32"/>
          <w14:textFill>
            <w14:solidFill>
              <w14:schemeClr w14:val="tx1"/>
            </w14:solidFill>
          </w14:textFill>
        </w:rPr>
        <w:t>管理要求</w:t>
      </w:r>
      <w:r>
        <w:rPr>
          <w:rFonts w:ascii="Times New Roman" w:hAnsi="Times New Roman" w:eastAsia="仿宋_GB2312"/>
          <w:b/>
          <w:color w:val="000000" w:themeColor="text1"/>
          <w:kern w:val="0"/>
          <w:szCs w:val="32"/>
          <w14:textFill>
            <w14:solidFill>
              <w14:schemeClr w14:val="tx1"/>
            </w14:solidFill>
          </w14:textFill>
        </w:rPr>
        <w:t xml:space="preserve"> </w:t>
      </w:r>
    </w:p>
    <w:p w14:paraId="6F1A8D2A">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分包人应按照发包人、承包人要求，全过程应用</w:t>
      </w:r>
      <w:r>
        <w:rPr>
          <w:rFonts w:ascii="Times New Roman" w:hAnsi="Times New Roman" w:eastAsia="仿宋_GB2312"/>
          <w:color w:val="000000" w:themeColor="text1"/>
          <w:kern w:val="0"/>
          <w:szCs w:val="32"/>
          <w14:textFill>
            <w14:solidFill>
              <w14:schemeClr w14:val="tx1"/>
            </w14:solidFill>
          </w14:textFill>
        </w:rPr>
        <w:t>BIM</w:t>
      </w:r>
      <w:r>
        <w:rPr>
          <w:rFonts w:hint="eastAsia" w:ascii="Times New Roman" w:hAnsi="Times New Roman" w:eastAsia="仿宋_GB2312"/>
          <w:color w:val="000000" w:themeColor="text1"/>
          <w:kern w:val="0"/>
          <w:szCs w:val="32"/>
          <w14:textFill>
            <w14:solidFill>
              <w14:schemeClr w14:val="tx1"/>
            </w14:solidFill>
          </w14:textFill>
        </w:rPr>
        <w:t>技术及配合B</w:t>
      </w:r>
      <w:r>
        <w:rPr>
          <w:rFonts w:ascii="Times New Roman" w:hAnsi="Times New Roman" w:eastAsia="仿宋_GB2312"/>
          <w:color w:val="000000" w:themeColor="text1"/>
          <w:kern w:val="0"/>
          <w:szCs w:val="32"/>
          <w14:textFill>
            <w14:solidFill>
              <w14:schemeClr w14:val="tx1"/>
            </w14:solidFill>
          </w14:textFill>
        </w:rPr>
        <w:t>IM相关工作</w:t>
      </w:r>
      <w:r>
        <w:rPr>
          <w:rFonts w:hint="eastAsia" w:ascii="Times New Roman" w:hAnsi="Times New Roman" w:eastAsia="仿宋_GB2312"/>
          <w:color w:val="000000" w:themeColor="text1"/>
          <w:kern w:val="0"/>
          <w:szCs w:val="32"/>
          <w14:textFill>
            <w14:solidFill>
              <w14:schemeClr w14:val="tx1"/>
            </w14:solidFill>
          </w14:textFill>
        </w:rPr>
        <w:t>。</w:t>
      </w:r>
    </w:p>
    <w:p w14:paraId="7CE9EAD5">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G.</w:t>
      </w:r>
      <w:r>
        <w:rPr>
          <w:rFonts w:hint="eastAsia" w:ascii="Times New Roman" w:hAnsi="Times New Roman" w:eastAsia="仿宋_GB2312"/>
          <w:b/>
          <w:color w:val="000000" w:themeColor="text1"/>
          <w:kern w:val="0"/>
          <w:szCs w:val="32"/>
          <w14:textFill>
            <w14:solidFill>
              <w14:schemeClr w14:val="tx1"/>
            </w14:solidFill>
          </w14:textFill>
        </w:rPr>
        <w:t>现场材料加工及存储</w:t>
      </w:r>
    </w:p>
    <w:p w14:paraId="3E3DD695">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分包人材料</w:t>
      </w:r>
      <w:r>
        <w:rPr>
          <w:rFonts w:hint="eastAsia" w:ascii="Times New Roman" w:hAnsi="Times New Roman" w:eastAsia="仿宋_GB2312"/>
          <w:color w:val="000000" w:themeColor="text1"/>
          <w:kern w:val="0"/>
          <w:szCs w:val="32"/>
          <w14:textFill>
            <w14:solidFill>
              <w14:schemeClr w14:val="tx1"/>
            </w14:solidFill>
          </w14:textFill>
        </w:rPr>
        <w:t>现场加工、堆放根据现场实际情况由承包人统一协调安排，分包人应在相应部位施工前提出场地需求，由分包人自行负责区域内的清理工作并承担一切费用。</w:t>
      </w:r>
    </w:p>
    <w:p w14:paraId="285C27D3">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H.</w:t>
      </w:r>
      <w:r>
        <w:rPr>
          <w:rFonts w:hint="eastAsia" w:ascii="Times New Roman" w:hAnsi="Times New Roman" w:eastAsia="仿宋_GB2312"/>
          <w:b/>
          <w:color w:val="000000" w:themeColor="text1"/>
          <w:kern w:val="0"/>
          <w:szCs w:val="32"/>
          <w14:textFill>
            <w14:solidFill>
              <w14:schemeClr w14:val="tx1"/>
            </w14:solidFill>
          </w14:textFill>
        </w:rPr>
        <w:t>施工工作面协调管理</w:t>
      </w:r>
    </w:p>
    <w:p w14:paraId="60FCD469">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施工工作面由承包人根据现场实际情况统一协调安排，分包人负责自身工作范围内的工作面交接及管理，分包人接受工作面后自行复核坐标、高程、已完工程定位、结构垂直度、图纸与现场实际对比等相关事项，因分包人原因导致的工作面移交延迟、质量问题、安全问题等造成的返工责任和损失由分包人承担。</w:t>
      </w:r>
    </w:p>
    <w:p w14:paraId="50A4E773">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I.</w:t>
      </w:r>
      <w:r>
        <w:rPr>
          <w:rFonts w:hint="eastAsia" w:ascii="Times New Roman" w:hAnsi="Times New Roman" w:eastAsia="仿宋_GB2312"/>
          <w:b/>
          <w:color w:val="000000" w:themeColor="text1"/>
          <w:kern w:val="0"/>
          <w:szCs w:val="32"/>
          <w14:textFill>
            <w14:solidFill>
              <w14:schemeClr w14:val="tx1"/>
            </w14:solidFill>
          </w14:textFill>
        </w:rPr>
        <w:t>工程目标及创优要求</w:t>
      </w:r>
    </w:p>
    <w:p w14:paraId="5D1C524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需要负责本工程创优总体策划、组织和申报工作，组建创优专项小组，明确职责分工，确保创优工作有序开展；须编制创优专项策划方案，并需配合承包人创优工作，提供必要的支持和协助，确保申报材料的完整性和准确性，必要时聘请或指派有相关创优经验的顾问、专家指导创优工作，从目标分解、组织保障、创优计划、过程阶段检查、资料档案要求等方面开展创优工作，确保创优目标实现。</w:t>
      </w:r>
    </w:p>
    <w:p w14:paraId="1C4C4BAB">
      <w:pPr>
        <w:ind w:firstLine="480"/>
        <w:rPr>
          <w:rFonts w:ascii="Times New Roman" w:hAnsi="Times New Roman" w:eastAsia="仿宋_GB2312"/>
          <w:b/>
          <w:color w:val="000000" w:themeColor="text1"/>
          <w:kern w:val="0"/>
          <w:szCs w:val="32"/>
          <w14:textFill>
            <w14:solidFill>
              <w14:schemeClr w14:val="tx1"/>
            </w14:solidFill>
          </w14:textFill>
        </w:rPr>
      </w:pPr>
      <w:r>
        <w:rPr>
          <w:rFonts w:hint="eastAsia" w:ascii="Times New Roman" w:hAnsi="Times New Roman" w:eastAsia="仿宋_GB2312"/>
          <w:b/>
          <w:color w:val="000000" w:themeColor="text1"/>
          <w:kern w:val="0"/>
          <w:szCs w:val="32"/>
          <w14:textFill>
            <w14:solidFill>
              <w14:schemeClr w14:val="tx1"/>
            </w14:solidFill>
          </w14:textFill>
        </w:rPr>
        <w:t>J</w:t>
      </w:r>
      <w:r>
        <w:rPr>
          <w:rFonts w:ascii="Times New Roman" w:hAnsi="Times New Roman" w:eastAsia="仿宋_GB2312"/>
          <w:b/>
          <w:color w:val="000000" w:themeColor="text1"/>
          <w:kern w:val="0"/>
          <w:szCs w:val="32"/>
          <w14:textFill>
            <w14:solidFill>
              <w14:schemeClr w14:val="tx1"/>
            </w14:solidFill>
          </w14:textFill>
        </w:rPr>
        <w:t>.</w:t>
      </w:r>
      <w:r>
        <w:rPr>
          <w:rFonts w:hint="eastAsia" w:ascii="Times New Roman" w:hAnsi="Times New Roman" w:eastAsia="仿宋_GB2312"/>
          <w:b/>
          <w:color w:val="000000" w:themeColor="text1"/>
          <w:kern w:val="0"/>
          <w:szCs w:val="32"/>
          <w14:textFill>
            <w14:solidFill>
              <w14:schemeClr w14:val="tx1"/>
            </w14:solidFill>
          </w14:textFill>
        </w:rPr>
        <w:t>资料管理</w:t>
      </w:r>
    </w:p>
    <w:p w14:paraId="0AB4E8C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负责与本工程有关的资料接收、整理和交接、归档工作，须完成本工程所有的验收与交接工作，配合与本工程相关的其他工程的验收与交接工作，完成本工程竣工资料的备案、提交。同时分包人应按承包人要求提交评优资料，分包人不得拒绝该类要求或指令；若分包人未按时交付相关资料的，承包人有权暂不予支付工程进度款或结算款。</w:t>
      </w:r>
    </w:p>
    <w:p w14:paraId="2E72A6C1">
      <w:pPr>
        <w:ind w:firstLine="480"/>
        <w:rPr>
          <w:rFonts w:ascii="Times New Roman" w:hAnsi="Times New Roman" w:eastAsia="仿宋_GB2312"/>
          <w:b/>
          <w:color w:val="000000" w:themeColor="text1"/>
          <w:kern w:val="0"/>
          <w:szCs w:val="32"/>
          <w14:textFill>
            <w14:solidFill>
              <w14:schemeClr w14:val="tx1"/>
            </w14:solidFill>
          </w14:textFill>
        </w:rPr>
      </w:pPr>
      <w:r>
        <w:rPr>
          <w:rFonts w:hint="eastAsia" w:ascii="Times New Roman" w:hAnsi="Times New Roman" w:eastAsia="仿宋_GB2312"/>
          <w:b/>
          <w:color w:val="000000" w:themeColor="text1"/>
          <w:kern w:val="0"/>
          <w:szCs w:val="32"/>
          <w14:textFill>
            <w14:solidFill>
              <w14:schemeClr w14:val="tx1"/>
            </w14:solidFill>
          </w14:textFill>
        </w:rPr>
        <w:t>K</w:t>
      </w:r>
      <w:r>
        <w:rPr>
          <w:rFonts w:ascii="Times New Roman" w:hAnsi="Times New Roman" w:eastAsia="仿宋_GB2312"/>
          <w:b/>
          <w:color w:val="000000" w:themeColor="text1"/>
          <w:kern w:val="0"/>
          <w:szCs w:val="32"/>
          <w14:textFill>
            <w14:solidFill>
              <w14:schemeClr w14:val="tx1"/>
            </w14:solidFill>
          </w14:textFill>
        </w:rPr>
        <w:t>.</w:t>
      </w:r>
      <w:r>
        <w:rPr>
          <w:rFonts w:hint="eastAsia" w:ascii="Times New Roman" w:hAnsi="Times New Roman" w:eastAsia="仿宋_GB2312"/>
          <w:b/>
          <w:color w:val="000000" w:themeColor="text1"/>
          <w:kern w:val="0"/>
          <w:szCs w:val="32"/>
          <w14:textFill>
            <w14:solidFill>
              <w14:schemeClr w14:val="tx1"/>
            </w14:solidFill>
          </w14:textFill>
        </w:rPr>
        <w:t>分包人应完成工作的要求还包括：</w:t>
      </w:r>
    </w:p>
    <w:p w14:paraId="69BAD655">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a</w:t>
      </w:r>
      <w:r>
        <w:rPr>
          <w:rFonts w:hint="eastAsia" w:ascii="Times New Roman" w:hAnsi="Times New Roman" w:eastAsia="仿宋_GB2312"/>
          <w:color w:val="000000" w:themeColor="text1"/>
          <w:kern w:val="0"/>
          <w:szCs w:val="32"/>
          <w14:textFill>
            <w14:solidFill>
              <w14:schemeClr w14:val="tx1"/>
            </w14:solidFill>
          </w14:textFill>
        </w:rPr>
        <w:t>分包人应保证按照国家、地方、行业的有关规定及承包人的使用要求，准确、及时做好日常工程技术资料的记录、整理和归档工作，保证记录中原始数据的完整性、真实性和及时性，准确反映施工的实际情况，承包人、监理人有权抽查分包人日常工程技术资料的整理工作。若发现分包人日常工程技术资料不完整、不真实的，经发包人同意，承包人、监理人有权不计量或暂缓计量相关工程量，承包人有权暂缓支付或不支付工程进度款，直到分包人补足和完善。</w:t>
      </w:r>
    </w:p>
    <w:p w14:paraId="0806FA0A">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b</w:t>
      </w:r>
      <w:r>
        <w:rPr>
          <w:rFonts w:hint="eastAsia" w:ascii="Times New Roman" w:hAnsi="Times New Roman" w:eastAsia="仿宋_GB2312"/>
          <w:color w:val="000000" w:themeColor="text1"/>
          <w:kern w:val="0"/>
          <w:szCs w:val="32"/>
          <w14:textFill>
            <w14:solidFill>
              <w14:schemeClr w14:val="tx1"/>
            </w14:solidFill>
          </w14:textFill>
        </w:rPr>
        <w:t>分包人应按图纸及技术要求进行施工。图纸尺寸应以图纸上标明的为准，任何矛盾、不一致的地方须立即书面通知承包人、监理人。若所完成工程不符合图纸、技术要求的要求时，监理人、承包人可要求分包人无条件进行返工、修改，并承担一切所需额外工程的费用，工期不予延长，承包人不给予任何费用补偿，分包人按补充条款中对应相关约定承担违约责任，由此给发包人和承包人带来的损失由分包人承担。</w:t>
      </w:r>
    </w:p>
    <w:p w14:paraId="65C1883B">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c</w:t>
      </w:r>
      <w:r>
        <w:rPr>
          <w:rFonts w:hint="eastAsia" w:ascii="Times New Roman" w:hAnsi="Times New Roman" w:eastAsia="仿宋_GB2312"/>
          <w:color w:val="000000" w:themeColor="text1"/>
          <w:kern w:val="0"/>
          <w:szCs w:val="32"/>
          <w14:textFill>
            <w14:solidFill>
              <w14:schemeClr w14:val="tx1"/>
            </w14:solidFill>
          </w14:textFill>
        </w:rPr>
        <w:t>工期</w:t>
      </w:r>
    </w:p>
    <w:p w14:paraId="23967C9C">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在规定的工期内完成本工程是非常重要的合同条件，分包人应配合承包人的施工进度，并满足承包人之总工期及关键节点要求，以使整体工程能在合同约定的竣工验收日或之前完成。若承包人发现非发包人原因造成本工程不能在规定的竣工日期前或各相应的节点工期内完工，承包人有权发出指令，要求分包人更改其施工程序或采取其它方法使本工程能如期完成，分包人不得以承包人该等指令为由提出增加合同价款的诉求。此等指令并不能免除或减轻分包人的任何责任，发生的赶工费用全部由分包人自行承担，发包人或承包人不会给予任何补偿，但分包人不得因采取赶工措施而降低工程质量标准。</w:t>
      </w:r>
    </w:p>
    <w:p w14:paraId="04BEC18A">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可根据自身的经验、能力和技术水平，在施工组织和方法合理、可行的前提下，对本工程的工期进行合理的优化，提出缩短工期的计划，并经承包人、监理人同意后实施，发生的费用由分包人承担，发包人或承包人不会给予任何补偿。</w:t>
      </w:r>
    </w:p>
    <w:p w14:paraId="1429ED20">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本合同其他措施项目费已包括除分包人原因及不可抗力因素之外所造成的分包人赶工加班，增加人工、材料和机械等以及其它使本工程能如期完工所需的全部费用。</w:t>
      </w:r>
    </w:p>
    <w:p w14:paraId="6A53BF36">
      <w:pPr>
        <w:spacing w:before="31" w:after="31"/>
        <w:ind w:firstLine="482"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b/>
          <w:color w:val="000000" w:themeColor="text1"/>
          <w:kern w:val="0"/>
          <w:szCs w:val="32"/>
          <w14:textFill>
            <w14:solidFill>
              <w14:schemeClr w14:val="tx1"/>
            </w14:solidFill>
          </w14:textFill>
        </w:rPr>
        <w:t>d</w:t>
      </w:r>
      <w:r>
        <w:rPr>
          <w:rFonts w:hint="eastAsia" w:ascii="Times New Roman" w:hAnsi="Times New Roman" w:eastAsia="仿宋_GB2312"/>
          <w:color w:val="000000" w:themeColor="text1"/>
          <w:kern w:val="0"/>
          <w:szCs w:val="32"/>
          <w14:textFill>
            <w14:solidFill>
              <w14:schemeClr w14:val="tx1"/>
            </w14:solidFill>
          </w14:textFill>
        </w:rPr>
        <w:t>本工程在分包人未进场前，已由承包人对部分预埋件进行预埋，分包人应在进场后复核现场并充分考虑可能存在的偏差、漏埋，并提出补救的措施。分包人进场之后，后置埋件和尚未预埋的预埋件由分包人根据设计图纸进行施工。</w:t>
      </w:r>
    </w:p>
    <w:p w14:paraId="61385F02">
      <w:pPr>
        <w:pStyle w:val="79"/>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4.1.4.负责施工场地及其周边环境与生态的保护工作</w:t>
      </w:r>
    </w:p>
    <w:p w14:paraId="5F702CE3">
      <w:pPr>
        <w:spacing w:before="31" w:after="31"/>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4）对分包人的补充约定：</w:t>
      </w:r>
      <w:r>
        <w:rPr>
          <w:rFonts w:hint="eastAsia" w:eastAsia="仿宋_GB2312"/>
          <w:color w:val="000000" w:themeColor="text1"/>
          <w:kern w:val="0"/>
          <w:szCs w:val="32"/>
          <w:u w:val="single"/>
          <w14:textFill>
            <w14:solidFill>
              <w14:schemeClr w14:val="tx1"/>
            </w14:solidFill>
          </w14:textFill>
        </w:rPr>
        <w:t xml:space="preserve"> </w:t>
      </w:r>
      <w:r>
        <w:rPr>
          <w:rFonts w:hint="eastAsia" w:ascii="Times New Roman" w:hAnsi="Times New Roman" w:eastAsia="仿宋_GB2312"/>
          <w:color w:val="000000" w:themeColor="text1"/>
          <w:kern w:val="0"/>
          <w:szCs w:val="32"/>
          <w:u w:val="single"/>
          <w14:textFill>
            <w14:solidFill>
              <w14:schemeClr w14:val="tx1"/>
            </w14:solidFill>
          </w14:textFill>
        </w:rPr>
        <w:t>分包人应保证其施工范围内的场地清洁符合环境卫生管理的有关要求，做到工完场清，即建筑垃圾须及时清运至承包人指定堆放地点；需服从承包人相关现场统一管理要求。分包人现场垃圾清理不及时、不合格且经催告不及时改正的，监理人或</w:t>
      </w:r>
      <w:r>
        <w:rPr>
          <w:rFonts w:ascii="Times New Roman" w:hAnsi="Times New Roman" w:eastAsia="仿宋_GB2312"/>
          <w:color w:val="000000" w:themeColor="text1"/>
          <w:kern w:val="0"/>
          <w:szCs w:val="32"/>
          <w:u w:val="single"/>
          <w14:textFill>
            <w14:solidFill>
              <w14:schemeClr w14:val="tx1"/>
            </w14:solidFill>
          </w14:textFill>
        </w:rPr>
        <w:t>承</w:t>
      </w:r>
      <w:r>
        <w:rPr>
          <w:rFonts w:hint="eastAsia" w:ascii="Times New Roman" w:hAnsi="Times New Roman" w:eastAsia="仿宋_GB2312"/>
          <w:color w:val="000000" w:themeColor="text1"/>
          <w:kern w:val="0"/>
          <w:szCs w:val="32"/>
          <w:u w:val="single"/>
          <w14:textFill>
            <w14:solidFill>
              <w14:schemeClr w14:val="tx1"/>
            </w14:solidFill>
          </w14:textFill>
        </w:rPr>
        <w:t>包人有权要求分包人委托第三方进行清理，同时分包人应按本合同补充条款</w:t>
      </w:r>
      <w:r>
        <w:rPr>
          <w:rFonts w:ascii="Times New Roman" w:hAnsi="Times New Roman" w:eastAsia="仿宋_GB2312"/>
          <w:color w:val="000000" w:themeColor="text1"/>
          <w:kern w:val="0"/>
          <w:szCs w:val="32"/>
          <w:u w:val="single"/>
          <w14:textFill>
            <w14:solidFill>
              <w14:schemeClr w14:val="tx1"/>
            </w14:solidFill>
          </w14:textFill>
        </w:rPr>
        <w:t>规定承担第三方清理费用并承担违约责任</w:t>
      </w:r>
      <w:r>
        <w:rPr>
          <w:rFonts w:hint="eastAsia" w:eastAsia="仿宋_GB2312"/>
          <w:color w:val="000000" w:themeColor="text1"/>
          <w:kern w:val="0"/>
          <w:szCs w:val="32"/>
          <w14:textFill>
            <w14:solidFill>
              <w14:schemeClr w14:val="tx1"/>
            </w14:solidFill>
          </w14:textFill>
        </w:rPr>
        <w:t>。</w:t>
      </w:r>
    </w:p>
    <w:p w14:paraId="6DC9BF74">
      <w:pPr>
        <w:adjustRightInd w:val="0"/>
        <w:snapToGrid w:val="0"/>
        <w:ind w:firstLine="482" w:firstLineChars="200"/>
        <w:rPr>
          <w:rFonts w:ascii="Times New Roman" w:hAnsi="Times New Roman"/>
          <w:b/>
          <w:color w:val="000000" w:themeColor="text1"/>
          <w:kern w:val="0"/>
          <w:szCs w:val="32"/>
          <w14:textFill>
            <w14:solidFill>
              <w14:schemeClr w14:val="tx1"/>
            </w14:solidFill>
          </w14:textFill>
        </w:rPr>
      </w:pPr>
      <w:r>
        <w:rPr>
          <w:rFonts w:hint="eastAsia" w:ascii="Times New Roman" w:hAnsi="Times New Roman"/>
          <w:b/>
          <w:color w:val="000000" w:themeColor="text1"/>
          <w:kern w:val="0"/>
          <w:szCs w:val="32"/>
          <w14:textFill>
            <w14:solidFill>
              <w14:schemeClr w14:val="tx1"/>
            </w14:solidFill>
          </w14:textFill>
        </w:rPr>
        <w:t>4.1.6.为他人提供方便</w:t>
      </w:r>
    </w:p>
    <w:p w14:paraId="39C8C4DC">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5）对分包人补充约定：本工程验收且移交后，分包人的施工人员、材料、设备必须在 1</w:t>
      </w:r>
      <w:r>
        <w:rPr>
          <w:rFonts w:eastAsia="仿宋_GB2312"/>
          <w:color w:val="000000" w:themeColor="text1"/>
          <w:kern w:val="0"/>
          <w:szCs w:val="32"/>
          <w14:textFill>
            <w14:solidFill>
              <w14:schemeClr w14:val="tx1"/>
            </w14:solidFill>
          </w14:textFill>
        </w:rPr>
        <w:t>5</w:t>
      </w:r>
      <w:r>
        <w:rPr>
          <w:rFonts w:hint="eastAsia" w:eastAsia="仿宋_GB2312"/>
          <w:color w:val="000000" w:themeColor="text1"/>
          <w:kern w:val="0"/>
          <w:szCs w:val="32"/>
          <w14:textFill>
            <w14:solidFill>
              <w14:schemeClr w14:val="tx1"/>
            </w14:solidFill>
          </w14:textFill>
        </w:rPr>
        <w:t xml:space="preserve"> 天内全部退出现场，分包人每延迟一天退场应按本合同</w:t>
      </w:r>
      <w:r>
        <w:rPr>
          <w:rFonts w:hint="eastAsia" w:ascii="Times New Roman" w:hAnsi="Times New Roman" w:eastAsia="仿宋_GB2312"/>
          <w:color w:val="000000" w:themeColor="text1"/>
          <w:kern w:val="0"/>
          <w:szCs w:val="32"/>
          <w:u w:val="single"/>
          <w14:textFill>
            <w14:solidFill>
              <w14:schemeClr w14:val="tx1"/>
            </w14:solidFill>
          </w14:textFill>
        </w:rPr>
        <w:t>补充条款</w:t>
      </w:r>
      <w:r>
        <w:rPr>
          <w:rFonts w:hint="eastAsia" w:eastAsia="仿宋_GB2312"/>
          <w:color w:val="000000" w:themeColor="text1"/>
          <w:kern w:val="0"/>
          <w:szCs w:val="32"/>
          <w14:textFill>
            <w14:solidFill>
              <w14:schemeClr w14:val="tx1"/>
            </w14:solidFill>
          </w14:textFill>
        </w:rPr>
        <w:t>约定缴纳违约金。</w:t>
      </w:r>
    </w:p>
    <w:p w14:paraId="445721BC">
      <w:pPr>
        <w:spacing w:before="31" w:after="31"/>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双方协议终止合同或任何一方解除合同的，分包人的施工人员、材料、设备必须在 7 天内全部退出现场，分包人每延迟一天退场应按本合同</w:t>
      </w:r>
      <w:r>
        <w:rPr>
          <w:rFonts w:hint="eastAsia" w:ascii="Times New Roman" w:hAnsi="Times New Roman" w:eastAsia="仿宋_GB2312"/>
          <w:color w:val="000000" w:themeColor="text1"/>
          <w:kern w:val="0"/>
          <w:szCs w:val="32"/>
          <w:u w:val="single"/>
          <w14:textFill>
            <w14:solidFill>
              <w14:schemeClr w14:val="tx1"/>
            </w14:solidFill>
          </w14:textFill>
        </w:rPr>
        <w:t>补充条款</w:t>
      </w:r>
      <w:r>
        <w:rPr>
          <w:rFonts w:hint="eastAsia" w:eastAsia="仿宋_GB2312"/>
          <w:color w:val="000000" w:themeColor="text1"/>
          <w:kern w:val="0"/>
          <w:szCs w:val="32"/>
          <w14:textFill>
            <w14:solidFill>
              <w14:schemeClr w14:val="tx1"/>
            </w14:solidFill>
          </w14:textFill>
        </w:rPr>
        <w:t>约定缴纳违约金。</w:t>
      </w:r>
    </w:p>
    <w:p w14:paraId="082E6FC8">
      <w:pPr>
        <w:pStyle w:val="79"/>
        <w:ind w:firstLine="482"/>
        <w:rPr>
          <w:color w:val="000000" w:themeColor="text1"/>
          <w14:textFill>
            <w14:solidFill>
              <w14:schemeClr w14:val="tx1"/>
            </w14:solidFill>
          </w14:textFill>
        </w:rPr>
      </w:pPr>
      <w:bookmarkStart w:id="609" w:name="_Toc29178"/>
      <w:r>
        <w:rPr>
          <w:rFonts w:hint="eastAsia"/>
          <w:color w:val="000000" w:themeColor="text1"/>
          <w14:textFill>
            <w14:solidFill>
              <w14:schemeClr w14:val="tx1"/>
            </w14:solidFill>
          </w14:textFill>
        </w:rPr>
        <w:t>4.1.7. 工程的维护和照管</w:t>
      </w:r>
      <w:bookmarkEnd w:id="609"/>
    </w:p>
    <w:p w14:paraId="1683094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1）场地移交前完工工程成品保护的特殊要求及费用承担，该条通用条款对应内容修订为： 本</w:t>
      </w:r>
      <w:r>
        <w:rPr>
          <w:rFonts w:hint="eastAsia"/>
          <w:color w:val="000000" w:themeColor="text1"/>
          <w:u w:val="single"/>
          <w14:textFill>
            <w14:solidFill>
              <w14:schemeClr w14:val="tx1"/>
            </w14:solidFill>
          </w14:textFill>
        </w:rPr>
        <w:t>工程验收合格及场地移交前，分包人负责本工程相关的照管和维护工作。保护期间发生损坏，分包人自费予以修复。</w:t>
      </w:r>
    </w:p>
    <w:p w14:paraId="7BBFF78D">
      <w:pPr>
        <w:pStyle w:val="56"/>
        <w:ind w:firstLine="482"/>
        <w:rPr>
          <w:b/>
          <w:color w:val="000000" w:themeColor="text1"/>
          <w14:textFill>
            <w14:solidFill>
              <w14:schemeClr w14:val="tx1"/>
            </w14:solidFill>
          </w14:textFill>
        </w:rPr>
      </w:pPr>
      <w:r>
        <w:rPr>
          <w:b/>
          <w:color w:val="000000" w:themeColor="text1"/>
          <w14:textFill>
            <w14:solidFill>
              <w14:schemeClr w14:val="tx1"/>
            </w14:solidFill>
          </w14:textFill>
        </w:rPr>
        <w:t>4.1.9.</w:t>
      </w:r>
      <w:r>
        <w:rPr>
          <w:rFonts w:hint="eastAsia"/>
          <w:b/>
          <w:color w:val="000000" w:themeColor="text1"/>
          <w14:textFill>
            <w14:solidFill>
              <w14:schemeClr w14:val="tx1"/>
            </w14:solidFill>
          </w14:textFill>
        </w:rPr>
        <w:t xml:space="preserve"> 分包人的其它义务</w:t>
      </w:r>
    </w:p>
    <w:p w14:paraId="7808E13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6）分包人的其它义务补充约定如下：</w:t>
      </w:r>
    </w:p>
    <w:p w14:paraId="53121E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①分包人应与承包人签订施工总承包管理配合协议、</w:t>
      </w:r>
      <w:r>
        <w:rPr>
          <w:color w:val="000000" w:themeColor="text1"/>
          <w14:textFill>
            <w14:solidFill>
              <w14:schemeClr w14:val="tx1"/>
            </w14:solidFill>
          </w14:textFill>
        </w:rPr>
        <w:t>安全管理协议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质量管理协议</w:t>
      </w:r>
      <w:r>
        <w:rPr>
          <w:rFonts w:hint="eastAsia"/>
          <w:color w:val="000000" w:themeColor="text1"/>
          <w14:textFill>
            <w14:solidFill>
              <w14:schemeClr w14:val="tx1"/>
            </w14:solidFill>
          </w14:textFill>
        </w:rPr>
        <w:t>等，承包人应向分包人提供必要的施工条件与配合，分包人应服从承包人现场管理要求；若需签署分包人、承包人、发包人三方协议的，分包人应当积极配合签署；分包人应当积极配合签署农民工工资支付相关协议的；因分包人原因前</w:t>
      </w:r>
      <w:r>
        <w:rPr>
          <w:color w:val="000000" w:themeColor="text1"/>
          <w14:textFill>
            <w14:solidFill>
              <w14:schemeClr w14:val="tx1"/>
            </w14:solidFill>
          </w14:textFill>
        </w:rPr>
        <w:t>述协议签署不及时而</w:t>
      </w:r>
      <w:r>
        <w:rPr>
          <w:rFonts w:hint="eastAsia"/>
          <w:color w:val="000000" w:themeColor="text1"/>
          <w14:textFill>
            <w14:solidFill>
              <w14:schemeClr w14:val="tx1"/>
            </w14:solidFill>
          </w14:textFill>
        </w:rPr>
        <w:t>导致发包人、承包人遭受损失的，分包人应承担相应经济、工期损失。</w:t>
      </w:r>
    </w:p>
    <w:p w14:paraId="08CCEF8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分包人应及时支付其采购的材料、设备等款项，如因分包人拖欠支付该等款项导致影响工程进度或影响本工程正常运行，或发生供货单位向承包人或发包人或有关单位投诉的情况，承包人有权代为垫付材料、设备款项，该等垫付款项从应付合同款中抵扣，分包人同时应承担由此造成的工期、费用等违约责任。</w:t>
      </w:r>
    </w:p>
    <w:p w14:paraId="2EA2BE6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③由于分包人原因发生安全责任事故导致的一切责任及费用均由分包人承担。对该项赔偿责任，分包人不愿承担或不向相关方支付的，承包人有权直接从工程款中直接扣取并代为向相关方支付。</w:t>
      </w:r>
    </w:p>
    <w:p w14:paraId="4EBF6DA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④分包人应执行承包人与监理人相关管理规定和指令，包括但不限于安全管理、质量管理、进度管理、成本管理等全部要求，否则应按本专用合同条款约定承担违约责任。</w:t>
      </w:r>
    </w:p>
    <w:p w14:paraId="7417E7B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w:t>
      </w:r>
      <w:r>
        <w:rPr>
          <w:color w:val="000000" w:themeColor="text1"/>
          <w14:textFill>
            <w14:solidFill>
              <w14:schemeClr w14:val="tx1"/>
            </w14:solidFill>
          </w14:textFill>
        </w:rPr>
        <w:t>当监理</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或</w:t>
      </w:r>
      <w:r>
        <w:rPr>
          <w:rFonts w:hint="eastAsia"/>
          <w:color w:val="000000" w:themeColor="text1"/>
          <w14:textFill>
            <w14:solidFill>
              <w14:schemeClr w14:val="tx1"/>
            </w14:solidFill>
          </w14:textFill>
        </w:rPr>
        <w:t>承包人</w:t>
      </w:r>
      <w:r>
        <w:rPr>
          <w:color w:val="000000" w:themeColor="text1"/>
          <w14:textFill>
            <w14:solidFill>
              <w14:schemeClr w14:val="tx1"/>
            </w14:solidFill>
          </w14:textFill>
        </w:rPr>
        <w:t>提出分包人施工作业面需增加作业工人或机械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增加临时</w:t>
      </w:r>
      <w:r>
        <w:rPr>
          <w:rFonts w:hint="eastAsia"/>
          <w:color w:val="000000" w:themeColor="text1"/>
          <w14:textFill>
            <w14:solidFill>
              <w14:schemeClr w14:val="tx1"/>
            </w14:solidFill>
          </w14:textFill>
        </w:rPr>
        <w:t>安</w:t>
      </w:r>
      <w:r>
        <w:rPr>
          <w:color w:val="000000" w:themeColor="text1"/>
          <w14:textFill>
            <w14:solidFill>
              <w14:schemeClr w14:val="tx1"/>
            </w14:solidFill>
          </w14:textFill>
        </w:rPr>
        <w:t>全防护</w:t>
      </w:r>
      <w:r>
        <w:rPr>
          <w:rFonts w:hint="eastAsia"/>
          <w:color w:val="000000" w:themeColor="text1"/>
          <w14:textFill>
            <w14:solidFill>
              <w14:schemeClr w14:val="tx1"/>
            </w14:solidFill>
          </w14:textFill>
        </w:rPr>
        <w:t>通道的要求时，分包人应当按指令要求积极配合实施。</w:t>
      </w:r>
    </w:p>
    <w:p w14:paraId="6C46DB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⑥分包人应配合承包人和发包人在节假日的施工计划与安排。</w:t>
      </w:r>
    </w:p>
    <w:p w14:paraId="375D79A4">
      <w:pPr>
        <w:pStyle w:val="81"/>
        <w:ind w:firstLine="480"/>
        <w:rPr>
          <w:color w:val="000000" w:themeColor="text1"/>
          <w14:textFill>
            <w14:solidFill>
              <w14:schemeClr w14:val="tx1"/>
            </w14:solidFill>
          </w14:textFill>
        </w:rPr>
      </w:pPr>
      <w:bookmarkStart w:id="610" w:name="_Toc10013"/>
      <w:bookmarkStart w:id="611" w:name="_Toc44492563"/>
      <w:bookmarkStart w:id="612" w:name="_Toc9254"/>
      <w:r>
        <w:rPr>
          <w:rFonts w:hint="eastAsia"/>
          <w:color w:val="000000" w:themeColor="text1"/>
          <w14:textFill>
            <w14:solidFill>
              <w14:schemeClr w14:val="tx1"/>
            </w14:solidFill>
          </w14:textFill>
        </w:rPr>
        <w:t>4.2. 履约担保</w:t>
      </w:r>
      <w:bookmarkEnd w:id="610"/>
      <w:bookmarkEnd w:id="611"/>
      <w:bookmarkEnd w:id="612"/>
    </w:p>
    <w:p w14:paraId="7178D59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4.2.3.履约保函的担保额度为本合同协议书第7条合同价款中合同暂定总价（扣除：</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 xml:space="preserve"> ）的</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10</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。分包人提供出自工、农、中、建四大国有银行或招商银行、交通银行、民生银行或经承包人确认银行开具的“见索即付保函”。</w:t>
      </w:r>
    </w:p>
    <w:p w14:paraId="20179119">
      <w:pPr>
        <w:pStyle w:val="56"/>
        <w:ind w:firstLine="480"/>
        <w:rPr>
          <w:color w:val="000000" w:themeColor="text1"/>
          <w14:textFill>
            <w14:solidFill>
              <w14:schemeClr w14:val="tx1"/>
            </w14:solidFill>
          </w14:textFill>
        </w:rPr>
      </w:pPr>
      <w:r>
        <w:rPr>
          <w:rFonts w:hint="eastAsia" w:hAnsi="宋体"/>
          <w:color w:val="000000" w:themeColor="text1"/>
          <w:szCs w:val="24"/>
          <w:lang w:val="zh-CN"/>
          <w14:textFill>
            <w14:solidFill>
              <w14:schemeClr w14:val="tx1"/>
            </w14:solidFill>
          </w14:textFill>
        </w:rPr>
        <w:t>4</w:t>
      </w:r>
      <w:r>
        <w:rPr>
          <w:rFonts w:hAnsi="宋体"/>
          <w:color w:val="000000" w:themeColor="text1"/>
          <w:szCs w:val="24"/>
          <w:lang w:val="zh-CN"/>
          <w14:textFill>
            <w14:solidFill>
              <w14:schemeClr w14:val="tx1"/>
            </w14:solidFill>
          </w14:textFill>
        </w:rPr>
        <w:t>.2.</w:t>
      </w:r>
      <w:r>
        <w:rPr>
          <w:rFonts w:hint="eastAsia" w:hAnsi="宋体"/>
          <w:color w:val="000000" w:themeColor="text1"/>
          <w:szCs w:val="24"/>
          <w14:textFill>
            <w14:solidFill>
              <w14:schemeClr w14:val="tx1"/>
            </w14:solidFill>
          </w14:textFill>
        </w:rPr>
        <w:t>4</w:t>
      </w:r>
      <w:r>
        <w:rPr>
          <w:rFonts w:hAnsi="宋体"/>
          <w:color w:val="000000" w:themeColor="text1"/>
          <w:szCs w:val="24"/>
          <w:lang w:val="zh-CN"/>
          <w14:textFill>
            <w14:solidFill>
              <w14:schemeClr w14:val="tx1"/>
            </w14:solidFill>
          </w14:textFill>
        </w:rPr>
        <w:t xml:space="preserve"> </w:t>
      </w:r>
      <w:r>
        <w:rPr>
          <w:rFonts w:hint="eastAsia" w:hAnsi="宋体"/>
          <w:color w:val="000000" w:themeColor="text1"/>
          <w:szCs w:val="24"/>
          <w:lang w:val="zh-CN"/>
          <w14:textFill>
            <w14:solidFill>
              <w14:schemeClr w14:val="tx1"/>
            </w14:solidFill>
          </w14:textFill>
        </w:rPr>
        <w:t>分包人应承担的各项违约金、赔偿金及其他费用，承包人、发包人均有权从履约担保中直接扣除。如分包人因违约或其他原因被提取履约保函的担保金额而不解除合同的，分包人应在接到发包人关于提取履约保函担保金额的通知后7天内补足被提取的履约担保金额，承包人、发包人亦可从应付合同价款中直接扣除相应金额补足履约担保金额。</w:t>
      </w:r>
    </w:p>
    <w:p w14:paraId="0F572A13">
      <w:pPr>
        <w:pStyle w:val="81"/>
        <w:ind w:firstLine="480"/>
        <w:rPr>
          <w:color w:val="000000" w:themeColor="text1"/>
          <w14:textFill>
            <w14:solidFill>
              <w14:schemeClr w14:val="tx1"/>
            </w14:solidFill>
          </w14:textFill>
        </w:rPr>
      </w:pPr>
      <w:bookmarkStart w:id="613" w:name="_Toc29078"/>
      <w:bookmarkStart w:id="614" w:name="_Toc44492565"/>
      <w:bookmarkStart w:id="615" w:name="_Toc15092"/>
      <w:r>
        <w:rPr>
          <w:rFonts w:hint="eastAsia"/>
          <w:color w:val="000000" w:themeColor="text1"/>
          <w14:textFill>
            <w14:solidFill>
              <w14:schemeClr w14:val="tx1"/>
            </w14:solidFill>
          </w14:textFill>
        </w:rPr>
        <w:t>4.4. 分包人</w:t>
      </w:r>
      <w:bookmarkEnd w:id="613"/>
      <w:bookmarkEnd w:id="614"/>
      <w:bookmarkEnd w:id="615"/>
      <w:r>
        <w:rPr>
          <w:rFonts w:hint="eastAsia"/>
          <w:color w:val="000000" w:themeColor="text1"/>
          <w14:textFill>
            <w14:solidFill>
              <w14:schemeClr w14:val="tx1"/>
            </w14:solidFill>
          </w14:textFill>
        </w:rPr>
        <w:t>项目负责人</w:t>
      </w:r>
    </w:p>
    <w:p w14:paraId="78C35D2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4.4.1. 分包人项目负责人的姓名：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569C9D0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4.4.3. 对分包人项目负责人的管理要求：</w:t>
      </w:r>
    </w:p>
    <w:p w14:paraId="5A2F85F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本合同中明确的项目负责人，不得擅自变更，开工时或施工过程中若有擅自变更，则</w:t>
      </w:r>
      <w:r>
        <w:rPr>
          <w:color w:val="000000" w:themeColor="text1"/>
          <w14:textFill>
            <w14:solidFill>
              <w14:schemeClr w14:val="tx1"/>
            </w14:solidFill>
          </w14:textFill>
        </w:rPr>
        <w:t>发包人、承包人有权</w:t>
      </w:r>
      <w:r>
        <w:rPr>
          <w:rFonts w:hint="eastAsia"/>
          <w:color w:val="000000" w:themeColor="text1"/>
          <w14:textFill>
            <w14:solidFill>
              <w14:schemeClr w14:val="tx1"/>
            </w14:solidFill>
          </w14:textFill>
        </w:rPr>
        <w:t>按本合同补充条款</w:t>
      </w:r>
      <w:r>
        <w:rPr>
          <w:color w:val="000000" w:themeColor="text1"/>
          <w:szCs w:val="21"/>
          <w14:textFill>
            <w14:solidFill>
              <w14:schemeClr w14:val="tx1"/>
            </w14:solidFill>
          </w14:textFill>
        </w:rPr>
        <w:t>约定要求分包人支付违约金</w:t>
      </w:r>
      <w:r>
        <w:rPr>
          <w:rFonts w:hint="eastAsia"/>
          <w:color w:val="000000" w:themeColor="text1"/>
          <w14:textFill>
            <w14:solidFill>
              <w14:schemeClr w14:val="tx1"/>
            </w14:solidFill>
          </w14:textFill>
        </w:rPr>
        <w:t>。</w:t>
      </w:r>
    </w:p>
    <w:p w14:paraId="66E602E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对分包人项目负责人的其他管理要求：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34D67B8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.4.4. 通用条款</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.4.4修订为</w:t>
      </w:r>
      <w:r>
        <w:rPr>
          <w:rFonts w:hint="eastAsia"/>
          <w:color w:val="000000" w:themeColor="text1"/>
          <w14:textFill>
            <w14:solidFill>
              <w14:schemeClr w14:val="tx1"/>
            </w14:solidFill>
          </w14:textFill>
        </w:rPr>
        <w:t>：分包人如需更换项目主要管理人员的，项目负责人、技术负责人、项目副经理应至少提前</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天，其他主要管理人员应至少提前1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天将备选人员资料通过承包人报发包人，备选人员的资历、职称等级、过往业绩应与合同约定的要求达到同等或以上，征得承包人及发包人同意后方可更换。后任继续行使合同文件约定的前任的职权，履行前任的义务。</w:t>
      </w:r>
    </w:p>
    <w:p w14:paraId="5DB12963">
      <w:pPr>
        <w:pStyle w:val="81"/>
        <w:ind w:firstLine="480"/>
        <w:rPr>
          <w:color w:val="000000" w:themeColor="text1"/>
          <w14:textFill>
            <w14:solidFill>
              <w14:schemeClr w14:val="tx1"/>
            </w14:solidFill>
          </w14:textFill>
        </w:rPr>
      </w:pPr>
      <w:bookmarkStart w:id="616" w:name="_Toc44492566"/>
      <w:bookmarkStart w:id="617" w:name="_Toc19792"/>
      <w:bookmarkStart w:id="618" w:name="_Toc32468"/>
      <w:r>
        <w:rPr>
          <w:rFonts w:hint="eastAsia"/>
          <w:color w:val="000000" w:themeColor="text1"/>
          <w14:textFill>
            <w14:solidFill>
              <w14:schemeClr w14:val="tx1"/>
            </w14:solidFill>
          </w14:textFill>
        </w:rPr>
        <w:t>4.5 分包人人员的管理</w:t>
      </w:r>
      <w:bookmarkEnd w:id="616"/>
      <w:bookmarkEnd w:id="617"/>
      <w:bookmarkEnd w:id="618"/>
    </w:p>
    <w:p w14:paraId="45CA403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4.5.2为完成合同约定的各项工作，分包人应向施工场地派遣或雇佣足够数量的下列人员：</w:t>
      </w:r>
    </w:p>
    <w:p w14:paraId="52CE88B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分包人应按投标文件中承诺的项目团队配置标准和数量为本工程施工场地配置人员，详见</w:t>
      </w:r>
      <w:r>
        <w:rPr>
          <w:color w:val="000000" w:themeColor="text1"/>
          <w14:textFill>
            <w14:solidFill>
              <w14:schemeClr w14:val="tx1"/>
            </w14:solidFill>
          </w14:textFill>
        </w:rPr>
        <w:t>补充条款约定</w:t>
      </w:r>
      <w:r>
        <w:rPr>
          <w:rFonts w:hint="eastAsia"/>
          <w:color w:val="000000" w:themeColor="text1"/>
          <w14:textFill>
            <w14:solidFill>
              <w14:schemeClr w14:val="tx1"/>
            </w14:solidFill>
          </w14:textFill>
        </w:rPr>
        <w:t>。</w:t>
      </w:r>
    </w:p>
    <w:p w14:paraId="201552E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4.5.6.如分包人投入的人员数量、业务水平、专业配置等不能满足工作所需时，承包人有权要求分包人聘请符合工作所需要的工程技术管理人员作为分包人从事本工程施工管理工作的人员；所聘请工程技术管理人员的工资待遇由分包人与所聘人员协商确定，相关费用已包括在本工程合同价内，由分包人向所聘用人员支付。</w:t>
      </w:r>
    </w:p>
    <w:p w14:paraId="694803C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4.5.7.分包人提出进行除主要管理人员以外的项目管理人员更换的，分包人应至少提前7天以书面形式向监理人与承包人提出申请。分包人必须保证后任人员的资质、资历、业绩、实际工作能力不低于前任人员的素质。即使承包人同意更换，仍有权追究分包人相关违约责任；合同期间实际投入的管理人员替换率超过</w:t>
      </w:r>
      <w:r>
        <w:rPr>
          <w:rFonts w:hint="eastAsia"/>
          <w:color w:val="000000" w:themeColor="text1"/>
          <w:u w:val="single"/>
          <w14:textFill>
            <w14:solidFill>
              <w14:schemeClr w14:val="tx1"/>
            </w14:solidFill>
          </w14:textFill>
        </w:rPr>
        <w:t xml:space="preserve"> 30%</w:t>
      </w:r>
      <w:r>
        <w:rPr>
          <w:rFonts w:hint="eastAsia"/>
          <w:color w:val="000000" w:themeColor="text1"/>
          <w14:textFill>
            <w14:solidFill>
              <w14:schemeClr w14:val="tx1"/>
            </w14:solidFill>
          </w14:textFill>
        </w:rPr>
        <w:t>的属于违约行为承包人有权按补充条款要求分包人承担违约责任。若分包人擅自更换或调走项目管理人员的，每发生一次则分包人应承担违约责任。</w:t>
      </w:r>
    </w:p>
    <w:p w14:paraId="5D796F8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4.5.8.分包人的所有管理人员均应向发包人、承包人提供不少于一年在分包人公司的社保证明，分包人未能提供社保证明的须按本合同补充条款约定向承包人支付违约金，直到提供社保证明为止或另派管理人员。</w:t>
      </w:r>
    </w:p>
    <w:p w14:paraId="103F4FA0">
      <w:pPr>
        <w:pStyle w:val="56"/>
        <w:ind w:firstLine="480"/>
        <w:rPr>
          <w:color w:val="000000" w:themeColor="text1"/>
          <w14:textFill>
            <w14:solidFill>
              <w14:schemeClr w14:val="tx1"/>
            </w14:solidFill>
          </w14:textFill>
        </w:rPr>
      </w:pPr>
      <w:bookmarkStart w:id="619" w:name="_Toc44492567"/>
      <w:bookmarkStart w:id="620" w:name="_Toc25277"/>
      <w:bookmarkStart w:id="621" w:name="_Toc30996"/>
      <w:r>
        <w:rPr>
          <w:rFonts w:hint="eastAsia"/>
          <w:color w:val="000000" w:themeColor="text1"/>
          <w14:textFill>
            <w14:solidFill>
              <w14:schemeClr w14:val="tx1"/>
            </w14:solidFill>
          </w14:textFill>
        </w:rPr>
        <w:t>4.6. 撤换分包人项目负责人和其他人员</w:t>
      </w:r>
      <w:bookmarkEnd w:id="619"/>
      <w:bookmarkEnd w:id="620"/>
      <w:bookmarkEnd w:id="621"/>
    </w:p>
    <w:p w14:paraId="703160F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4.6.2. 发包人、承包人、监理人有权定期对分包人现场管理的项目负责人及主要管理人员进行评分（具体评分表由发包人、承包人制定），每月评分不合格的现场管理人员进行通报批评并抄送分包人，连续三次评分不合格的管理人员，分包人须进行人员更换，分包人在收到发包人或承包人的书面</w:t>
      </w:r>
      <w:r>
        <w:rPr>
          <w:color w:val="000000" w:themeColor="text1"/>
          <w14:textFill>
            <w14:solidFill>
              <w14:schemeClr w14:val="tx1"/>
            </w14:solidFill>
          </w14:textFill>
        </w:rPr>
        <w:t>通知</w:t>
      </w:r>
      <w:r>
        <w:rPr>
          <w:rFonts w:hint="eastAsia"/>
          <w:color w:val="000000" w:themeColor="text1"/>
          <w14:textFill>
            <w14:solidFill>
              <w14:schemeClr w14:val="tx1"/>
            </w14:solidFill>
          </w14:textFill>
        </w:rPr>
        <w:t>后，应在</w:t>
      </w:r>
      <w:r>
        <w:rPr>
          <w:rFonts w:hint="eastAsia"/>
          <w:color w:val="000000" w:themeColor="text1"/>
          <w:u w:val="single"/>
          <w14:textFill>
            <w14:solidFill>
              <w14:schemeClr w14:val="tx1"/>
            </w14:solidFill>
          </w14:textFill>
        </w:rPr>
        <w:t xml:space="preserve"> 7</w:t>
      </w:r>
      <w:r>
        <w:rPr>
          <w:rFonts w:hint="eastAsia"/>
          <w:color w:val="000000" w:themeColor="text1"/>
          <w14:textFill>
            <w14:solidFill>
              <w14:schemeClr w14:val="tx1"/>
            </w14:solidFill>
          </w14:textFill>
        </w:rPr>
        <w:t xml:space="preserve">天内递交更换相关人员的相关资料，经承包人及发包人审核确认后到岗，分包人不得因人员更换而影响现场施工工作正常开展，不得以此为由申请任何工期与经济补偿。分包人未按照要求更换相关人员或更换人员不及时的，应按本合同补充条款约定支付违约金；未经承包人及发包人书面同意，分包人被更换员工不得再在本工程从事任何工作。 </w:t>
      </w:r>
    </w:p>
    <w:p w14:paraId="75F03CC8">
      <w:pPr>
        <w:pStyle w:val="93"/>
        <w:ind w:firstLine="420"/>
        <w:rPr>
          <w:rFonts w:ascii="Times New Roman" w:hAnsi="Times New Roman" w:eastAsia="黑体"/>
          <w:color w:val="000000" w:themeColor="text1"/>
          <w:szCs w:val="32"/>
          <w14:textFill>
            <w14:solidFill>
              <w14:schemeClr w14:val="tx1"/>
            </w14:solidFill>
          </w14:textFill>
        </w:rPr>
      </w:pPr>
      <w:bookmarkStart w:id="622" w:name="_Toc21911"/>
      <w:bookmarkStart w:id="623" w:name="_Toc16989"/>
      <w:bookmarkStart w:id="624" w:name="_Toc44492568"/>
      <w:r>
        <w:rPr>
          <w:rFonts w:hint="eastAsia" w:ascii="Times New Roman" w:hAnsi="Times New Roman" w:eastAsia="黑体"/>
          <w:color w:val="000000" w:themeColor="text1"/>
          <w:szCs w:val="32"/>
          <w14:textFill>
            <w14:solidFill>
              <w14:schemeClr w14:val="tx1"/>
            </w14:solidFill>
          </w14:textFill>
        </w:rPr>
        <w:t>4.</w:t>
      </w:r>
      <w:r>
        <w:rPr>
          <w:rFonts w:ascii="Times New Roman" w:hAnsi="Times New Roman" w:eastAsia="黑体"/>
          <w:color w:val="000000" w:themeColor="text1"/>
          <w:szCs w:val="32"/>
          <w14:textFill>
            <w14:solidFill>
              <w14:schemeClr w14:val="tx1"/>
            </w14:solidFill>
          </w14:textFill>
        </w:rPr>
        <w:t>7.</w:t>
      </w:r>
      <w:bookmarkEnd w:id="622"/>
      <w:bookmarkEnd w:id="623"/>
      <w:r>
        <w:rPr>
          <w:rFonts w:hint="eastAsia" w:ascii="Times New Roman" w:hAnsi="Times New Roman" w:eastAsia="黑体"/>
          <w:color w:val="000000" w:themeColor="text1"/>
          <w:szCs w:val="32"/>
          <w14:textFill>
            <w14:solidFill>
              <w14:schemeClr w14:val="tx1"/>
            </w14:solidFill>
          </w14:textFill>
        </w:rPr>
        <w:t>保障分包人人</w:t>
      </w:r>
      <w:r>
        <w:rPr>
          <w:rFonts w:ascii="Times New Roman" w:hAnsi="Times New Roman" w:eastAsia="黑体"/>
          <w:color w:val="000000" w:themeColor="text1"/>
          <w:szCs w:val="32"/>
          <w14:textFill>
            <w14:solidFill>
              <w14:schemeClr w14:val="tx1"/>
            </w14:solidFill>
          </w14:textFill>
        </w:rPr>
        <w:t>员的合法权益</w:t>
      </w:r>
      <w:bookmarkEnd w:id="624"/>
    </w:p>
    <w:p w14:paraId="6D28BB65">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625" w:name="_Toc44492569"/>
      <w:r>
        <w:rPr>
          <w:rFonts w:hint="eastAsia" w:ascii="Times New Roman" w:hAnsi="Times New Roman" w:eastAsia="仿宋_GB2312"/>
          <w:color w:val="000000" w:themeColor="text1"/>
          <w:kern w:val="0"/>
          <w:szCs w:val="32"/>
          <w14:textFill>
            <w14:solidFill>
              <w14:schemeClr w14:val="tx1"/>
            </w14:solidFill>
          </w14:textFill>
        </w:rPr>
        <w:t>4.7.6 对</w:t>
      </w:r>
      <w:r>
        <w:rPr>
          <w:rFonts w:ascii="Times New Roman" w:hAnsi="Times New Roman" w:eastAsia="仿宋_GB2312"/>
          <w:color w:val="000000" w:themeColor="text1"/>
          <w:kern w:val="0"/>
          <w:szCs w:val="32"/>
          <w14:textFill>
            <w14:solidFill>
              <w14:schemeClr w14:val="tx1"/>
            </w14:solidFill>
          </w14:textFill>
        </w:rPr>
        <w:t>工人工资的约定</w:t>
      </w:r>
      <w:bookmarkEnd w:id="625"/>
    </w:p>
    <w:p w14:paraId="66B37200">
      <w:pPr>
        <w:ind w:firstLine="480" w:firstLineChars="200"/>
        <w:rPr>
          <w:rFonts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4.7.6.1</w:t>
      </w:r>
      <w:r>
        <w:rPr>
          <w:rFonts w:hint="eastAsia" w:ascii="Times New Roman" w:hAnsi="Times New Roman" w:eastAsia="仿宋_GB2312"/>
          <w:color w:val="000000" w:themeColor="text1"/>
          <w:kern w:val="0"/>
          <w:szCs w:val="32"/>
          <w14:textFill>
            <w14:solidFill>
              <w14:schemeClr w14:val="tx1"/>
            </w14:solidFill>
          </w14:textFill>
        </w:rPr>
        <w:t>签订书面劳动合同</w:t>
      </w:r>
    </w:p>
    <w:p w14:paraId="4ADF0E00">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1</w:t>
      </w:r>
      <w:r>
        <w:rPr>
          <w:rFonts w:hint="eastAsia" w:ascii="Times New Roman" w:hAnsi="Times New Roman" w:eastAsia="仿宋_GB2312"/>
          <w:color w:val="000000" w:themeColor="text1"/>
          <w:kern w:val="0"/>
          <w:szCs w:val="32"/>
          <w14:textFill>
            <w14:solidFill>
              <w14:schemeClr w14:val="tx1"/>
            </w14:solidFill>
          </w14:textFill>
        </w:rPr>
        <w:t>）分包人应当与分包作业人员签订书面劳动合同，并在工人进场前将劳动合同报承包人备案。在劳动合同中应明确工资支付方式、支付标准（不低于当地最低工资标准）及工资支付日期等条款，工人工资约定内容要便于计量和支付。</w:t>
      </w:r>
    </w:p>
    <w:p w14:paraId="2392662D">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2</w:t>
      </w:r>
      <w:r>
        <w:rPr>
          <w:rFonts w:hint="eastAsia" w:ascii="Times New Roman" w:hAnsi="Times New Roman" w:eastAsia="仿宋_GB2312"/>
          <w:color w:val="000000" w:themeColor="text1"/>
          <w:kern w:val="0"/>
          <w:szCs w:val="32"/>
          <w14:textFill>
            <w14:solidFill>
              <w14:schemeClr w14:val="tx1"/>
            </w14:solidFill>
          </w14:textFill>
        </w:rPr>
        <w:t>）分包人应建立职工花名册并办理劳动备案；要全面实行农民工实名制管理制度，建立劳动计酬手册，记录施工现场作业农民工的身份信息、劳动考勤、工资结算等信息。同时，分包人应每月向承包人提供上月所有分包作业人员的劳动合同签署情况、出勤情况、人员变动情况书面记录及本人签字确认的工资支付书面记录。除上述书面记录用工行为外，分包人承诺在本工程不存在其他劳务用工行为。</w:t>
      </w:r>
    </w:p>
    <w:p w14:paraId="3AFDD467">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3</w:t>
      </w:r>
      <w:r>
        <w:rPr>
          <w:rFonts w:hint="eastAsia" w:ascii="Times New Roman" w:hAnsi="Times New Roman" w:eastAsia="仿宋_GB2312"/>
          <w:color w:val="000000" w:themeColor="text1"/>
          <w:kern w:val="0"/>
          <w:szCs w:val="32"/>
          <w14:textFill>
            <w14:solidFill>
              <w14:schemeClr w14:val="tx1"/>
            </w14:solidFill>
          </w14:textFill>
        </w:rPr>
        <w:t>）若发现分包人未与工人签订劳动用工合同或者签订劳动合同不真实，分包人承担违约责任并赔偿因此给承包人造成的损失（包括但不限于诉讼费、律师费、行政处罚等），分包人同意承包人在工程进度款中扣除，承包人有权单方解除合同。</w:t>
      </w:r>
    </w:p>
    <w:p w14:paraId="09975AB8">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4</w:t>
      </w:r>
      <w:r>
        <w:rPr>
          <w:rFonts w:hint="eastAsia" w:ascii="Times New Roman" w:hAnsi="Times New Roman" w:eastAsia="仿宋_GB2312"/>
          <w:color w:val="000000" w:themeColor="text1"/>
          <w:kern w:val="0"/>
          <w:szCs w:val="32"/>
          <w14:textFill>
            <w14:solidFill>
              <w14:schemeClr w14:val="tx1"/>
            </w14:solidFill>
          </w14:textFill>
        </w:rPr>
        <w:t>）意外伤害保险缴纳后，分包人须将保单原件扫描并加盖公章后交承包人留存；分包人为每位劳务工人提供的意外伤害保险保额不得低于50万元。如分包人未购买保险的，承包人有权代为购买，并在进度款中扣除相关费用。</w:t>
      </w:r>
    </w:p>
    <w:p w14:paraId="3DA81F74">
      <w:pPr>
        <w:autoSpaceDE w:val="0"/>
        <w:autoSpaceDN w:val="0"/>
        <w:adjustRightInd w:val="0"/>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4.7.6.2 支付分包作业人员工资</w:t>
      </w:r>
    </w:p>
    <w:p w14:paraId="35C153AC">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分包人必须严格执行承包人的门禁制度，为每个劳务工人办理门禁卡（人脸识别），每次进出施工现场刷卡/刷脸考勤。</w:t>
      </w:r>
    </w:p>
    <w:p w14:paraId="190CC6CD">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农民工工资发放，按照【广州市两制管理标准】执行</w:t>
      </w:r>
    </w:p>
    <w:p w14:paraId="05692B88">
      <w:pPr>
        <w:numPr>
          <w:ilvl w:val="0"/>
          <w:numId w:val="3"/>
        </w:num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实行农民工工资代付，应付款中人工费部分由承包人代分包人支付工人工资，双方签订《农民工工资委托支付协议》。分包人可以承包人门禁系统考勤记录作为参考依据编制</w:t>
      </w:r>
      <w:r>
        <w:rPr>
          <w:rFonts w:ascii="Times New Roman" w:hAnsi="Times New Roman" w:eastAsia="仿宋_GB2312"/>
          <w:color w:val="000000" w:themeColor="text1"/>
          <w:kern w:val="0"/>
          <w:szCs w:val="32"/>
          <w14:textFill>
            <w14:solidFill>
              <w14:schemeClr w14:val="tx1"/>
            </w14:solidFill>
          </w14:textFill>
        </w:rPr>
        <w:t>农民工工资表格，</w:t>
      </w:r>
      <w:r>
        <w:rPr>
          <w:rFonts w:hint="eastAsia" w:ascii="Times New Roman" w:hAnsi="Times New Roman" w:eastAsia="仿宋_GB2312"/>
          <w:color w:val="000000" w:themeColor="text1"/>
          <w:kern w:val="0"/>
          <w:szCs w:val="32"/>
          <w14:textFill>
            <w14:solidFill>
              <w14:schemeClr w14:val="tx1"/>
            </w14:solidFill>
          </w14:textFill>
        </w:rPr>
        <w:t>承包人参照考勤记录和工资标准审核分包人提供的工资表后，直接将工人工资转入分包人工人工资卡中。分包人认可承包人银行转账记录作为承包人代付依据。如承包人代付的金额超出本合同项下承包人应付分包人的工程款，承包人有权从其与分包人签订的其他经济类合同项下的应付款项中直接扣除，或</w:t>
      </w:r>
      <w:r>
        <w:rPr>
          <w:rFonts w:ascii="Times New Roman" w:hAnsi="Times New Roman" w:eastAsia="仿宋_GB2312"/>
          <w:color w:val="000000" w:themeColor="text1"/>
          <w:kern w:val="0"/>
          <w:szCs w:val="32"/>
          <w14:textFill>
            <w14:solidFill>
              <w14:schemeClr w14:val="tx1"/>
            </w14:solidFill>
          </w14:textFill>
        </w:rPr>
        <w:t>由</w:t>
      </w:r>
      <w:r>
        <w:rPr>
          <w:rFonts w:hint="eastAsia" w:ascii="Times New Roman" w:hAnsi="Times New Roman" w:eastAsia="仿宋_GB2312"/>
          <w:color w:val="000000" w:themeColor="text1"/>
          <w:kern w:val="0"/>
          <w:szCs w:val="32"/>
          <w14:textFill>
            <w14:solidFill>
              <w14:schemeClr w14:val="tx1"/>
            </w14:solidFill>
          </w14:textFill>
        </w:rPr>
        <w:t>分包人</w:t>
      </w:r>
      <w:r>
        <w:rPr>
          <w:rFonts w:ascii="Times New Roman" w:hAnsi="Times New Roman" w:eastAsia="仿宋_GB2312"/>
          <w:color w:val="000000" w:themeColor="text1"/>
          <w:kern w:val="0"/>
          <w:szCs w:val="32"/>
          <w14:textFill>
            <w14:solidFill>
              <w14:schemeClr w14:val="tx1"/>
            </w14:solidFill>
          </w14:textFill>
        </w:rPr>
        <w:t>支付不足部分，</w:t>
      </w:r>
      <w:r>
        <w:rPr>
          <w:rFonts w:hint="eastAsia" w:ascii="Times New Roman" w:hAnsi="Times New Roman" w:eastAsia="仿宋_GB2312"/>
          <w:color w:val="000000" w:themeColor="text1"/>
          <w:kern w:val="0"/>
          <w:szCs w:val="32"/>
          <w14:textFill>
            <w14:solidFill>
              <w14:schemeClr w14:val="tx1"/>
            </w14:solidFill>
          </w14:textFill>
        </w:rPr>
        <w:t>分包人不得提出任何异议。</w:t>
      </w:r>
    </w:p>
    <w:p w14:paraId="1084AB49">
      <w:pPr>
        <w:numPr>
          <w:ilvl w:val="0"/>
          <w:numId w:val="3"/>
        </w:num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依据劳动合同每月按时足额支付作业人员工资，可以承包人门禁系统考核结果作为参考依据编制工资表格。分包人作业人员工资不得低于工程所在地最低工资标准，并于收到承包人支付的工程款后【10】日内向承包人提供支付劳务工人工资的回执单。否则，承包人有权暂停支付最近一期及以后各期工程款。</w:t>
      </w:r>
    </w:p>
    <w:p w14:paraId="23A6969C">
      <w:pPr>
        <w:numPr>
          <w:ilvl w:val="0"/>
          <w:numId w:val="3"/>
        </w:num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如分包人未按照约定及时【支付</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申请代付】作业人员工资，出现经济纠纷事件，干扰承包人正常工作，分包人应及时解决。经承包人催告（包括口头催告）后半天内仍不履行义务，在第三方证明或相关政府部门要求下承包人或发包人可行使特别付款权，使用未付工程款代分包人支付工人工资。分包人未如期【支付</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申请代付】分包作业人员工资及法定社会保险费用，导致分包人作业人员投诉、上访或引发纠纷的或影响承包人及承包人项目正常工作的，经发包人同意，承包人可单方面解除合同，同时分包人承担违约责任，如果违约金不足以弥补承包人损失的，分包人还应承担赔偿责任。</w:t>
      </w:r>
    </w:p>
    <w:p w14:paraId="1E2CC755">
      <w:pPr>
        <w:autoSpaceDE w:val="0"/>
        <w:autoSpaceDN w:val="0"/>
        <w:adjustRightInd w:val="0"/>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 xml:space="preserve">4.7.6.3 分包作业人员管理 </w:t>
      </w:r>
    </w:p>
    <w:p w14:paraId="109A446B">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1</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分包人应当根据承包人编制的施工组织设计，编制与施工组织设计相适应的劳动力安排计划，劳动力安排计划应当包括分包作业人员数量、工种、进场时间、退场时间以及劳务费支付计划等，劳动力安排计划应当经承包人批准后实施。</w:t>
      </w:r>
    </w:p>
    <w:p w14:paraId="2D26D951">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2</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分包人应当组织具有相应资格证书和符合本合同分包作业要求的分包作业人员投入工作。</w:t>
      </w:r>
    </w:p>
    <w:p w14:paraId="60428166">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3</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承包人有权随时检查分包作业人员的有效证件及持证上岗情况。特种作业人员必须按照有关规定取得相应职业资格证书，并保证人证合一，否则承包人有权禁止未获得相应资格证书的特种作业人员进入分包作业现场，并要求分包人承担违约责任。</w:t>
      </w:r>
    </w:p>
    <w:p w14:paraId="060E24C7">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4</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承包人要求撤换违章作业的分包作业人员时，分包人应当立即撤换。分包人无正当理由拒绝撤换的，应承担违约责任。</w:t>
      </w:r>
    </w:p>
    <w:p w14:paraId="0800C750">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5</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分包人应当对分包作业人员进行实名制管理，包括但不限于进出场管理、登记造册管理、工资支付管理以及各种证照的办理。分包人在进场前提供所有人员花名册，并提供：身份证、暂住证、健康证、上岗证等复印件，其费用由分包人自行承担。</w:t>
      </w:r>
    </w:p>
    <w:p w14:paraId="55ADC8D0">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6</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分包人加强劳务用工管理，执行工程所在地建筑企业用工的有关规定。</w:t>
      </w:r>
    </w:p>
    <w:p w14:paraId="70F4013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分包人任何危险作业活动必须经承包人批准后方准实施。</w:t>
      </w:r>
    </w:p>
    <w:p w14:paraId="716B14A5">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工程价款应专款专用</w:t>
      </w:r>
      <w:r>
        <w:rPr>
          <w:color w:val="000000" w:themeColor="text1"/>
          <w14:textFill>
            <w14:solidFill>
              <w14:schemeClr w14:val="tx1"/>
            </w14:solidFill>
          </w14:textFill>
        </w:rPr>
        <w:t>：</w:t>
      </w:r>
    </w:p>
    <w:p w14:paraId="3D81222F">
      <w:pPr>
        <w:pStyle w:val="56"/>
        <w:ind w:firstLine="484" w:firstLineChars="20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.2为保证工程价款专款专用，分包人须按承包人要求材料设备付款台账及证明</w:t>
      </w:r>
      <w:r>
        <w:rPr>
          <w:rFonts w:hint="eastAsia"/>
          <w:color w:val="000000" w:themeColor="text1"/>
          <w:u w:val="single"/>
          <w14:textFill>
            <w14:solidFill>
              <w14:schemeClr w14:val="tx1"/>
            </w14:solidFill>
          </w14:textFill>
        </w:rPr>
        <w:t>。</w:t>
      </w:r>
    </w:p>
    <w:p w14:paraId="565453D5">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4.9 分包人</w:t>
      </w:r>
      <w:r>
        <w:rPr>
          <w:color w:val="000000" w:themeColor="text1"/>
          <w14:textFill>
            <w14:solidFill>
              <w14:schemeClr w14:val="tx1"/>
            </w14:solidFill>
          </w14:textFill>
        </w:rPr>
        <w:t>现场查勘：</w:t>
      </w:r>
    </w:p>
    <w:p w14:paraId="2D5F0A26">
      <w:pPr>
        <w:pStyle w:val="56"/>
        <w:ind w:firstLine="48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4.9.2. 承包人</w:t>
      </w:r>
      <w:r>
        <w:rPr>
          <w:color w:val="000000" w:themeColor="text1"/>
          <w14:textFill>
            <w14:solidFill>
              <w14:schemeClr w14:val="tx1"/>
            </w14:solidFill>
          </w14:textFill>
        </w:rPr>
        <w:t>向分包人提供的其他资料：</w:t>
      </w:r>
    </w:p>
    <w:p w14:paraId="3728D552">
      <w:pPr>
        <w:pStyle w:val="56"/>
        <w:ind w:firstLine="484" w:firstLineChars="202"/>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1、施工场地的地质勘探资料、地下管网线路、地下构筑物资料、现场水文气象资料。分包人应对其阅读上述有关资料后所作出的解释和推断负责。如因分包人原因造成损坏，由分包人负责维修并承担费用。</w:t>
      </w:r>
    </w:p>
    <w:p w14:paraId="4A44F636">
      <w:pPr>
        <w:pStyle w:val="56"/>
        <w:ind w:firstLine="484" w:firstLineChars="202"/>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2、承包人将水平控制点提供给分包人，并于现场交验。水平控制点交验完毕，即由分包人自费负责保护，此后由于破坏或失准带来的重新测量、放点费用及由此造成的其他损失均由分包人负担。</w:t>
      </w:r>
    </w:p>
    <w:p w14:paraId="3FF90F4C">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4.11.转包</w:t>
      </w:r>
    </w:p>
    <w:p w14:paraId="57063F68">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建设工程项目禁止转包或肢解后以分包名义进行转包。分包人存在下列情形之一的应认定为转包：</w:t>
      </w:r>
    </w:p>
    <w:p w14:paraId="33BD9092">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①分包人将其承包的全部工程转给其他单位或个人施工的；</w:t>
      </w:r>
    </w:p>
    <w:p w14:paraId="0431A824">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②分包人将其承包的全部工程肢解以后，以分包的名义分别转给其他单位或个人施工的；</w:t>
      </w:r>
    </w:p>
    <w:p w14:paraId="0E866D74">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③分包人通过采取合作、联营、个人承包等形式或名义，直接或变相将其他承包的全部工程转给其他单位或个人施工的。</w:t>
      </w:r>
    </w:p>
    <w:p w14:paraId="5968B021">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分包人出现以上转包情形的，经发包人书面同意，承包人有权单方解除合同，分包人应向承包人承担违约责任，由此造成承包人损失的，由分包人负责赔偿。</w:t>
      </w:r>
    </w:p>
    <w:p w14:paraId="52C67C79">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4.12.遵守法律</w:t>
      </w:r>
    </w:p>
    <w:p w14:paraId="724021AF">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在履行合同期间应遵守法律，并保证承包人和发包人免于承担因分包人违反法律而引起的任何责任。遵守国家、省、市有关社会信用体系建设工作的法律法规和部门规章，严格执行信用承诺制度，违背信用承诺约定时，承担违约责任，并依法承担相应法律责任。分包人在本工程项目中存在下列行为的，将被拒绝参与发包人及其集团系内后续工程项目的投标，拒绝投标时限由发包人视分包人违法、违规严重程度确定：</w:t>
      </w:r>
    </w:p>
    <w:p w14:paraId="013ABBA3">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①将中标工程转包或者违法再分包的；</w:t>
      </w:r>
    </w:p>
    <w:p w14:paraId="06161514">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②在中标工程中不执行质量、安全生产相关规定，造成严重质量或安全事故的；</w:t>
      </w:r>
    </w:p>
    <w:p w14:paraId="349C831E">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③存在围标或串标情形的；</w:t>
      </w:r>
    </w:p>
    <w:p w14:paraId="7717798C">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④存在弄虚作假骗取中标情形的；</w:t>
      </w:r>
    </w:p>
    <w:p w14:paraId="7F142021">
      <w:pPr>
        <w:widowControl/>
        <w:ind w:firstLine="480" w:firstLineChars="200"/>
        <w:jc w:val="left"/>
        <w:rPr>
          <w:rFonts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⑤存在因过错行为被生效法律文书认定承担违约或侵权责任的；</w:t>
      </w:r>
    </w:p>
    <w:p w14:paraId="273BA96E">
      <w:pPr>
        <w:pStyle w:val="56"/>
        <w:ind w:firstLine="484" w:firstLineChars="202"/>
        <w:rPr>
          <w:rFonts w:ascii="仿宋" w:hAnsi="仿宋" w:eastAsia="仿宋"/>
          <w:color w:val="000000" w:themeColor="text1"/>
          <w14:textFill>
            <w14:solidFill>
              <w14:schemeClr w14:val="tx1"/>
            </w14:solidFill>
          </w14:textFill>
        </w:rPr>
      </w:pPr>
      <w:r>
        <w:rPr>
          <w:rFonts w:hint="eastAsia"/>
          <w:color w:val="000000" w:themeColor="text1"/>
          <w14:textFill>
            <w14:solidFill>
              <w14:schemeClr w14:val="tx1"/>
            </w14:solidFill>
          </w14:textFill>
        </w:rPr>
        <w:t>⑥分包人的不良行为导致发包人对其履约评价得分在60分以下或不及格的。</w:t>
      </w:r>
    </w:p>
    <w:p w14:paraId="703AC581">
      <w:pPr>
        <w:pStyle w:val="77"/>
        <w:rPr>
          <w:color w:val="000000" w:themeColor="text1"/>
          <w14:textFill>
            <w14:solidFill>
              <w14:schemeClr w14:val="tx1"/>
            </w14:solidFill>
          </w14:textFill>
        </w:rPr>
      </w:pPr>
      <w:bookmarkStart w:id="626" w:name="_Toc44492570"/>
      <w:bookmarkStart w:id="627" w:name="_Toc19925"/>
      <w:bookmarkStart w:id="628" w:name="_Toc91082438"/>
      <w:bookmarkStart w:id="629" w:name="_Toc44228157"/>
      <w:bookmarkStart w:id="630" w:name="_Toc18650"/>
      <w:bookmarkStart w:id="631" w:name="_Toc6484"/>
      <w:bookmarkStart w:id="632" w:name="_Toc38987274"/>
      <w:r>
        <w:rPr>
          <w:rFonts w:hint="eastAsia"/>
          <w:color w:val="000000" w:themeColor="text1"/>
          <w14:textFill>
            <w14:solidFill>
              <w14:schemeClr w14:val="tx1"/>
            </w14:solidFill>
          </w14:textFill>
        </w:rPr>
        <w:t>5.材料和工程设备</w:t>
      </w:r>
      <w:bookmarkEnd w:id="626"/>
      <w:bookmarkEnd w:id="627"/>
      <w:bookmarkEnd w:id="628"/>
      <w:bookmarkEnd w:id="629"/>
      <w:bookmarkEnd w:id="630"/>
      <w:bookmarkEnd w:id="631"/>
      <w:bookmarkEnd w:id="632"/>
    </w:p>
    <w:p w14:paraId="3F15641B">
      <w:pPr>
        <w:pStyle w:val="81"/>
        <w:ind w:firstLine="480"/>
        <w:rPr>
          <w:color w:val="000000" w:themeColor="text1"/>
          <w14:textFill>
            <w14:solidFill>
              <w14:schemeClr w14:val="tx1"/>
            </w14:solidFill>
          </w14:textFill>
        </w:rPr>
      </w:pPr>
      <w:bookmarkStart w:id="633" w:name="_Toc27607"/>
      <w:bookmarkStart w:id="634" w:name="_Toc44492571"/>
      <w:bookmarkStart w:id="635" w:name="_Toc10882"/>
      <w:r>
        <w:rPr>
          <w:rFonts w:hint="eastAsia"/>
          <w:color w:val="000000" w:themeColor="text1"/>
          <w14:textFill>
            <w14:solidFill>
              <w14:schemeClr w14:val="tx1"/>
            </w14:solidFill>
          </w14:textFill>
        </w:rPr>
        <w:t>5.1. 分包人提供的材料和工程设备</w:t>
      </w:r>
      <w:bookmarkEnd w:id="633"/>
      <w:bookmarkEnd w:id="634"/>
      <w:bookmarkEnd w:id="635"/>
    </w:p>
    <w:p w14:paraId="1BA1F7F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本工程使用的材料和工程设备参考品牌详见合同附件《材料设备品牌推荐表》。分包人进场后不晚于样品送样前7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p>
    <w:p w14:paraId="0421266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5.1.2.发包人、承包人对分包人提供材料和工程设备的另行约定为：分包人原则上必须选用工程材料设备品牌推荐表中明确的材料设备品牌，并经承包人及发包人审批同意后方可用于本合同工程；招标文件未列明品牌及供货厂家的，承包人必须注明所选用材料设备的品牌产地、规格、等级，应在国优、省优、行业知名产品中，择优选择3家或以上的候选品牌、厂家，报监理人、发包人审批后采用。主材应由承包人选定厂家和品牌后报发包人批准，且承包人选用主材不应低于投标文件中的技术标准。同时应符合本项目绿建二星认证的要求。半成品加工厂应由承包人择优选择3-家或以上满足现场质量及产能需求的候选加工厂家，经发包人监理人考察确认，由承包人报监理人、发包人审批后采用。</w:t>
      </w:r>
    </w:p>
    <w:p w14:paraId="28D6FB6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于投标书中已承诺并经承包人、发包人确认的材料（设备），经监理人和发包人、承包人核实，在施工当时已停产或施工当时有生产但市场上的数量不能满足施工需要的，分包人应及时向监理人和发包人提供相关佐证资料，申请更换相关材料设备品牌。若招标时材料设备品牌推荐表已提供参考品牌的，由分包人在推荐品牌中选择与投标书中已承诺材料同一档次或高一档次的品牌材料，主材或设备价格按原投标材料（设备）单价；若招标时材料设备品牌推荐表未明确参考品牌的，且分包人在其投标书中亦未对相关材料（设备）品牌进行承诺的，须采购满足相关技术要求且承包人、发包人认可的材料（设备），价格按原投标单价；</w:t>
      </w:r>
    </w:p>
    <w:p w14:paraId="3035A54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上要求也包括材料或设备部分参数、效果不满足技术要求及品控要求，以及在施工过程中已使用的厂家出现产能不足或参数、效果不满足技术要求及品控要求的情形；分包人应按照本合同约定的参考品牌、技术要求、现场施工需要更换或增加相应材料品牌或加工厂家，发包人、承包人有权要求分包人组织调研、提供样板进行评审确认。</w:t>
      </w:r>
    </w:p>
    <w:p w14:paraId="2FC04BE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5.1.4. 分包人自行采购的材料设备，订货前至少</w:t>
      </w:r>
      <w:r>
        <w:rPr>
          <w:color w:val="000000" w:themeColor="text1"/>
          <w:u w:val="single"/>
          <w14:textFill>
            <w14:solidFill>
              <w14:schemeClr w14:val="tx1"/>
            </w14:solidFill>
          </w14:textFill>
        </w:rPr>
        <w:t>5</w:t>
      </w:r>
      <w:r>
        <w:rPr>
          <w:rFonts w:hint="eastAsia"/>
          <w:color w:val="000000" w:themeColor="text1"/>
          <w:u w:val="single"/>
          <w14:textFill>
            <w14:solidFill>
              <w14:schemeClr w14:val="tx1"/>
            </w14:solidFill>
          </w14:textFill>
        </w:rPr>
        <w:t>天（属监造设备的订货前至少</w:t>
      </w:r>
      <w:r>
        <w:rPr>
          <w:color w:val="000000" w:themeColor="text1"/>
          <w:u w:val="single"/>
          <w14:textFill>
            <w14:solidFill>
              <w14:schemeClr w14:val="tx1"/>
            </w14:solidFill>
          </w14:textFill>
        </w:rPr>
        <w:t>10</w:t>
      </w:r>
      <w:r>
        <w:rPr>
          <w:rFonts w:hint="eastAsia"/>
          <w:color w:val="000000" w:themeColor="text1"/>
          <w:u w:val="single"/>
          <w14:textFill>
            <w14:solidFill>
              <w14:schemeClr w14:val="tx1"/>
            </w14:solidFill>
          </w14:textFill>
        </w:rPr>
        <w:t>天），</w:t>
      </w:r>
      <w:r>
        <w:rPr>
          <w:rFonts w:hint="eastAsia"/>
          <w:color w:val="000000" w:themeColor="text1"/>
          <w14:textFill>
            <w14:solidFill>
              <w14:schemeClr w14:val="tx1"/>
            </w14:solidFill>
          </w14:textFill>
        </w:rPr>
        <w:t xml:space="preserve">通过承包人审核后，由承包人向监理人及发包人提供相关的材料、设备文件（包括但不限于品牌、产地、规格、等级、技术性能指标检测检验报告等证明材料、设备满足招标图纸及技术文件要求，且与发包人推荐品牌相当档次的文件、资料），报承包人及发包人审批同意后方可采购；并对需要封样的产品进行三方封样, 作为进场验收和施工复核的依据。分包人所购材料设备必须是原厂、正品、全新的产品。 </w:t>
      </w:r>
    </w:p>
    <w:p w14:paraId="711CB94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材料、设备所配套申报的生产及加工厂家、代理商需要满足招标文件中相关要求，并配合发包人进行相关考察，考察结果不能满足项目需求的，承包人或发包人有权拒绝使用该项产品。材料、设备进场前7天，需要向承包人和发包人提供分包人或其经发包人审批的相关厂家、授权代理商签订的供货合同、出厂合格证、各种产品质量认证证书、出厂试验报告、型式试验报告、第三方检测报告、相关保证函、厂家联系方式、验证方式、厂家确认的出货单等相关正规渠道出货证明，进口材料设备还需要提供报关单、原产地证明、商检证明文件。授权代理商须提供项目授权或年度授权证明。材料、设备、辅材的采购不得由劳务分包代购。材料、设备未附相关采购合同的，进度款中承包人不予支付相关材料、设备费用。</w:t>
      </w:r>
    </w:p>
    <w:p w14:paraId="29C6831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分包人需要根据承包人及发包人要求制定材料设备的进场计划并与厂家制定材料设备排产计划和监造大纲。按监造大纲组织到厂监造。监造材料设备的相关费用由分包人承担，并在投标报价中综合考虑。</w:t>
      </w:r>
    </w:p>
    <w:p w14:paraId="13A5CDE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自行采购的材料、设备（或元件）未按合同约定报承包人及发包人审批同意的，分包人应按合同约定支付违约金。承包人有权要求分包人拆除、退场或重新采购，并承担由此发生的费用，工期不予顺延。若承包人及发包人同意验收的，分包人应支付上述违约金并采取以下处理方法：若该批材料、设备（或元件）市场价低于合同材料、设备（或元件）价格的，则分包人按照材料、设备市场价计价并再以价差计算违约金；若该批材料、设备（或元件）市场价高于合同材料、设备（或元件）价格的，则按合同材料、设备（或元件）价格计价。</w:t>
      </w:r>
    </w:p>
    <w:p w14:paraId="50E1369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发包人有权对原《材料设备品牌推荐表》的部分品牌进行更换或取消，对新增的材料设备品牌价格由三方协商确定。</w:t>
      </w:r>
    </w:p>
    <w:p w14:paraId="19396A8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对于垄断性（消防、电力、防雷、市政给水、排污、环保、燃气、网络通讯等）部门要求验收的材料，分包人必须使用在工程所在地有相关工程业绩的材料并提交相关工程业绩的证明。</w:t>
      </w:r>
    </w:p>
    <w:p w14:paraId="79D68B9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5.1.8.检测费用承担方式：</w:t>
      </w:r>
    </w:p>
    <w:p w14:paraId="0070446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合同工程相关的第三方检测由发包人另行委托，不在本合同范围内，发包人只承担相应的检测费，其他一切相关费用及工作均由分包人承担且已经包含在本合同价款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分包人不得以该抽检工作为由提出工期索赔。检验的结果证明该项材料、设备不符合合同要求的，因此增加的费用由分包人承担；检验结果证明该项材料、设备符合合同要求的，由发包人承担因此增加的费用。</w:t>
      </w:r>
    </w:p>
    <w:p w14:paraId="515343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各项检查中已经出现不合格品的材料、设备整改后需要加倍抽检或全检，分包人承担全额费用，工期不予顺延。不论是否通过发包人、监理人的抽查、验收，监理人及发包人对材料、设备的检验、抽查意见均不免除分包人提供的材料设备不符合合同约定的责任。</w:t>
      </w:r>
    </w:p>
    <w:p w14:paraId="4226F3E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5.1.9. 分包人采购和（或）使用使用不合格、质量不达标、假冒伪劣材料、设备的，应按补充条款约定支付违约金。发包人或承包人有权要求分包人拆除、退场或重新采购，并承担由此发生的费用，工期不予顺延。若发包人及承包人同意验收的，分包人应支付上述违约金并采取以下处理方法：若该批材料、设备（或元件）市场价低于合同材料、设备（或元件）价格的，则分包人按照材料、设备（或元件）市场价计价并再以价差计算违约金；若该批材料、设备（或元件）市场价高于合同材料、设备（或元件）价格的，则按合同材料、设备（或元件）价格计价。</w:t>
      </w:r>
    </w:p>
    <w:p w14:paraId="15AAAB6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若分包人将假冒伪劣材料设备用于本工程，</w:t>
      </w:r>
      <w:r>
        <w:rPr>
          <w:rFonts w:hint="eastAsia"/>
          <w:color w:val="000000" w:themeColor="text1"/>
          <w:u w:val="single"/>
          <w14:textFill>
            <w14:solidFill>
              <w14:schemeClr w14:val="tx1"/>
            </w14:solidFill>
          </w14:textFill>
        </w:rPr>
        <w:t>则每发生一例，经发包人书面通知，承包人有权要求分包人按补充条款约定承担违约责任，该款项直接从工程进度款及工程结算款中扣除，无需经分包人同意。</w:t>
      </w:r>
      <w:r>
        <w:rPr>
          <w:rFonts w:hint="eastAsia"/>
          <w:color w:val="000000" w:themeColor="text1"/>
          <w14:textFill>
            <w14:solidFill>
              <w14:schemeClr w14:val="tx1"/>
            </w14:solidFill>
          </w14:textFill>
        </w:rPr>
        <w:t xml:space="preserve"> 分包人并应无条件负责修复、拆除并将所购材料设备退场，并承担由此产生的一切费用及责任，由此延误的工期由分包人承担责任。 </w:t>
      </w:r>
    </w:p>
    <w:p w14:paraId="632C489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5.1.12. 分包人可能被要求提供下列与备品备件有关的材料、通知和资料：</w:t>
      </w:r>
      <w:r>
        <w:rPr>
          <w:color w:val="000000" w:themeColor="text1"/>
          <w14:textFill>
            <w14:solidFill>
              <w14:schemeClr w14:val="tx1"/>
            </w14:solidFill>
          </w14:textFill>
        </w:rPr>
        <w:t xml:space="preserve"> </w:t>
      </w:r>
    </w:p>
    <w:p w14:paraId="797D857B">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发包人或承包人所需的备件有</w:t>
      </w:r>
      <w:r>
        <w:rPr>
          <w:rFonts w:hint="eastAsia"/>
          <w:color w:val="000000" w:themeColor="text1"/>
          <w:u w:val="single"/>
          <w14:textFill>
            <w14:solidFill>
              <w14:schemeClr w14:val="tx1"/>
            </w14:solidFill>
          </w14:textFill>
        </w:rPr>
        <w:t>：/。</w:t>
      </w:r>
    </w:p>
    <w:p w14:paraId="7C8179D6">
      <w:pPr>
        <w:pStyle w:val="81"/>
        <w:ind w:firstLine="480"/>
        <w:rPr>
          <w:color w:val="000000" w:themeColor="text1"/>
          <w14:textFill>
            <w14:solidFill>
              <w14:schemeClr w14:val="tx1"/>
            </w14:solidFill>
          </w14:textFill>
        </w:rPr>
      </w:pPr>
      <w:bookmarkStart w:id="636" w:name="_Toc28464"/>
      <w:bookmarkStart w:id="637" w:name="_Toc9193"/>
      <w:bookmarkStart w:id="638" w:name="_Toc44492572"/>
      <w:r>
        <w:rPr>
          <w:rFonts w:hint="eastAsia"/>
          <w:color w:val="000000" w:themeColor="text1"/>
          <w14:textFill>
            <w14:solidFill>
              <w14:schemeClr w14:val="tx1"/>
            </w14:solidFill>
          </w14:textFill>
        </w:rPr>
        <w:t>5.2.发包人提供的材料和工程设备</w:t>
      </w:r>
      <w:bookmarkEnd w:id="636"/>
      <w:bookmarkEnd w:id="637"/>
      <w:bookmarkEnd w:id="638"/>
    </w:p>
    <w:p w14:paraId="53B6055C">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639" w:name="_Toc10356"/>
      <w:r>
        <w:rPr>
          <w:rFonts w:hint="eastAsia" w:ascii="Times New Roman" w:hAnsi="Times New Roman" w:eastAsia="仿宋_GB2312"/>
          <w:color w:val="000000" w:themeColor="text1"/>
          <w:kern w:val="0"/>
          <w:szCs w:val="32"/>
          <w14:textFill>
            <w14:solidFill>
              <w14:schemeClr w14:val="tx1"/>
            </w14:solidFill>
          </w14:textFill>
        </w:rPr>
        <w:t>本工程由分包人包工包料包工程设备，发包人不提供的材料和工程设备。</w:t>
      </w:r>
    </w:p>
    <w:bookmarkEnd w:id="639"/>
    <w:p w14:paraId="4C2E454A">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禁止使用不合格的材料和工程设备</w:t>
      </w:r>
    </w:p>
    <w:p w14:paraId="1EE585EC">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5.4.4.分包人使用了不合格材料或工程设备，工程质量达不到标准要求，又拒绝清除不合格工程的，分包人应按合同补充条款约定承担违约责任。</w:t>
      </w:r>
    </w:p>
    <w:p w14:paraId="73B37060">
      <w:pPr>
        <w:pStyle w:val="77"/>
        <w:rPr>
          <w:color w:val="000000" w:themeColor="text1"/>
          <w14:textFill>
            <w14:solidFill>
              <w14:schemeClr w14:val="tx1"/>
            </w14:solidFill>
          </w14:textFill>
        </w:rPr>
      </w:pPr>
      <w:bookmarkStart w:id="640" w:name="_Toc44492573"/>
      <w:bookmarkStart w:id="641" w:name="_Toc13460"/>
      <w:bookmarkStart w:id="642" w:name="_Toc91082439"/>
      <w:bookmarkStart w:id="643" w:name="_Toc44228158"/>
      <w:bookmarkStart w:id="644" w:name="_Toc31629"/>
      <w:bookmarkStart w:id="645" w:name="_Toc38987275"/>
      <w:bookmarkStart w:id="646" w:name="_Toc20736"/>
      <w:r>
        <w:rPr>
          <w:rFonts w:hint="eastAsia"/>
          <w:color w:val="000000" w:themeColor="text1"/>
          <w14:textFill>
            <w14:solidFill>
              <w14:schemeClr w14:val="tx1"/>
            </w14:solidFill>
          </w14:textFill>
        </w:rPr>
        <w:t>6.施工设备和临时设施</w:t>
      </w:r>
      <w:bookmarkEnd w:id="640"/>
      <w:bookmarkEnd w:id="641"/>
      <w:bookmarkEnd w:id="642"/>
      <w:bookmarkEnd w:id="643"/>
      <w:bookmarkEnd w:id="644"/>
      <w:bookmarkEnd w:id="645"/>
      <w:bookmarkEnd w:id="646"/>
    </w:p>
    <w:p w14:paraId="191D3653">
      <w:pPr>
        <w:pStyle w:val="81"/>
        <w:ind w:firstLine="482"/>
        <w:rPr>
          <w:b/>
          <w:color w:val="000000" w:themeColor="text1"/>
          <w14:textFill>
            <w14:solidFill>
              <w14:schemeClr w14:val="tx1"/>
            </w14:solidFill>
          </w14:textFill>
        </w:rPr>
      </w:pPr>
      <w:bookmarkStart w:id="647" w:name="_Toc44492574"/>
      <w:bookmarkStart w:id="648" w:name="_Toc25127"/>
      <w:bookmarkStart w:id="649" w:name="_Toc2314"/>
      <w:r>
        <w:rPr>
          <w:rFonts w:hint="eastAsia"/>
          <w:b/>
          <w:color w:val="000000" w:themeColor="text1"/>
          <w14:textFill>
            <w14:solidFill>
              <w14:schemeClr w14:val="tx1"/>
            </w14:solidFill>
          </w14:textFill>
        </w:rPr>
        <w:t>6.1. 分包人提供的施工设备和临时设施</w:t>
      </w:r>
      <w:bookmarkEnd w:id="647"/>
      <w:bookmarkEnd w:id="648"/>
      <w:bookmarkEnd w:id="649"/>
    </w:p>
    <w:p w14:paraId="4D99843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6.1.2. 分包人提供的施工设备或临时设施：</w:t>
      </w:r>
      <w:r>
        <w:rPr>
          <w:rFonts w:hint="eastAsia"/>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分包人提供的施工设备或临时设施不得低于分包人投标文件中明确的数量、规格及投入时间等承诺标准，详见本合同附件《主要施工机械设备表》；如投标承诺中提供的施工设备或临时设施无法满足按约定的时间、质量标准等完成本合同工程的要求，分包人应自行增加、完善投入的施工设备和临时设施；如承包人认为分包人投入的施工设备或临时设施不足，已影响到工程进度、安全、质量，承包人有权要求分包人在</w:t>
      </w:r>
      <w:r>
        <w:rPr>
          <w:rFonts w:hAnsi="宋体"/>
          <w:color w:val="000000" w:themeColor="text1"/>
          <w:u w:val="single"/>
          <w14:textFill>
            <w14:solidFill>
              <w14:schemeClr w14:val="tx1"/>
            </w14:solidFill>
          </w14:textFill>
        </w:rPr>
        <w:t>48小时内增加及完善投入的施工设备和临时设施，否则分包人</w:t>
      </w:r>
      <w:r>
        <w:rPr>
          <w:rFonts w:hint="eastAsia" w:hAnsi="宋体"/>
          <w:color w:val="000000" w:themeColor="text1"/>
          <w:u w:val="single"/>
          <w14:textFill>
            <w14:solidFill>
              <w14:schemeClr w14:val="tx1"/>
            </w14:solidFill>
          </w14:textFill>
        </w:rPr>
        <w:t>每次</w:t>
      </w:r>
      <w:r>
        <w:rPr>
          <w:rFonts w:hAnsi="宋体"/>
          <w:color w:val="000000" w:themeColor="text1"/>
          <w:u w:val="single"/>
          <w14:textFill>
            <w14:solidFill>
              <w14:schemeClr w14:val="tx1"/>
            </w14:solidFill>
          </w14:textFill>
        </w:rPr>
        <w:t>须向</w:t>
      </w:r>
      <w:r>
        <w:rPr>
          <w:rFonts w:hint="eastAsia" w:hAnsi="宋体"/>
          <w:color w:val="000000" w:themeColor="text1"/>
          <w:u w:val="single"/>
          <w14:textFill>
            <w14:solidFill>
              <w14:schemeClr w14:val="tx1"/>
            </w14:solidFill>
          </w14:textFill>
        </w:rPr>
        <w:t>承</w:t>
      </w:r>
      <w:r>
        <w:rPr>
          <w:rFonts w:hAnsi="宋体"/>
          <w:color w:val="000000" w:themeColor="text1"/>
          <w:u w:val="single"/>
          <w14:textFill>
            <w14:solidFill>
              <w14:schemeClr w14:val="tx1"/>
            </w14:solidFill>
          </w14:textFill>
        </w:rPr>
        <w:t>包人</w:t>
      </w:r>
      <w:r>
        <w:rPr>
          <w:rFonts w:hint="eastAsia" w:hAnsi="宋体"/>
          <w:color w:val="000000" w:themeColor="text1"/>
          <w:u w:val="single"/>
          <w14:textFill>
            <w14:solidFill>
              <w14:schemeClr w14:val="tx1"/>
            </w14:solidFill>
          </w14:textFill>
        </w:rPr>
        <w:t>按</w:t>
      </w:r>
      <w:r>
        <w:rPr>
          <w:rFonts w:hint="eastAsia"/>
          <w:color w:val="000000" w:themeColor="text1"/>
          <w14:textFill>
            <w14:solidFill>
              <w14:schemeClr w14:val="tx1"/>
            </w14:solidFill>
          </w14:textFill>
        </w:rPr>
        <w:t>补充条款</w:t>
      </w:r>
      <w:r>
        <w:rPr>
          <w:rFonts w:hint="eastAsia" w:hAnsi="宋体"/>
          <w:color w:val="000000" w:themeColor="text1"/>
          <w:u w:val="single"/>
          <w14:textFill>
            <w14:solidFill>
              <w14:schemeClr w14:val="tx1"/>
            </w14:solidFill>
          </w14:textFill>
        </w:rPr>
        <w:t>承担违约责任，增加及完善投入的施工设备和临时设施相关费用由分包人承担，发包人或承包人不再另行支付</w:t>
      </w:r>
      <w:r>
        <w:rPr>
          <w:rFonts w:hint="eastAsia"/>
          <w:color w:val="000000" w:themeColor="text1"/>
          <w14:textFill>
            <w14:solidFill>
              <w14:schemeClr w14:val="tx1"/>
            </w14:solidFill>
          </w14:textFill>
        </w:rPr>
        <w:t>。</w:t>
      </w:r>
    </w:p>
    <w:p w14:paraId="1AC8598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.1.3分包人不得以任何理由中途停工，或变相减少施工组织中规定的施工设备，否则经承包人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发包人和</w:t>
      </w:r>
      <w:r>
        <w:rPr>
          <w:rFonts w:hint="eastAsia"/>
          <w:color w:val="000000" w:themeColor="text1"/>
          <w14:textFill>
            <w14:solidFill>
              <w14:schemeClr w14:val="tx1"/>
            </w14:solidFill>
          </w14:textFill>
        </w:rPr>
        <w:t>监理人</w:t>
      </w:r>
      <w:r>
        <w:rPr>
          <w:color w:val="000000" w:themeColor="text1"/>
          <w14:textFill>
            <w14:solidFill>
              <w14:schemeClr w14:val="tx1"/>
            </w14:solidFill>
          </w14:textFill>
        </w:rPr>
        <w:t>确认，视为分包人违约，分包人</w:t>
      </w:r>
      <w:r>
        <w:rPr>
          <w:rFonts w:hint="eastAsia"/>
          <w:color w:val="000000" w:themeColor="text1"/>
          <w14:textFill>
            <w14:solidFill>
              <w14:schemeClr w14:val="tx1"/>
            </w14:solidFill>
          </w14:textFill>
        </w:rPr>
        <w:t>按补充条款约定承担违约金。</w:t>
      </w:r>
    </w:p>
    <w:p w14:paraId="1B95A94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6.1.4 分包人施工所需的临时设施应全部在拟建工程占地范围内布置，承包人不提供额外的施工用地。如果分包人出于任何正当的理由，要求临时占用任何额外的施工用地，承包人应尽可能协助分包人获得其所需的临时用地，但所有的费用都应由分包人承担。承包人不承诺保证获得或提供分包人要求的任何临时用地。</w:t>
      </w:r>
    </w:p>
    <w:p w14:paraId="67ECBA9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6.1.5 分包人应绘制场地平面布置图，编制施工场地布置方案报承包人、监理人审批，场地布置应满足办公、生活、施工、消防、环保、污水处理一体化等要求。</w:t>
      </w:r>
    </w:p>
    <w:p w14:paraId="5B0E2D6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6.1.6 分包人的</w:t>
      </w:r>
      <w:r>
        <w:rPr>
          <w:rFonts w:hint="eastAsia" w:hAnsi="宋体"/>
          <w:color w:val="000000" w:themeColor="text1"/>
          <w14:textFill>
            <w14:solidFill>
              <w14:schemeClr w14:val="tx1"/>
            </w14:solidFill>
          </w14:textFill>
        </w:rPr>
        <w:t>施工人员住宿由分包人自行于工地范围外解决并自行考虑住宿费用。本工程场地不能保证场地内材料存放与加工布置需求，分包人应根据现场踏勘情况及施工组织需求综合自行考虑所连带发生的相关费用。</w:t>
      </w:r>
    </w:p>
    <w:p w14:paraId="58CD9709">
      <w:pPr>
        <w:pStyle w:val="81"/>
        <w:ind w:firstLine="482"/>
        <w:rPr>
          <w:b/>
          <w:color w:val="000000" w:themeColor="text1"/>
          <w14:textFill>
            <w14:solidFill>
              <w14:schemeClr w14:val="tx1"/>
            </w14:solidFill>
          </w14:textFill>
        </w:rPr>
      </w:pPr>
      <w:bookmarkStart w:id="650" w:name="_Toc17285"/>
      <w:bookmarkStart w:id="651" w:name="_Toc44492575"/>
      <w:bookmarkStart w:id="652" w:name="_Toc18204"/>
      <w:r>
        <w:rPr>
          <w:rFonts w:hint="eastAsia"/>
          <w:b/>
          <w:color w:val="000000" w:themeColor="text1"/>
          <w14:textFill>
            <w14:solidFill>
              <w14:schemeClr w14:val="tx1"/>
            </w14:solidFill>
          </w14:textFill>
        </w:rPr>
        <w:t xml:space="preserve">6.2. </w:t>
      </w:r>
      <w:bookmarkEnd w:id="650"/>
      <w:bookmarkEnd w:id="651"/>
      <w:bookmarkEnd w:id="652"/>
      <w:r>
        <w:rPr>
          <w:rFonts w:hint="eastAsia"/>
          <w:b/>
          <w:color w:val="000000" w:themeColor="text1"/>
          <w14:textFill>
            <w14:solidFill>
              <w14:schemeClr w14:val="tx1"/>
            </w14:solidFill>
          </w14:textFill>
        </w:rPr>
        <w:t>承包人提供的施工设备和临时设施</w:t>
      </w:r>
    </w:p>
    <w:p w14:paraId="1CC9367F">
      <w:pPr>
        <w:pStyle w:val="56"/>
        <w:ind w:firstLine="48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6.2.1. </w:t>
      </w:r>
      <w:r>
        <w:rPr>
          <w:rFonts w:hAnsi="宋体"/>
          <w:color w:val="000000" w:themeColor="text1"/>
          <w14:textFill>
            <w14:solidFill>
              <w14:schemeClr w14:val="tx1"/>
            </w14:solidFill>
          </w14:textFill>
        </w:rPr>
        <w:t>承</w:t>
      </w:r>
      <w:r>
        <w:rPr>
          <w:rFonts w:hint="eastAsia" w:hAnsi="宋体"/>
          <w:color w:val="000000" w:themeColor="text1"/>
          <w14:textFill>
            <w14:solidFill>
              <w14:schemeClr w14:val="tx1"/>
            </w14:solidFill>
          </w14:textFill>
        </w:rPr>
        <w:t>包人提供的施工设备或临时设施：</w:t>
      </w:r>
    </w:p>
    <w:p w14:paraId="2940C148">
      <w:pPr>
        <w:pStyle w:val="56"/>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1）临建使用费：本工程不设临建生活区，</w:t>
      </w:r>
      <w:r>
        <w:rPr>
          <w:rFonts w:hint="eastAsia" w:hAnsi="宋体"/>
          <w:color w:val="000000" w:themeColor="text1"/>
          <w14:textFill>
            <w14:solidFill>
              <w14:schemeClr w14:val="tx1"/>
            </w14:solidFill>
          </w14:textFill>
        </w:rPr>
        <w:t>分包人自行解决分包工程工人的住宿及伙食费用。</w:t>
      </w:r>
    </w:p>
    <w:p w14:paraId="62FA005D">
      <w:pPr>
        <w:pStyle w:val="56"/>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2）临电临水费：本工程临电由</w:t>
      </w:r>
      <w:r>
        <w:rPr>
          <w:rFonts w:hint="eastAsia" w:hAnsi="宋体"/>
          <w:color w:val="000000" w:themeColor="text1"/>
          <w14:textFill>
            <w14:solidFill>
              <w14:schemeClr w14:val="tx1"/>
            </w14:solidFill>
          </w14:textFill>
        </w:rPr>
        <w:t>承包人按照总包管理需要布设至二级箱，临水按照总包管理需要布设接驳口，二级箱及接驳口以后的临水临电布设由分包人负责并承担费用，以上费用由分包人与承包人协商缴纳。</w:t>
      </w:r>
    </w:p>
    <w:p w14:paraId="6BA1AEFF">
      <w:pPr>
        <w:pStyle w:val="56"/>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3）垂直运输费：本项目</w:t>
      </w:r>
      <w:r>
        <w:rPr>
          <w:rFonts w:hint="eastAsia" w:hAnsi="宋体"/>
          <w:color w:val="000000" w:themeColor="text1"/>
          <w14:textFill>
            <w14:solidFill>
              <w14:schemeClr w14:val="tx1"/>
            </w14:solidFill>
          </w14:textFill>
        </w:rPr>
        <w:t>承包人提供现有塔吊、施工电梯及外架（如有）。</w:t>
      </w:r>
    </w:p>
    <w:p w14:paraId="3CC1310F">
      <w:pPr>
        <w:pStyle w:val="56"/>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4）现场办公室：可提供板房办公，收费标准为3000元/间/月</w:t>
      </w:r>
      <w:r>
        <w:rPr>
          <w:rFonts w:hint="eastAsia" w:hAnsi="宋体"/>
          <w:color w:val="000000" w:themeColor="text1"/>
          <w14:textFill>
            <w14:solidFill>
              <w14:schemeClr w14:val="tx1"/>
            </w14:solidFill>
          </w14:textFill>
        </w:rPr>
        <w:t>。该费用由分包人自行考虑是否使用及承担费用，发包人不另行支付。</w:t>
      </w:r>
    </w:p>
    <w:p w14:paraId="5ADA35F5">
      <w:pPr>
        <w:pStyle w:val="77"/>
        <w:rPr>
          <w:color w:val="000000" w:themeColor="text1"/>
          <w14:textFill>
            <w14:solidFill>
              <w14:schemeClr w14:val="tx1"/>
            </w14:solidFill>
          </w14:textFill>
        </w:rPr>
      </w:pPr>
      <w:bookmarkStart w:id="653" w:name="_Toc16549"/>
      <w:bookmarkStart w:id="654" w:name="_Toc44228159"/>
      <w:bookmarkStart w:id="655" w:name="_Toc21484"/>
      <w:bookmarkStart w:id="656" w:name="_Toc91082440"/>
      <w:bookmarkStart w:id="657" w:name="_Toc38987276"/>
      <w:bookmarkStart w:id="658" w:name="_Toc44492576"/>
      <w:bookmarkStart w:id="659" w:name="_Toc19119"/>
      <w:r>
        <w:rPr>
          <w:rFonts w:hint="eastAsia"/>
          <w:color w:val="000000" w:themeColor="text1"/>
          <w14:textFill>
            <w14:solidFill>
              <w14:schemeClr w14:val="tx1"/>
            </w14:solidFill>
          </w14:textFill>
        </w:rPr>
        <w:t>7.交通运输</w:t>
      </w:r>
      <w:bookmarkEnd w:id="653"/>
      <w:bookmarkEnd w:id="654"/>
      <w:bookmarkEnd w:id="655"/>
      <w:bookmarkEnd w:id="656"/>
      <w:bookmarkEnd w:id="657"/>
      <w:bookmarkEnd w:id="658"/>
      <w:bookmarkEnd w:id="659"/>
    </w:p>
    <w:p w14:paraId="260FABD7">
      <w:pPr>
        <w:pStyle w:val="81"/>
        <w:ind w:firstLine="480"/>
        <w:rPr>
          <w:color w:val="000000" w:themeColor="text1"/>
          <w14:textFill>
            <w14:solidFill>
              <w14:schemeClr w14:val="tx1"/>
            </w14:solidFill>
          </w14:textFill>
        </w:rPr>
      </w:pPr>
      <w:bookmarkStart w:id="660" w:name="_Toc18123"/>
      <w:bookmarkStart w:id="661" w:name="_Toc44492577"/>
      <w:bookmarkStart w:id="662" w:name="_Toc20281"/>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场外交通</w:t>
      </w:r>
      <w:bookmarkEnd w:id="660"/>
      <w:bookmarkEnd w:id="661"/>
      <w:bookmarkEnd w:id="662"/>
    </w:p>
    <w:p w14:paraId="3F195DD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分包人车辆外出行驶所需的场外公共道路的通行费、养路费和税款等由分包人自行承担。</w:t>
      </w:r>
    </w:p>
    <w:p w14:paraId="48AAA786">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7.1.3 </w:t>
      </w:r>
      <w:r>
        <w:rPr>
          <w:rFonts w:hint="eastAsia"/>
          <w:color w:val="000000" w:themeColor="text1"/>
          <w14:textFill>
            <w14:solidFill>
              <w14:schemeClr w14:val="tx1"/>
            </w14:solidFill>
          </w14:textFill>
        </w:rPr>
        <w:t>因分包人施工措施配置需求导致场外临时道路用地范围内的绿化迁移、地面附着物拆迁、管线迁改等工作（如需），相关费用由分包人自行承担。</w:t>
      </w:r>
    </w:p>
    <w:p w14:paraId="7208F84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使用于本项目的泥头车、搅拌车和非道路移动工程机械应满足国家和地方现行法规、政策、规范的全部要求，相关费用（包括环保要求、外运弃置费用等）均已考虑并全部包含在合同价款当中。</w:t>
      </w:r>
    </w:p>
    <w:p w14:paraId="68421F22">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超大件和超重件的运输</w:t>
      </w:r>
    </w:p>
    <w:p w14:paraId="77AE5F8A">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宋体" w:hAnsi="宋体"/>
          <w:color w:val="000000" w:themeColor="text1"/>
          <w14:textFill>
            <w14:solidFill>
              <w14:schemeClr w14:val="tx1"/>
            </w14:solidFill>
          </w14:textFill>
        </w:rPr>
        <w:t>7.3.1.</w:t>
      </w:r>
      <w:r>
        <w:rPr>
          <w:rFonts w:hint="eastAsia" w:ascii="宋体" w:hAnsi="宋体"/>
          <w:color w:val="000000" w:themeColor="text1"/>
          <w14:textFill>
            <w14:solidFill>
              <w14:schemeClr w14:val="tx1"/>
            </w14:solidFill>
          </w14:textFill>
        </w:rPr>
        <w:tab/>
      </w:r>
      <w:r>
        <w:rPr>
          <w:rFonts w:hint="eastAsia" w:ascii="Times New Roman" w:hAnsi="Times New Roman" w:eastAsia="仿宋_GB2312"/>
          <w:color w:val="000000" w:themeColor="text1"/>
          <w:kern w:val="0"/>
          <w:szCs w:val="32"/>
          <w14:textFill>
            <w14:solidFill>
              <w14:schemeClr w14:val="tx1"/>
            </w14:solidFill>
          </w14:textFill>
        </w:rPr>
        <w:t>由分包人负责运输的超大件或超重件，应由分包人负责向交通管理部门办理申请手续。运输超大件或超重件所需的道路和桥梁临时加固改造费用和其他有关费用，由分包人承担。</w:t>
      </w:r>
    </w:p>
    <w:p w14:paraId="3C876624">
      <w:pPr>
        <w:pStyle w:val="77"/>
        <w:rPr>
          <w:color w:val="000000" w:themeColor="text1"/>
          <w14:textFill>
            <w14:solidFill>
              <w14:schemeClr w14:val="tx1"/>
            </w14:solidFill>
          </w14:textFill>
        </w:rPr>
      </w:pPr>
      <w:bookmarkStart w:id="663" w:name="_Toc38987277"/>
      <w:bookmarkStart w:id="664" w:name="_Toc91082441"/>
      <w:bookmarkStart w:id="665" w:name="_Toc44228160"/>
      <w:bookmarkStart w:id="666" w:name="_Toc44492578"/>
      <w:bookmarkStart w:id="667" w:name="_Toc30971"/>
      <w:bookmarkStart w:id="668" w:name="_Toc18052"/>
      <w:bookmarkStart w:id="669" w:name="_Toc13069"/>
      <w:r>
        <w:rPr>
          <w:rFonts w:hint="eastAsia"/>
          <w:color w:val="000000" w:themeColor="text1"/>
          <w14:textFill>
            <w14:solidFill>
              <w14:schemeClr w14:val="tx1"/>
            </w14:solidFill>
          </w14:textFill>
        </w:rPr>
        <w:t>8.测量放线</w:t>
      </w:r>
      <w:bookmarkEnd w:id="663"/>
      <w:bookmarkEnd w:id="664"/>
      <w:bookmarkEnd w:id="665"/>
      <w:bookmarkEnd w:id="666"/>
      <w:bookmarkEnd w:id="667"/>
      <w:bookmarkEnd w:id="668"/>
      <w:bookmarkEnd w:id="669"/>
      <w:bookmarkStart w:id="670" w:name="_Toc38987278"/>
    </w:p>
    <w:p w14:paraId="4B34E401">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8.2.关于测量放线的其他约定：</w:t>
      </w:r>
    </w:p>
    <w:p w14:paraId="263F5F00">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8.2.1承包人应向分包人提供测量基准点、基准线和水准点及其书面资料。分包人应根据国家测绘基准、测绘系统和工程测量技术规范，按上述基准点（线）以及合同工程精度要求，测设施工控制网，将施工控制网资料报承包人审核并报送监理人审批。</w:t>
      </w:r>
    </w:p>
    <w:p w14:paraId="12C4AA77">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8.2.2分包人应对承包人移交的测量基准点进行复核并负责管理施工控制网点。施工控制网点丢失或损坏的，分包人应及时修复。分包人应承担施工控制网点的管理与修复费用，并在工程竣工后将施工控制网点移交承包人或发包人。</w:t>
      </w:r>
    </w:p>
    <w:p w14:paraId="57172B3D">
      <w:pPr>
        <w:pStyle w:val="77"/>
        <w:rPr>
          <w:color w:val="000000" w:themeColor="text1"/>
          <w14:textFill>
            <w14:solidFill>
              <w14:schemeClr w14:val="tx1"/>
            </w14:solidFill>
          </w14:textFill>
        </w:rPr>
      </w:pPr>
      <w:bookmarkStart w:id="671" w:name="_Toc23381"/>
      <w:bookmarkStart w:id="672" w:name="_Toc44228161"/>
      <w:bookmarkStart w:id="673" w:name="_Toc44492579"/>
      <w:bookmarkStart w:id="674" w:name="_Toc23142"/>
      <w:bookmarkStart w:id="675" w:name="_Toc91082442"/>
      <w:bookmarkStart w:id="676" w:name="_Toc16520"/>
      <w:r>
        <w:rPr>
          <w:rFonts w:hint="eastAsia"/>
          <w:color w:val="000000" w:themeColor="text1"/>
          <w14:textFill>
            <w14:solidFill>
              <w14:schemeClr w14:val="tx1"/>
            </w14:solidFill>
          </w14:textFill>
        </w:rPr>
        <w:t>9.施工安全、治安保卫和环境保护</w:t>
      </w:r>
      <w:bookmarkEnd w:id="670"/>
      <w:bookmarkEnd w:id="671"/>
      <w:bookmarkEnd w:id="672"/>
      <w:bookmarkEnd w:id="673"/>
      <w:bookmarkEnd w:id="674"/>
      <w:bookmarkEnd w:id="675"/>
      <w:bookmarkEnd w:id="676"/>
    </w:p>
    <w:p w14:paraId="23E54A31">
      <w:pPr>
        <w:pStyle w:val="81"/>
        <w:ind w:firstLine="480"/>
        <w:rPr>
          <w:color w:val="000000" w:themeColor="text1"/>
          <w14:textFill>
            <w14:solidFill>
              <w14:schemeClr w14:val="tx1"/>
            </w14:solidFill>
          </w14:textFill>
        </w:rPr>
      </w:pPr>
      <w:bookmarkStart w:id="677" w:name="_Toc44492580"/>
      <w:bookmarkStart w:id="678" w:name="_Toc30574"/>
      <w:bookmarkStart w:id="679" w:name="_Toc28038"/>
      <w:r>
        <w:rPr>
          <w:rFonts w:hint="eastAsia"/>
          <w:color w:val="000000" w:themeColor="text1"/>
          <w14:textFill>
            <w14:solidFill>
              <w14:schemeClr w14:val="tx1"/>
            </w14:solidFill>
          </w14:textFill>
        </w:rPr>
        <w:t>9.1.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分包人的施工安全责任</w:t>
      </w:r>
      <w:bookmarkEnd w:id="677"/>
      <w:bookmarkEnd w:id="678"/>
      <w:bookmarkEnd w:id="679"/>
    </w:p>
    <w:p w14:paraId="33CD55B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9.1.2. 分包人向承包人、监理人报送施工安全措施计划的期限：</w:t>
      </w:r>
      <w:r>
        <w:rPr>
          <w:rFonts w:hint="eastAsia" w:hAnsi="宋体"/>
          <w:color w:val="000000" w:themeColor="text1"/>
          <w14:textFill>
            <w14:solidFill>
              <w14:schemeClr w14:val="tx1"/>
            </w14:solidFill>
          </w14:textFill>
        </w:rPr>
        <w:t>进场后3天内。</w:t>
      </w:r>
    </w:p>
    <w:p w14:paraId="2FEEFC5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9.1.11. 分包人须对其承包范围内（含其分包人）的施工安全进行统一管理，因安全管理问题而引致的损失、被索赔及罚款均由分包人负责。分包人须在中标后提交安全施工管理方案、安全负责人及安全管理团队的名称和资历报承包人审批，安全管理团队应与中标文件保持一致。未经承包人书面同意，分包人不得擅自更换安全负责人，否则分包人应按本合同补充条</w:t>
      </w:r>
      <w:r>
        <w:rPr>
          <w:rFonts w:hint="eastAsia"/>
          <w:color w:val="000000" w:themeColor="text1"/>
          <w:szCs w:val="21"/>
          <w14:textFill>
            <w14:solidFill>
              <w14:schemeClr w14:val="tx1"/>
            </w14:solidFill>
          </w14:textFill>
        </w:rPr>
        <w:t>款约定</w:t>
      </w:r>
      <w:r>
        <w:rPr>
          <w:color w:val="000000" w:themeColor="text1"/>
          <w:szCs w:val="21"/>
          <w14:textFill>
            <w14:solidFill>
              <w14:schemeClr w14:val="tx1"/>
            </w14:solidFill>
          </w14:textFill>
        </w:rPr>
        <w:t>支付违约金</w:t>
      </w:r>
      <w:r>
        <w:rPr>
          <w:rFonts w:hint="eastAsia"/>
          <w:color w:val="000000" w:themeColor="text1"/>
          <w14:textFill>
            <w14:solidFill>
              <w14:schemeClr w14:val="tx1"/>
            </w14:solidFill>
          </w14:textFill>
        </w:rPr>
        <w:t>。</w:t>
      </w:r>
    </w:p>
    <w:p w14:paraId="4603C0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9.1.12. 安全作业环境及安全施工措施所需费用，已包含在本合同暂定总价中，该价格为费率包干金额，除非合同另有约定，不因安全作业环境及安全施工措施内容的变动而变动。</w:t>
      </w:r>
    </w:p>
    <w:p w14:paraId="2EA4F26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分包人应当加强对台风、暴雨、洪水、雷暴等自然灾害的预防。对于因自然灾害可能导致事故灾难的隐患，应当按照有关法律、法规、标准的要求排查治理，采取可靠的预防措施，制定应急预案。在接到有关自然灾害预报时，应当及时发出预警通知;发生自然灾害可能危及人员安全的情况时，应当采取撤离人员、停止作业、加强监测等安全措施，并及时向当地人民政府及其有关部门报告。如分包人未及时采取上述预防措施和安全措施的，造成的损失及扩大损失由分包人承担。</w:t>
      </w:r>
    </w:p>
    <w:p w14:paraId="0E6F1D4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9.1.14 分包人应遵守本项目承包人的有关现场安全的相关规定，并按本合同要求落实其承包范围内的安全措施并负安全责任，违约的应按相关违约条款向承包人支付违约金。</w:t>
      </w:r>
    </w:p>
    <w:p w14:paraId="5EA71AF2">
      <w:pPr>
        <w:pStyle w:val="81"/>
        <w:ind w:firstLine="480"/>
        <w:rPr>
          <w:color w:val="000000" w:themeColor="text1"/>
          <w14:textFill>
            <w14:solidFill>
              <w14:schemeClr w14:val="tx1"/>
            </w14:solidFill>
          </w14:textFill>
        </w:rPr>
      </w:pPr>
      <w:bookmarkStart w:id="680" w:name="_Toc19840"/>
      <w:bookmarkStart w:id="681" w:name="_Toc3355"/>
      <w:bookmarkStart w:id="682" w:name="_Toc24193085"/>
      <w:bookmarkStart w:id="683" w:name="_Toc44492581"/>
      <w:r>
        <w:rPr>
          <w:rFonts w:hint="eastAsia"/>
          <w:color w:val="000000" w:themeColor="text1"/>
          <w14:textFill>
            <w14:solidFill>
              <w14:schemeClr w14:val="tx1"/>
            </w14:solidFill>
          </w14:textFill>
        </w:rPr>
        <w:t>9.2.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治安保卫</w:t>
      </w:r>
      <w:bookmarkEnd w:id="680"/>
      <w:bookmarkEnd w:id="681"/>
      <w:bookmarkEnd w:id="682"/>
      <w:bookmarkEnd w:id="683"/>
    </w:p>
    <w:p w14:paraId="7B90744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9.2.1 通用条款9.2.1修订为：分包人除遵守承包人现场治安管理要求并维护施工场地的社会治安外，还应做好其承包范围内（包括生活区在内）的管辖区的治安保卫工作并负直接责任。</w:t>
      </w:r>
    </w:p>
    <w:p w14:paraId="4787BF1B">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 环境保护</w:t>
      </w:r>
    </w:p>
    <w:p w14:paraId="505BD3B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9.3.5 分包人应按照当地政府要求，完善各项环境保护措施，相关费用已包含在合同暂定价款内。</w:t>
      </w:r>
    </w:p>
    <w:p w14:paraId="1C28DFCB">
      <w:pPr>
        <w:adjustRightInd w:val="0"/>
        <w:snapToGrid w:val="0"/>
        <w:ind w:firstLine="480" w:firstLineChars="200"/>
        <w:rPr>
          <w:rFonts w:ascii="Times New Roman" w:hAnsi="Times New Roman" w:eastAsia="黑体"/>
          <w:bCs/>
          <w:color w:val="000000" w:themeColor="text1"/>
          <w:szCs w:val="32"/>
          <w14:textFill>
            <w14:solidFill>
              <w14:schemeClr w14:val="tx1"/>
            </w14:solidFill>
          </w14:textFill>
        </w:rPr>
      </w:pPr>
      <w:r>
        <w:rPr>
          <w:rFonts w:hint="eastAsia" w:ascii="Times New Roman" w:hAnsi="Times New Roman" w:eastAsia="黑体"/>
          <w:bCs/>
          <w:color w:val="000000" w:themeColor="text1"/>
          <w:szCs w:val="32"/>
          <w14:textFill>
            <w14:solidFill>
              <w14:schemeClr w14:val="tx1"/>
            </w14:solidFill>
          </w14:textFill>
        </w:rPr>
        <w:t>9.4.</w:t>
      </w:r>
      <w:r>
        <w:rPr>
          <w:rFonts w:hint="eastAsia" w:ascii="Times New Roman" w:hAnsi="Times New Roman" w:eastAsia="黑体"/>
          <w:bCs/>
          <w:color w:val="000000" w:themeColor="text1"/>
          <w:szCs w:val="32"/>
          <w14:textFill>
            <w14:solidFill>
              <w14:schemeClr w14:val="tx1"/>
            </w14:solidFill>
          </w14:textFill>
        </w:rPr>
        <w:tab/>
      </w:r>
      <w:r>
        <w:rPr>
          <w:rFonts w:hint="eastAsia" w:ascii="Times New Roman" w:hAnsi="Times New Roman" w:eastAsia="黑体"/>
          <w:bCs/>
          <w:color w:val="000000" w:themeColor="text1"/>
          <w:szCs w:val="32"/>
          <w14:textFill>
            <w14:solidFill>
              <w14:schemeClr w14:val="tx1"/>
            </w14:solidFill>
          </w14:textFill>
        </w:rPr>
        <w:t>事故处理</w:t>
      </w:r>
    </w:p>
    <w:p w14:paraId="07FE31A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9.4.3 本合同有关施工安全、治安保卫和环境保护的事故违约责任按本合同附件《施工现场安全生产协议书》及本合同其他条款及附件约定执行。</w:t>
      </w:r>
    </w:p>
    <w:p w14:paraId="26533870">
      <w:pPr>
        <w:pStyle w:val="56"/>
        <w:ind w:firstLine="480"/>
        <w:rPr>
          <w:rFonts w:eastAsia="黑体"/>
          <w:bCs/>
          <w:color w:val="000000" w:themeColor="text1"/>
          <w:kern w:val="2"/>
          <w14:textFill>
            <w14:solidFill>
              <w14:schemeClr w14:val="tx1"/>
            </w14:solidFill>
          </w14:textFill>
        </w:rPr>
      </w:pPr>
      <w:r>
        <w:rPr>
          <w:rFonts w:hint="eastAsia" w:eastAsia="黑体"/>
          <w:bCs/>
          <w:color w:val="000000" w:themeColor="text1"/>
          <w:kern w:val="2"/>
          <w14:textFill>
            <w14:solidFill>
              <w14:schemeClr w14:val="tx1"/>
            </w14:solidFill>
          </w14:textFill>
        </w:rPr>
        <w:t>9.5 绿色施工安全防护措施</w:t>
      </w:r>
    </w:p>
    <w:p w14:paraId="50FA7C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9.5.1分包人的绿色施工安全防护措施除满足国家、规章、规范及当地相关政府主管部门要求外，还需满足以下要求：</w:t>
      </w:r>
    </w:p>
    <w:p w14:paraId="2E7C891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应严格遵守国家及地方政府颁发的安全施工、文明施工等规范、条例。发包人和监理人及承包人的现场施工管理规定是本合同的组成部分，分包人有义务遵守。分包人施工用设施的搭设应报监理批准。</w:t>
      </w:r>
    </w:p>
    <w:p w14:paraId="245B29D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（2）分包人现场办公室应配置安全、完好的办公设备，包括复印机、电脑、打印机、传真机等。</w:t>
      </w:r>
    </w:p>
    <w:p w14:paraId="5CE4FD3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（3）分包人全体现场施工人员应统一管理，全部施工人员应佩带工作牌。</w:t>
      </w:r>
    </w:p>
    <w:p w14:paraId="090439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施工期间，所有机械、工具、材料等应堆放整齐，场地平整。施工过程中分包人承包范围内每个楼层的多余材料、建筑垃圾必须通过井架或垃圾槽运输到承包人指定位置，严禁从高空直接向下抛物，所有绿色施工安全防护措施标注必须符合规范、当地政府主管部门、承包人及监理人要求。文明施工措施费应包含在投标报价中，若漏报，则视为让利。</w:t>
      </w:r>
    </w:p>
    <w:p w14:paraId="09B0784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（5）施工用设备及场地要求具体要求包括不限于以下内容：</w:t>
      </w:r>
    </w:p>
    <w:p w14:paraId="24FD720F">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现场临电的低压配电系统均必须为三相五线制，分包人的现场用电必须至少有两级漏电开关，分包人的漏电开关必须至少接在承包人其中一级的漏电开关之后。承包人对分包人用电进行管理，违反上述约定应对分包人进行处罚。</w:t>
      </w:r>
    </w:p>
    <w:p w14:paraId="1FFB72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2）分包人进场后不按上述要求施工的，则承包人有权委托第三方单位施工，并从向分包人支付的工程款扣减对应的合同价款。</w:t>
      </w:r>
    </w:p>
    <w:p w14:paraId="153517E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3）对于承包人或监理下发的安全文明整改通知单，分包人必须无条件予以整改并达到承包人、监理验收要求，否则按违约处理，承包人有权利在分包人应付工程款中直接扣除相应的违约金。</w:t>
      </w:r>
    </w:p>
    <w:p w14:paraId="7C97364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为本合同承包范围内的现场绿色施工安全防护措施的责任单位，有权利和责任管理其项下分包的绿色施工安全防护措施并应与分包方在进场后15天内签定绿色施工安全防护措施协议，该协议需报监理人、承包人审核及备案，因分包人对各分包人缺乏安全监管或防控的原因，造成安全事故的和财产损失的，分包人应承担连带责任。相应的费用由分包人在报价中综合考虑。</w:t>
      </w:r>
    </w:p>
    <w:p w14:paraId="4E4C62F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9.5.2 分包人应遵守国家有关环境保护、卫生监督的法律，按照合同约定采取有效措施，保证施工场地达到环境保护、卫生部门的管理要求。在本工程竣工验收及场地移交后的</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天内，清理现场，运走全部施工设备、剩余材料和垃圾，保持施工场地和合同工程的清洁整齐。否则，承包人可自行处理或委托第三方处理留下的物品，所得金额在扣除由此发生的清理处置费用之后，将余额退还给分包人。</w:t>
      </w:r>
    </w:p>
    <w:p w14:paraId="2B4474EF">
      <w:pPr>
        <w:pStyle w:val="56"/>
        <w:ind w:firstLine="480"/>
        <w:rPr>
          <w:rFonts w:eastAsia="黑体"/>
          <w:bCs/>
          <w:color w:val="000000" w:themeColor="text1"/>
          <w:kern w:val="2"/>
          <w14:textFill>
            <w14:solidFill>
              <w14:schemeClr w14:val="tx1"/>
            </w14:solidFill>
          </w14:textFill>
        </w:rPr>
      </w:pPr>
      <w:r>
        <w:rPr>
          <w:rFonts w:hint="eastAsia" w:eastAsia="黑体"/>
          <w:bCs/>
          <w:color w:val="000000" w:themeColor="text1"/>
          <w:kern w:val="2"/>
          <w14:textFill>
            <w14:solidFill>
              <w14:schemeClr w14:val="tx1"/>
            </w14:solidFill>
          </w14:textFill>
        </w:rPr>
        <w:t xml:space="preserve">9.6安全管理机构及人员配备要求 </w:t>
      </w:r>
    </w:p>
    <w:p w14:paraId="4AD0D2E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9.6.1分包人必须达到《建筑施工企业安全生产管理机构设置及专职安全生产管理人员配备办法》要求，配备足够专职安全生产管理人员。</w:t>
      </w:r>
    </w:p>
    <w:p w14:paraId="1530FD0E">
      <w:pPr>
        <w:pStyle w:val="56"/>
        <w:ind w:firstLine="480"/>
        <w:rPr>
          <w:rFonts w:ascii="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9.6.2如不能达到安全管理要求的岗位能力，承包人有权要求更换安全管理人员，分包人必须无条件执行。</w:t>
      </w:r>
    </w:p>
    <w:p w14:paraId="30057759">
      <w:pPr>
        <w:pStyle w:val="56"/>
        <w:ind w:firstLine="480"/>
        <w:rPr>
          <w:rFonts w:eastAsia="黑体"/>
          <w:bCs/>
          <w:color w:val="000000" w:themeColor="text1"/>
          <w:kern w:val="2"/>
          <w14:textFill>
            <w14:solidFill>
              <w14:schemeClr w14:val="tx1"/>
            </w14:solidFill>
          </w14:textFill>
        </w:rPr>
      </w:pPr>
      <w:r>
        <w:rPr>
          <w:rFonts w:hint="eastAsia" w:eastAsia="黑体"/>
          <w:bCs/>
          <w:color w:val="000000" w:themeColor="text1"/>
          <w:kern w:val="2"/>
          <w14:textFill>
            <w14:solidFill>
              <w14:schemeClr w14:val="tx1"/>
            </w14:solidFill>
          </w14:textFill>
        </w:rPr>
        <w:t>9.7施工准备阶段的安全生产工作</w:t>
      </w:r>
    </w:p>
    <w:p w14:paraId="21AFD50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9.7.1严格贯彻住建部令37号《危险性较大的分部分项工程安全管理规定》要求，施工前必须编制施工组织设计（方案）、专项工程施工方案和安全生产保证措施；组织专家评审危险性较大的专项工程施工方案，评审未通过的不得进入施工阶段。</w:t>
      </w:r>
    </w:p>
    <w:p w14:paraId="383DD3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9.7.2建立健全工程安全生产责任制度、安全生产保证体系，根据工程施工特点，配备相应职业资格等级及数量的专职安全管理人员。</w:t>
      </w:r>
    </w:p>
    <w:p w14:paraId="001CE9E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9.7.3结合风险特点，编制与工程相适应的生产安全事故应急救援预案，落实救援器材、设备的储备，配备足够的应急救援机构人员；开展应急管理，组织应急演练，提高作业人员应急处置能力。</w:t>
      </w:r>
    </w:p>
    <w:p w14:paraId="0EA28E7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9.7.4制定工程的安全生产、文明施工措施费使用计划和相关保证措施，配置施工安全防护用具、用品。</w:t>
      </w:r>
    </w:p>
    <w:p w14:paraId="11729845">
      <w:pPr>
        <w:pStyle w:val="56"/>
        <w:ind w:firstLine="480"/>
        <w:rPr>
          <w:rFonts w:ascii="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9.7.5需分包人按规定办理的有关施工场地交通、环境保护、施工噪音、绿色施工安全防护措施等手续：分包人应在签订本合同之日起30个日历天内或承包人另行通知的时间内，负责按法律、法规和规章及有关部门要求办理完成为履行本工程施工所需的所有场地交通、环境保护、施工噪音、绿色施工安全防护措施、夜间施工、泥浆及污水排放、安全生产管理、质量安全监督、渣土运输等相关手续，并由分包人承担所有费用，该等费用已包含在本合同价款中。若因上述手续未及时办理影响施工或造成政府部门处罚，工期不予延长，承包人不给予任何费用补偿，由此给承包人带来的损失由分包人承担。</w:t>
      </w:r>
    </w:p>
    <w:p w14:paraId="23F4CBA0">
      <w:pPr>
        <w:pStyle w:val="56"/>
        <w:ind w:firstLine="480"/>
        <w:rPr>
          <w:rFonts w:eastAsia="黑体"/>
          <w:bCs/>
          <w:color w:val="000000" w:themeColor="text1"/>
          <w:kern w:val="2"/>
          <w14:textFill>
            <w14:solidFill>
              <w14:schemeClr w14:val="tx1"/>
            </w14:solidFill>
          </w14:textFill>
        </w:rPr>
      </w:pPr>
      <w:r>
        <w:rPr>
          <w:rFonts w:hint="eastAsia" w:eastAsia="黑体"/>
          <w:bCs/>
          <w:color w:val="000000" w:themeColor="text1"/>
          <w:kern w:val="2"/>
          <w14:textFill>
            <w14:solidFill>
              <w14:schemeClr w14:val="tx1"/>
            </w14:solidFill>
          </w14:textFill>
        </w:rPr>
        <w:t>9.8施工实施阶段的安全生产工作</w:t>
      </w:r>
    </w:p>
    <w:p w14:paraId="6ECBAA6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9.8.1严格按照发包人及承包人审查认可的施工组织设计（方案）、专项工程施工方案和安全生产保证措施组织施工；严格安全生产、文明施工措施费的使用计划，单列措施费台账，确保安全生产措施费用根据项目实际进展的有效投入。</w:t>
      </w:r>
    </w:p>
    <w:p w14:paraId="06B036E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9.8.2所有进入施工现场的作业人员，必须经过安全生产教育培训，未经教育培训或者教育培训考核不合格的人员，不得上岗作业；工程施工前，分包人负责工程管理的技术人员应当对有关安全施工的技术要求向施工作业班组、作业人员作出详细说明，并由双方签字确认；工程所采用的新技术、新工艺、新设备、新材料，应当对作业人员进行相应的安全生产教育培训；电工、金属焊接(切割)工、垂直运输机械作业人员、安装拆卸工、起重信号工、登高架设高处作业人员等特种作业人员，必须按照国家有关规定经过专门的安全作业培训，并取得特种作业操作资格证书后，方可上岗作业；对现场从事危险作业的人员办理意外伤害保险；不得在尚未竣工的建筑物内设置员工集体宿舍。</w:t>
      </w:r>
    </w:p>
    <w:p w14:paraId="4CADAD3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9.8.3对所承担工程进行定期和专项安全检查，并做好隐患排查治理，保存好安全检查记录；同时必须强化重点风险作业过程安全管控，尤其是动火作业、起重吊装、高处作业、基坑施工、施工用电等方面。</w:t>
      </w:r>
    </w:p>
    <w:p w14:paraId="4E97969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9.8.4对进入现场的安全防护用具、用品、机械设备、施工机具及配件等，必须核查其生产、检验（测）等相应证书，无生产、检验（测）合格记录等相应证书的不得使用，并做好日常检查、维修和保养以及相应记录资料归档工作；在使用施工起重机械、垂直升降机械设施前，必须依法组织进行登记验收，验收合格后方可使用。</w:t>
      </w:r>
    </w:p>
    <w:p w14:paraId="35E707F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9.8.5在工程现场入口处、施工起重机械、临时用电设施、脚手架、出入通道口、楼梯口、电梯井口、孔洞口、基坑边沿、易燃物以及有害危险气体和液体存放处等危险部位，必须设置明显的安全警示标志。</w:t>
      </w:r>
    </w:p>
    <w:p w14:paraId="0B27A3E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9.8.6根据不同施工阶段和周围环境及季节、气候的变化，在施工现场必须采取相应的安全施工措施。</w:t>
      </w:r>
    </w:p>
    <w:p w14:paraId="7BA029D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9.8.7工程施工需要实施劳务作业，分包人必须分包给具有相应资质、安全条件的劳务分包企业，在签订分包合同中应当明确各自的安全生产方面的权利、义务，并进行施工安全生产交底。</w:t>
      </w:r>
    </w:p>
    <w:p w14:paraId="06DCF36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9.8.8保证安全设施、环保设施、消防设施、劳动安全卫生设施及设备的质量和安装质量，确保通过验收。</w:t>
      </w:r>
    </w:p>
    <w:p w14:paraId="5719060C">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9.9合同安全管理专篇</w:t>
      </w:r>
    </w:p>
    <w:p w14:paraId="61BE2464">
      <w:pPr>
        <w:pStyle w:val="81"/>
        <w:ind w:firstLine="480"/>
        <w:outlineLvl w:val="9"/>
        <w:rPr>
          <w:rFonts w:eastAsia="仿宋_GB2312"/>
          <w:bCs w:val="0"/>
          <w:color w:val="000000" w:themeColor="text1"/>
          <w:kern w:val="0"/>
          <w14:textFill>
            <w14:solidFill>
              <w14:schemeClr w14:val="tx1"/>
            </w14:solidFill>
          </w14:textFill>
        </w:rPr>
      </w:pPr>
      <w:r>
        <w:rPr>
          <w:rFonts w:hint="eastAsia" w:eastAsia="仿宋_GB2312"/>
          <w:bCs w:val="0"/>
          <w:color w:val="000000" w:themeColor="text1"/>
          <w:kern w:val="0"/>
          <w14:textFill>
            <w14:solidFill>
              <w14:schemeClr w14:val="tx1"/>
            </w14:solidFill>
          </w14:textFill>
        </w:rPr>
        <w:t>除以上施工安全、治安保卫、环境保护相关要求外，分包人应严格落实安全生产管理要求，且须在签署本合同的同时与承包人签署《安全生产协议书》。另外，分包人必须遵守承包人对本工程施工现场安全、治安保卫、环境保护等统一管理要求及其他总包管理与服务，不得以任何理由拒绝与承包人签署安全管理协议及其他与总包管理与服务相关的协议。若本合同第9.1~9.8款施工安全、治安保护和环境保护的相关约定与《安全生产协议书》约定有重复或不一致的，以从严约定为准执行。</w:t>
      </w:r>
    </w:p>
    <w:p w14:paraId="0A240DB1">
      <w:pPr>
        <w:pStyle w:val="77"/>
        <w:rPr>
          <w:color w:val="000000" w:themeColor="text1"/>
          <w14:textFill>
            <w14:solidFill>
              <w14:schemeClr w14:val="tx1"/>
            </w14:solidFill>
          </w14:textFill>
        </w:rPr>
      </w:pPr>
      <w:bookmarkStart w:id="684" w:name="_Toc18500"/>
      <w:bookmarkStart w:id="685" w:name="_Toc38987279"/>
      <w:bookmarkStart w:id="686" w:name="_Toc17702"/>
      <w:bookmarkStart w:id="687" w:name="_Toc44492582"/>
      <w:bookmarkStart w:id="688" w:name="_Toc31420"/>
      <w:bookmarkStart w:id="689" w:name="_Toc44228162"/>
      <w:bookmarkStart w:id="690" w:name="_Toc91082443"/>
      <w:r>
        <w:rPr>
          <w:rFonts w:hint="eastAsia"/>
          <w:color w:val="000000" w:themeColor="text1"/>
          <w14:textFill>
            <w14:solidFill>
              <w14:schemeClr w14:val="tx1"/>
            </w14:solidFill>
          </w14:textFill>
        </w:rPr>
        <w:t>10.进度计划</w:t>
      </w:r>
      <w:bookmarkEnd w:id="684"/>
      <w:bookmarkEnd w:id="685"/>
      <w:bookmarkEnd w:id="686"/>
      <w:bookmarkEnd w:id="687"/>
      <w:bookmarkEnd w:id="688"/>
      <w:bookmarkEnd w:id="689"/>
      <w:bookmarkEnd w:id="690"/>
    </w:p>
    <w:p w14:paraId="5A4F5A8E">
      <w:pPr>
        <w:pStyle w:val="81"/>
        <w:ind w:firstLine="480"/>
        <w:rPr>
          <w:color w:val="000000" w:themeColor="text1"/>
          <w14:textFill>
            <w14:solidFill>
              <w14:schemeClr w14:val="tx1"/>
            </w14:solidFill>
          </w14:textFill>
        </w:rPr>
      </w:pPr>
      <w:bookmarkStart w:id="691" w:name="_Toc29779"/>
      <w:bookmarkStart w:id="692" w:name="_Toc44492583"/>
      <w:bookmarkStart w:id="693" w:name="_Toc11459"/>
      <w:r>
        <w:rPr>
          <w:rFonts w:hint="eastAsia"/>
          <w:color w:val="000000" w:themeColor="text1"/>
          <w14:textFill>
            <w14:solidFill>
              <w14:schemeClr w14:val="tx1"/>
            </w14:solidFill>
          </w14:textFill>
        </w:rPr>
        <w:t>10.1.合同进度计划</w:t>
      </w:r>
      <w:bookmarkEnd w:id="691"/>
      <w:bookmarkEnd w:id="692"/>
      <w:bookmarkEnd w:id="693"/>
    </w:p>
    <w:p w14:paraId="451B1FB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10.1.1.  </w:t>
      </w:r>
      <w:r>
        <w:rPr>
          <w:rFonts w:hint="eastAsia" w:hAnsi="宋体"/>
          <w:color w:val="000000" w:themeColor="text1"/>
          <w14:textFill>
            <w14:solidFill>
              <w14:schemeClr w14:val="tx1"/>
            </w14:solidFill>
          </w14:textFill>
        </w:rPr>
        <w:t>分包人向承包人提供的计划、报表名称及提交时间：</w:t>
      </w:r>
      <w:r>
        <w:rPr>
          <w:rFonts w:hint="eastAsia"/>
          <w:color w:val="000000" w:themeColor="text1"/>
          <w14:textFill>
            <w14:solidFill>
              <w14:schemeClr w14:val="tx1"/>
            </w14:solidFill>
          </w14:textFill>
        </w:rPr>
        <w:t>分包人中标后7天内</w:t>
      </w:r>
      <w:r>
        <w:rPr>
          <w:rFonts w:hint="eastAsia"/>
          <w:color w:val="000000" w:themeColor="text1"/>
          <w:u w:val="single"/>
          <w14:textFill>
            <w14:solidFill>
              <w14:schemeClr w14:val="tx1"/>
            </w14:solidFill>
          </w14:textFill>
        </w:rPr>
        <w:t>按监理人、承包人要求提供施工组织计划及总进度计划、设备材料需求（包括报批品牌系列、样板，采购供货合同签订，进场及施工安装）总计划等资料。</w:t>
      </w:r>
      <w:r>
        <w:rPr>
          <w:rFonts w:hint="eastAsia"/>
          <w:color w:val="000000" w:themeColor="text1"/>
          <w14:textFill>
            <w14:solidFill>
              <w14:schemeClr w14:val="tx1"/>
            </w14:solidFill>
          </w14:textFill>
        </w:rPr>
        <w:t>如分包人未按时提交或中标后7天内提交的施工计划不满足要求，则需承担违约责任，直至提交计划合格。</w:t>
      </w:r>
    </w:p>
    <w:p w14:paraId="76A3049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10.1.2. 合同实施过程中承包人控制的关键工期节点要求及违约金</w:t>
      </w:r>
    </w:p>
    <w:p w14:paraId="00F3F156">
      <w:pPr>
        <w:pStyle w:val="56"/>
        <w:numPr>
          <w:ilvl w:val="0"/>
          <w:numId w:val="4"/>
        </w:numPr>
        <w:spacing w:before="120" w:beforeLines="50"/>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依据承包人施工进度计划编制幕墙工程总进度计划，计划中应设置关键工期节点包括不限于图纸深化并审核通过、幕墙材料封样、四性试验及施工样板通过、首批板块上墙、大面积幕墙工程完成节点等；施工进度计划报监理人、</w:t>
      </w:r>
      <w:r>
        <w:rPr>
          <w:color w:val="000000" w:themeColor="text1"/>
          <w14:textFill>
            <w14:solidFill>
              <w14:schemeClr w14:val="tx1"/>
            </w14:solidFill>
          </w14:textFill>
        </w:rPr>
        <w:t>承</w:t>
      </w:r>
      <w:r>
        <w:rPr>
          <w:rFonts w:hint="eastAsia"/>
          <w:color w:val="000000" w:themeColor="text1"/>
          <w14:textFill>
            <w14:solidFill>
              <w14:schemeClr w14:val="tx1"/>
            </w14:solidFill>
          </w14:textFill>
        </w:rPr>
        <w:t>包人、发包人确认后作为对本工程关键工期节点的控制依据，具体要求见协议书合同工期要求；分包人未按约定完成关键工期节点，每延迟一天，承包人有权要求分包人支付违约金。如分包人在下一个关键工期完成节点将累计已延误的工期赶回的（即下一个工期节点按时完成），则承包人将前期因工期延误而暂缓支付的工程款返还给分包人；如分包人未能在下一个关键工期完成节点赶回已延误工期的，除暂缓支付当期工程款外，上期已暂缓支付的工程款转为分包人节点工期延误违约金处理；若竣工验收节点按期完成分包人可申请免除此前已扣除的工期延误违约金。工期延误违约处理</w:t>
      </w:r>
      <w:r>
        <w:rPr>
          <w:rFonts w:hint="eastAsia" w:hAnsi="宋体"/>
          <w:color w:val="000000" w:themeColor="text1"/>
          <w14:textFill>
            <w14:solidFill>
              <w14:schemeClr w14:val="tx1"/>
            </w14:solidFill>
          </w14:textFill>
        </w:rPr>
        <w:t>并不免除分包人需按本合同约定完成履约的义务。</w:t>
      </w:r>
    </w:p>
    <w:p w14:paraId="77B6BDCB">
      <w:pPr>
        <w:pStyle w:val="56"/>
        <w:numPr>
          <w:ilvl w:val="0"/>
          <w:numId w:val="4"/>
        </w:numPr>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分包人原因导致工期延误引起第三方索赔的，分包人除按上述工期延误或节点延误承担违约责任外，另应承担第三方索赔及承包人全部损失。</w:t>
      </w:r>
    </w:p>
    <w:p w14:paraId="00A8BBA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10.1.3分包人按照承包人要求根据总工期计划按时制定月度计划及周计划报予承包人审核并实施，承包人将根据经审批通过的月度计划及周计划考核分包人。分包人未按经审批通过的月度计划完成施工任务或延期完成的，承包人有权视影响进度的严重程度依据考核结果向分包人索赔，分包人未按月度或周计划完成施工任务，应按补充条款约定支付违约金，并不免除分包人需完成的施工任务。若因分包人原因未能于下月内完成上月重要的原计划事项的，则违约金将加倍收取，以此类推。</w:t>
      </w:r>
    </w:p>
    <w:p w14:paraId="37D06B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10.1.4. 分包人每月</w:t>
      </w:r>
      <w:r>
        <w:rPr>
          <w:rFonts w:hint="eastAsia"/>
          <w:color w:val="000000" w:themeColor="text1"/>
          <w:u w:val="single"/>
          <w14:textFill>
            <w14:solidFill>
              <w14:schemeClr w14:val="tx1"/>
            </w14:solidFill>
          </w14:textFill>
        </w:rPr>
        <w:t>2</w:t>
      </w:r>
      <w:r>
        <w:rPr>
          <w:color w:val="000000" w:themeColor="text1"/>
          <w:u w:val="single"/>
          <w14:textFill>
            <w14:solidFill>
              <w14:schemeClr w14:val="tx1"/>
            </w14:solidFill>
          </w14:textFill>
        </w:rPr>
        <w:t>5</w:t>
      </w:r>
      <w:r>
        <w:rPr>
          <w:rFonts w:hint="eastAsia"/>
          <w:color w:val="000000" w:themeColor="text1"/>
          <w14:textFill>
            <w14:solidFill>
              <w14:schemeClr w14:val="tx1"/>
            </w14:solidFill>
          </w14:textFill>
        </w:rPr>
        <w:t>日前通过承包人向监理人</w:t>
      </w:r>
      <w:r>
        <w:rPr>
          <w:rFonts w:hint="eastAsia" w:hAnsi="宋体"/>
          <w:color w:val="000000" w:themeColor="text1"/>
          <w14:textFill>
            <w14:solidFill>
              <w14:schemeClr w14:val="tx1"/>
            </w14:solidFill>
          </w14:textFill>
        </w:rPr>
        <w:t>提供详细的</w:t>
      </w:r>
      <w:r>
        <w:rPr>
          <w:rFonts w:hint="eastAsia" w:hAnsi="宋体"/>
          <w:color w:val="000000" w:themeColor="text1"/>
          <w:u w:val="single"/>
          <w14:textFill>
            <w14:solidFill>
              <w14:schemeClr w14:val="tx1"/>
            </w14:solidFill>
          </w14:textFill>
        </w:rPr>
        <w:t xml:space="preserve">上月20日至当月20日  </w:t>
      </w:r>
      <w:r>
        <w:rPr>
          <w:rFonts w:hint="eastAsia" w:hAnsi="宋体"/>
          <w:color w:val="000000" w:themeColor="text1"/>
          <w14:textFill>
            <w14:solidFill>
              <w14:schemeClr w14:val="tx1"/>
            </w14:solidFill>
          </w14:textFill>
        </w:rPr>
        <w:t>已完形象进度与工程量报表（含材料进场记录等报表资料、设计变更）及下月施工进度计划</w:t>
      </w:r>
      <w:r>
        <w:rPr>
          <w:rFonts w:hint="eastAsia"/>
          <w:color w:val="000000" w:themeColor="text1"/>
          <w14:textFill>
            <w14:solidFill>
              <w14:schemeClr w14:val="tx1"/>
            </w14:solidFill>
          </w14:textFill>
        </w:rPr>
        <w:t>，承包人收到资料后3天内完成审核并提交监理人。</w:t>
      </w:r>
    </w:p>
    <w:p w14:paraId="3B8C9EC0">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10.3计划管理</w:t>
      </w:r>
    </w:p>
    <w:p w14:paraId="622C72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10.3.1施工计划的提交：分包人中标后7天内应通过承包人提交满足以下要求的项目施工计划至监理人审核。</w:t>
      </w:r>
    </w:p>
    <w:p w14:paraId="62A827A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1）施工计划各节点均不得超出投标版本计划；</w:t>
      </w:r>
    </w:p>
    <w:p w14:paraId="1DA35DA2">
      <w:pPr>
        <w:pStyle w:val="56"/>
        <w:ind w:firstLine="480"/>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2）施工计划中各期计划必须包含10.1.2表内的关键施工节点；</w:t>
      </w:r>
      <w:r>
        <w:rPr>
          <w:rStyle w:val="49"/>
          <w:rFonts w:hint="eastAsia" w:ascii="Calibri" w:hAnsi="Calibri"/>
          <w:color w:val="000000" w:themeColor="text1"/>
          <w:kern w:val="2"/>
          <w14:textFill>
            <w14:solidFill>
              <w14:schemeClr w14:val="tx1"/>
            </w14:solidFill>
          </w14:textFill>
        </w:rPr>
        <w:t xml:space="preserve"> </w:t>
      </w:r>
    </w:p>
    <w:p w14:paraId="5824E94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3）施工计划应加盖分包人公章并获承包人书面确认；</w:t>
      </w:r>
    </w:p>
    <w:p w14:paraId="056B24D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4）不得超出招标文件中对工期的要求；</w:t>
      </w:r>
    </w:p>
    <w:p w14:paraId="4F6976A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10.3.2分包人有责任根据现场工作的开展进度更新及/或重新编制进度计划和施工组织设计,分包人应在七日内书面将修改后的新计划报承包人和监理审阅备案，特殊情况下分包人可向承包人申请适当延期提供。如分包人原因不能按时提供最新的计划，每逾期一天，承包人有权按补充条款约定向分包人索赔。</w:t>
      </w:r>
    </w:p>
    <w:p w14:paraId="008D079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10.3.3分包人应按时提供月度工程施工计划及报表，该部分计划和报表应包括工程量清单、工程造价、施工进度、质量状况，以及人力安排、增加人力的来源、各种材料、设备的用量和消耗等，同时根据</w:t>
      </w:r>
      <w:r>
        <w:rPr>
          <w:color w:val="000000" w:themeColor="text1"/>
          <w14:textFill>
            <w14:solidFill>
              <w14:schemeClr w14:val="tx1"/>
            </w14:solidFill>
          </w14:textFill>
        </w:rPr>
        <w:t>承</w:t>
      </w:r>
      <w:r>
        <w:rPr>
          <w:rFonts w:hint="eastAsia"/>
          <w:color w:val="000000" w:themeColor="text1"/>
          <w14:textFill>
            <w14:solidFill>
              <w14:schemeClr w14:val="tx1"/>
            </w14:solidFill>
          </w14:textFill>
        </w:rPr>
        <w:t>包人和监理的要求提供周计划。月计划须于上一月的25日前提供下一个月的月计划和上一个月的月度报告；周计划须在每周工程例会前一天下午16:00之前报送</w:t>
      </w:r>
      <w:r>
        <w:rPr>
          <w:color w:val="000000" w:themeColor="text1"/>
          <w14:textFill>
            <w14:solidFill>
              <w14:schemeClr w14:val="tx1"/>
            </w14:solidFill>
          </w14:textFill>
        </w:rPr>
        <w:t>承</w:t>
      </w:r>
      <w:r>
        <w:rPr>
          <w:rFonts w:hint="eastAsia"/>
          <w:color w:val="000000" w:themeColor="text1"/>
          <w14:textFill>
            <w14:solidFill>
              <w14:schemeClr w14:val="tx1"/>
            </w14:solidFill>
          </w14:textFill>
        </w:rPr>
        <w:t>包人和监理人。不按时上报分解计划及报表的，分包人按补充条款承担违约责任。所报计划无量化指标者按相应延期处罚。</w:t>
      </w:r>
    </w:p>
    <w:p w14:paraId="5C8A2844">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10.3.4</w:t>
      </w:r>
      <w:r>
        <w:rPr>
          <w:rFonts w:hint="eastAsia"/>
          <w:color w:val="000000" w:themeColor="text1"/>
          <w14:textFill>
            <w14:solidFill>
              <w14:schemeClr w14:val="tx1"/>
            </w14:solidFill>
          </w14:textFill>
        </w:rPr>
        <w:t>分包人所报的施工总进度计划又称三级进度或合同进度，它应当较为详细、完整并符合承包人的工程总进度计划（即二级进度）。该进度计划应包括竣工时间、各分项工程的开始、完（竣）工和验收时间等。此施工总进度计划一经发包人和监理及承包人确认后，无论是否已发生变更，分包人均有义务至少应在每个季度的最后一个月的</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日，向承包人和监理提交最新的、经过修改的、动态的施工总进度计划，并由其审核备案，但对于承包人明确不得延误的阶段性施工目标不得擅自更改（合同已明确规定需延期或非分包人原因影响的除外）。</w:t>
      </w:r>
    </w:p>
    <w:p w14:paraId="09D2A41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10.3.5分包人应当按照本合同约定的竣工日期竣工。为确保工程的顺利进行,承包人可以合理调整施工的顺序和非关键路径的工期安排。</w:t>
      </w:r>
    </w:p>
    <w:p w14:paraId="3A0B4FC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10.3.6除非合同已有其他约定，否则分包人承诺不以现场及周边环境、政府和行业的检查及管理、节假日、法定假日、农忙、人员短缺等为由提出各种形式的工期和费用的索赔。</w:t>
      </w:r>
    </w:p>
    <w:p w14:paraId="4C22A12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10.3.7在合同期内，分包人应按合同和承包人的要求提交承包人所需要的全部资料和文件，包括但不限于分包人的施工组织设计、施工总进度计划、资金需求和工程产值计划、劳动力需求计划、承包人资料的需求计划。材料设备的供货和配合计划、专项进度计划、质量保证大纲和手册、施工机械进退场计划等。如分包人不能按时提供上述计划或文件，按补充条款约定支付违约金。</w:t>
      </w:r>
    </w:p>
    <w:p w14:paraId="1CAF932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10.3.8如工程发生较大调整或发包人和监理明确要求需要提交时，分包人应在七日内或按发包人和监理的要求，将最新的施工总进度计划予以提交。如分包人不能按时提供上述计划或文件，按补充条款约定支付违约金。</w:t>
      </w:r>
    </w:p>
    <w:p w14:paraId="6B1ABB5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10.3.9 分包人施工计划应与经发包人批准的总承包施工计划相匹配，充分考虑各搭接专业及搭接合同段的施工配合。</w:t>
      </w:r>
    </w:p>
    <w:p w14:paraId="6703A5E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10.3.10分包人的总体施工进度由分包人协调平衡，以满足发包人和监理及承包人对整个施工过程中阶段性工期的控制要求，对此分包人负有不可推卸的责任。分包人在编制所有工程施工计划时，应充分考虑相关专业、部位和工序的施工顺序应合理安排进度，确保分包人和各专业工程分包人都能按计划有序地完成各自的工程施工任务。</w:t>
      </w:r>
    </w:p>
    <w:p w14:paraId="7C68FAA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10.3.11不论是何原因（包括设计、施工、发包人和监理指令等），导致分包人所报计划需重新制订或部分调整修改，分包人应在该原因发生后七日内以书面形式将修改后的新计划报承包人和监理审阅备案，特殊情况下分包人可向</w:t>
      </w:r>
      <w:r>
        <w:rPr>
          <w:color w:val="000000" w:themeColor="text1"/>
          <w14:textFill>
            <w14:solidFill>
              <w14:schemeClr w14:val="tx1"/>
            </w14:solidFill>
          </w14:textFill>
        </w:rPr>
        <w:t>承</w:t>
      </w:r>
      <w:r>
        <w:rPr>
          <w:rFonts w:hint="eastAsia"/>
          <w:color w:val="000000" w:themeColor="text1"/>
          <w14:textFill>
            <w14:solidFill>
              <w14:schemeClr w14:val="tx1"/>
            </w14:solidFill>
          </w14:textFill>
        </w:rPr>
        <w:t>包人申请适当延期提供。如分包人不能按时提供最新的计划，由此引起的一切后果由分包人负责。</w:t>
      </w:r>
    </w:p>
    <w:p w14:paraId="1FB1F0F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10.3.12每周工程例会前一天向监理及承包人报送周报，包括上周计划和完成情况、对未完工作的情况说明和拟采取的措施（包括拟采取措施、最终完成时间）、本周计划和其他事项等。</w:t>
      </w:r>
    </w:p>
    <w:p w14:paraId="7C8024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10.3.13分包人提交的施工机械进退场计划应包括施工机械的名称、数量、已使用的年限、折旧总年限、规格型号、主要的性能、进退场的时间、目前的状态、来源、合同期内的维修保养计划等内容。</w:t>
      </w:r>
    </w:p>
    <w:p w14:paraId="40DB14F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10.3.14监理及承包人对分包人所提交的所有进度计划、施工组织设计、施工方案的批准和认可，不</w:t>
      </w:r>
      <w:r>
        <w:rPr>
          <w:color w:val="000000" w:themeColor="text1"/>
          <w14:textFill>
            <w14:solidFill>
              <w14:schemeClr w14:val="tx1"/>
            </w14:solidFill>
          </w14:textFill>
        </w:rPr>
        <w:t>视为对</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合同工期</w:t>
      </w:r>
      <w:r>
        <w:rPr>
          <w:rFonts w:hint="eastAsia"/>
          <w:color w:val="000000" w:themeColor="text1"/>
          <w14:textFill>
            <w14:solidFill>
              <w14:schemeClr w14:val="tx1"/>
            </w14:solidFill>
          </w14:textFill>
        </w:rPr>
        <w:t>、质量、安全、价格等约定</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调</w:t>
      </w:r>
      <w:r>
        <w:rPr>
          <w:color w:val="000000" w:themeColor="text1"/>
          <w14:textFill>
            <w14:solidFill>
              <w14:schemeClr w14:val="tx1"/>
            </w14:solidFill>
          </w14:textFill>
        </w:rPr>
        <w:t>整，</w:t>
      </w:r>
      <w:r>
        <w:rPr>
          <w:rFonts w:hint="eastAsia"/>
          <w:color w:val="000000" w:themeColor="text1"/>
          <w14:textFill>
            <w14:solidFill>
              <w14:schemeClr w14:val="tx1"/>
            </w14:solidFill>
          </w14:textFill>
        </w:rPr>
        <w:t>均不应减轻</w:t>
      </w:r>
      <w:r>
        <w:rPr>
          <w:color w:val="000000" w:themeColor="text1"/>
          <w14:textFill>
            <w14:solidFill>
              <w14:schemeClr w14:val="tx1"/>
            </w14:solidFill>
          </w14:textFill>
        </w:rPr>
        <w:t>或</w:t>
      </w:r>
      <w:r>
        <w:rPr>
          <w:rFonts w:hint="eastAsia"/>
          <w:color w:val="000000" w:themeColor="text1"/>
          <w14:textFill>
            <w14:solidFill>
              <w14:schemeClr w14:val="tx1"/>
            </w14:solidFill>
          </w14:textFill>
        </w:rPr>
        <w:t>免除分包人应承担的责任和义务。</w:t>
      </w:r>
    </w:p>
    <w:p w14:paraId="10D4656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10.3.15分包人提交给承包人和监理的所有计划和报表以及文件等的时间，均以承包人或监理的书面签收为准，如果分包人不能按合同要求及时提供合同规定的各项计划和报表及工程资料（发包人书面认可的特殊情况下的延期除外）或虽提供但不符合合同要求，需一日内上报、修正完毕。</w:t>
      </w:r>
    </w:p>
    <w:p w14:paraId="383EC64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10.3.16分包人在合同生效后十五天内，与承包人签订现场管理协议，向承包人申请办理相关进场手续。</w:t>
      </w:r>
    </w:p>
    <w:p w14:paraId="769AF609">
      <w:pPr>
        <w:pStyle w:val="77"/>
        <w:rPr>
          <w:color w:val="000000" w:themeColor="text1"/>
          <w14:textFill>
            <w14:solidFill>
              <w14:schemeClr w14:val="tx1"/>
            </w14:solidFill>
          </w14:textFill>
        </w:rPr>
      </w:pPr>
      <w:bookmarkStart w:id="694" w:name="_Toc26413"/>
      <w:bookmarkStart w:id="695" w:name="_Toc26381"/>
      <w:bookmarkStart w:id="696" w:name="_Toc44228163"/>
      <w:bookmarkStart w:id="697" w:name="_Toc1274"/>
      <w:bookmarkStart w:id="698" w:name="_Toc91082444"/>
      <w:bookmarkStart w:id="699" w:name="_Toc44492584"/>
      <w:bookmarkStart w:id="700" w:name="_Toc38987280"/>
      <w:r>
        <w:rPr>
          <w:rFonts w:hint="eastAsia"/>
          <w:color w:val="000000" w:themeColor="text1"/>
          <w14:textFill>
            <w14:solidFill>
              <w14:schemeClr w14:val="tx1"/>
            </w14:solidFill>
          </w14:textFill>
        </w:rPr>
        <w:t>11.开工和竣工</w:t>
      </w:r>
      <w:bookmarkEnd w:id="694"/>
      <w:bookmarkEnd w:id="695"/>
      <w:bookmarkEnd w:id="696"/>
      <w:bookmarkEnd w:id="697"/>
      <w:bookmarkEnd w:id="698"/>
      <w:bookmarkEnd w:id="699"/>
      <w:bookmarkEnd w:id="700"/>
    </w:p>
    <w:p w14:paraId="38BCB789">
      <w:pPr>
        <w:pStyle w:val="81"/>
        <w:ind w:firstLine="480"/>
        <w:rPr>
          <w:color w:val="000000" w:themeColor="text1"/>
          <w14:textFill>
            <w14:solidFill>
              <w14:schemeClr w14:val="tx1"/>
            </w14:solidFill>
          </w14:textFill>
        </w:rPr>
      </w:pPr>
      <w:bookmarkStart w:id="701" w:name="_Toc25354"/>
      <w:bookmarkStart w:id="702" w:name="_Toc30101"/>
      <w:bookmarkStart w:id="703" w:name="_Toc44492585"/>
      <w:r>
        <w:rPr>
          <w:rFonts w:hint="eastAsia"/>
          <w:color w:val="000000" w:themeColor="text1"/>
          <w14:textFill>
            <w14:solidFill>
              <w14:schemeClr w14:val="tx1"/>
            </w14:solidFill>
          </w14:textFill>
        </w:rPr>
        <w:t>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开工</w:t>
      </w:r>
      <w:bookmarkEnd w:id="701"/>
      <w:bookmarkEnd w:id="702"/>
      <w:bookmarkEnd w:id="703"/>
    </w:p>
    <w:p w14:paraId="134843D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通用条款11.1.3修改为：分包人不能按时开工的，应当不迟于发包人要求的开工日期前7天，通过承包人以书面形式向发包人和监理人提出延期开工的理由和要求。发包人和监理人应当在接到延期开工申请后的48小时内以书面形式答复承包人、分包人。发包人和监理人在接到延期开工申请后48小时内不答复，视为不同意分包人要求，工期不相应顺延。发包人和监理人不同意延期要求或分包人未在规定时间内提出延期开工要求，工期不予顺延。</w:t>
      </w:r>
    </w:p>
    <w:p w14:paraId="020D90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11.1.4 分包人的人员、设备必须按照合同及经承包人、监理人确认的时间表进场，分包人不得拖延、调换或减少。若监理人认为合同规定的进场机械、材料和劳动力不能满足施工进度要求，有权指令分包人增加设备、材料和劳动力投入，分包人不得拒绝。分包人不按照合同约定的人员、设备按时进场，承包人有权要求不满足合同要求的人员、设备退场，由此造成的工期、费用损失，由分包人负责。</w:t>
      </w:r>
    </w:p>
    <w:p w14:paraId="539C7D73">
      <w:pPr>
        <w:pStyle w:val="81"/>
        <w:ind w:firstLine="480"/>
        <w:rPr>
          <w:color w:val="000000" w:themeColor="text1"/>
          <w14:textFill>
            <w14:solidFill>
              <w14:schemeClr w14:val="tx1"/>
            </w14:solidFill>
          </w14:textFill>
        </w:rPr>
      </w:pPr>
      <w:bookmarkStart w:id="704" w:name="_Toc28431"/>
      <w:bookmarkStart w:id="705" w:name="_Toc751"/>
      <w:bookmarkStart w:id="706" w:name="_Toc44492586"/>
      <w:r>
        <w:rPr>
          <w:rFonts w:hint="eastAsia"/>
          <w:color w:val="000000" w:themeColor="text1"/>
          <w14:textFill>
            <w14:solidFill>
              <w14:schemeClr w14:val="tx1"/>
            </w14:solidFill>
          </w14:textFill>
        </w:rPr>
        <w:t>11.3. 发包人的工期延误</w:t>
      </w:r>
      <w:bookmarkEnd w:id="704"/>
      <w:bookmarkEnd w:id="705"/>
      <w:bookmarkEnd w:id="706"/>
    </w:p>
    <w:p w14:paraId="1FCE24F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11.3.1. 合同当事人双方约定工期顺延的其他情况：</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4157DF37">
      <w:pPr>
        <w:pStyle w:val="81"/>
        <w:ind w:firstLine="480"/>
        <w:rPr>
          <w:color w:val="000000" w:themeColor="text1"/>
          <w14:textFill>
            <w14:solidFill>
              <w14:schemeClr w14:val="tx1"/>
            </w14:solidFill>
          </w14:textFill>
        </w:rPr>
      </w:pPr>
      <w:bookmarkStart w:id="707" w:name="_Toc10205"/>
      <w:bookmarkStart w:id="708" w:name="_Toc16575"/>
      <w:bookmarkStart w:id="709" w:name="_Toc44492587"/>
      <w:r>
        <w:rPr>
          <w:rFonts w:hint="eastAsia"/>
          <w:color w:val="000000" w:themeColor="text1"/>
          <w14:textFill>
            <w14:solidFill>
              <w14:schemeClr w14:val="tx1"/>
            </w14:solidFill>
          </w14:textFill>
        </w:rPr>
        <w:t>11.4. 异常恶劣的气候条件</w:t>
      </w:r>
      <w:bookmarkEnd w:id="707"/>
      <w:bookmarkEnd w:id="708"/>
      <w:bookmarkEnd w:id="709"/>
    </w:p>
    <w:p w14:paraId="4307F20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11.4.1. 异常恶劣的气候条件是指: </w:t>
      </w:r>
      <w:r>
        <w:rPr>
          <w:rFonts w:hint="eastAsia"/>
          <w:color w:val="000000" w:themeColor="text1"/>
          <w:u w:val="single"/>
          <w14:textFill>
            <w14:solidFill>
              <w14:schemeClr w14:val="tx1"/>
            </w14:solidFill>
          </w14:textFill>
        </w:rPr>
        <w:t xml:space="preserve"> 24小时内（午夜至午夜）当地气象局记录显示降雨量150 mm或以上或8级及以上的台风，</w:t>
      </w:r>
      <w:r>
        <w:rPr>
          <w:color w:val="000000" w:themeColor="text1"/>
          <w:u w:val="single"/>
          <w14:textFill>
            <w14:solidFill>
              <w14:schemeClr w14:val="tx1"/>
            </w14:solidFill>
          </w14:textFill>
        </w:rPr>
        <w:t>以主管部门发布的正式文件为准</w:t>
      </w:r>
      <w:r>
        <w:rPr>
          <w:rFonts w:hint="eastAsia"/>
          <w:color w:val="000000" w:themeColor="text1"/>
          <w:u w:val="single"/>
          <w14:textFill>
            <w14:solidFill>
              <w14:schemeClr w14:val="tx1"/>
            </w14:solidFill>
          </w14:textFill>
        </w:rPr>
        <w:t>。</w:t>
      </w:r>
    </w:p>
    <w:p w14:paraId="75D7FB0C">
      <w:pPr>
        <w:pStyle w:val="81"/>
        <w:ind w:firstLine="480"/>
        <w:rPr>
          <w:color w:val="000000" w:themeColor="text1"/>
          <w14:textFill>
            <w14:solidFill>
              <w14:schemeClr w14:val="tx1"/>
            </w14:solidFill>
          </w14:textFill>
        </w:rPr>
      </w:pPr>
      <w:bookmarkStart w:id="710" w:name="_Toc44492588"/>
      <w:bookmarkStart w:id="711" w:name="_Toc27301"/>
      <w:bookmarkStart w:id="712" w:name="_Toc18931"/>
      <w:r>
        <w:rPr>
          <w:rFonts w:hint="eastAsia"/>
          <w:color w:val="000000" w:themeColor="text1"/>
          <w14:textFill>
            <w14:solidFill>
              <w14:schemeClr w14:val="tx1"/>
            </w14:solidFill>
          </w14:textFill>
        </w:rPr>
        <w:t>11.5. 分包人的工期延误</w:t>
      </w:r>
      <w:bookmarkEnd w:id="710"/>
      <w:bookmarkEnd w:id="711"/>
      <w:bookmarkEnd w:id="712"/>
    </w:p>
    <w:p w14:paraId="0150161E">
      <w:pPr>
        <w:pStyle w:val="79"/>
        <w:ind w:firstLine="482"/>
        <w:rPr>
          <w:color w:val="000000" w:themeColor="text1"/>
          <w14:textFill>
            <w14:solidFill>
              <w14:schemeClr w14:val="tx1"/>
            </w14:solidFill>
          </w14:textFill>
        </w:rPr>
      </w:pPr>
      <w:bookmarkStart w:id="713" w:name="_Toc26971"/>
      <w:r>
        <w:rPr>
          <w:rFonts w:hint="eastAsia"/>
          <w:color w:val="000000" w:themeColor="text1"/>
          <w14:textFill>
            <w14:solidFill>
              <w14:schemeClr w14:val="tx1"/>
            </w14:solidFill>
          </w14:textFill>
        </w:rPr>
        <w:t>11.5.1. 对分包人工期延误的约定</w:t>
      </w:r>
      <w:bookmarkEnd w:id="713"/>
    </w:p>
    <w:p w14:paraId="69E5A1B7">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分包人原因导致</w:t>
      </w:r>
      <w:r>
        <w:rPr>
          <w:rFonts w:hint="eastAsia"/>
          <w:color w:val="000000" w:themeColor="text1"/>
          <w:u w:val="single"/>
          <w14:textFill>
            <w14:solidFill>
              <w14:schemeClr w14:val="tx1"/>
            </w14:solidFill>
          </w14:textFill>
        </w:rPr>
        <w:t xml:space="preserve">工程不能按合同竣工日期验收合格或移交发包人的，每延误一天，分包人应按1万元/天向发包人支付违约金（如果工期延误引起发包人或其他人相关损失，分包人应负全部赔偿责任）。承包人可从应向分包人支付的进度款及结算款中扣除此项违约金，不足部分由分包人另行赔偿，此赔偿费的支付并不能解除分包人应完成工程的责任或本合同规定的其他责任。 </w:t>
      </w:r>
    </w:p>
    <w:p w14:paraId="28317C0A">
      <w:pPr>
        <w:adjustRightInd w:val="0"/>
        <w:snapToGrid w:val="0"/>
        <w:ind w:firstLine="480" w:firstLineChars="200"/>
        <w:rPr>
          <w:color w:val="000000" w:themeColor="text1"/>
          <w:u w:val="single"/>
          <w14:textFill>
            <w14:solidFill>
              <w14:schemeClr w14:val="tx1"/>
            </w14:solidFill>
          </w14:textFill>
        </w:rPr>
      </w:pPr>
      <w:r>
        <w:rPr>
          <w:rFonts w:hint="eastAsia" w:ascii="Times New Roman" w:hAnsi="Times New Roman" w:eastAsia="仿宋_GB2312"/>
          <w:color w:val="000000" w:themeColor="text1"/>
          <w:kern w:val="0"/>
          <w:szCs w:val="32"/>
          <w:u w:val="single"/>
          <w14:textFill>
            <w14:solidFill>
              <w14:schemeClr w14:val="tx1"/>
            </w14:solidFill>
          </w14:textFill>
        </w:rPr>
        <w:t>2）如因分包人责任造成实际施工进度严重滞后于合同规定的控制节点超过20天，经发包人书面同意，承包人有权单方面解除合同或将分包人所承包的部分工程委托给第三方单位负责施工，由此造成的一切损失均由分包人负责。经发包人书面同意，承包人将该部分工程直接委托给第三方单位负责施工且与第三方单位直接发生合同关系的，则应相应调减本合同承包范围及合同价款，同时分包人应承担工期等违约责任及承包人相关损失。</w:t>
      </w:r>
    </w:p>
    <w:p w14:paraId="2BAD4EB9">
      <w:pPr>
        <w:pStyle w:val="81"/>
        <w:ind w:firstLine="480"/>
        <w:rPr>
          <w:color w:val="000000" w:themeColor="text1"/>
          <w14:textFill>
            <w14:solidFill>
              <w14:schemeClr w14:val="tx1"/>
            </w14:solidFill>
          </w14:textFill>
        </w:rPr>
      </w:pPr>
      <w:bookmarkStart w:id="714" w:name="_Toc4423"/>
      <w:bookmarkStart w:id="715" w:name="_Toc31650"/>
      <w:bookmarkStart w:id="716" w:name="_Toc44492589"/>
      <w:r>
        <w:rPr>
          <w:rFonts w:hint="eastAsia"/>
          <w:color w:val="000000" w:themeColor="text1"/>
          <w14:textFill>
            <w14:solidFill>
              <w14:schemeClr w14:val="tx1"/>
            </w14:solidFill>
          </w14:textFill>
        </w:rPr>
        <w:t>11.6. 工期提前</w:t>
      </w:r>
      <w:bookmarkEnd w:id="714"/>
      <w:bookmarkEnd w:id="715"/>
      <w:bookmarkEnd w:id="716"/>
    </w:p>
    <w:p w14:paraId="5779091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11.6.1. </w:t>
      </w:r>
      <w:r>
        <w:rPr>
          <w:rFonts w:hint="eastAsia"/>
          <w:color w:val="000000" w:themeColor="text1"/>
          <w:u w:val="single"/>
          <w14:textFill>
            <w14:solidFill>
              <w14:schemeClr w14:val="tx1"/>
            </w14:solidFill>
          </w14:textFill>
        </w:rPr>
        <w:t>分包人按合同工期按时或提前竣工的，不奖不罚</w:t>
      </w:r>
      <w:r>
        <w:rPr>
          <w:color w:val="000000" w:themeColor="text1"/>
          <w:u w:val="single"/>
          <w14:textFill>
            <w14:solidFill>
              <w14:schemeClr w14:val="tx1"/>
            </w14:solidFill>
          </w14:textFill>
        </w:rPr>
        <w:t>。</w:t>
      </w:r>
    </w:p>
    <w:p w14:paraId="44A66E2A">
      <w:pPr>
        <w:pStyle w:val="77"/>
        <w:rPr>
          <w:color w:val="000000" w:themeColor="text1"/>
          <w14:textFill>
            <w14:solidFill>
              <w14:schemeClr w14:val="tx1"/>
            </w14:solidFill>
          </w14:textFill>
        </w:rPr>
      </w:pPr>
      <w:bookmarkStart w:id="717" w:name="_Toc91082445"/>
      <w:bookmarkStart w:id="718" w:name="_Toc27745"/>
      <w:bookmarkStart w:id="719" w:name="_Toc44228164"/>
      <w:bookmarkStart w:id="720" w:name="_Toc44492590"/>
      <w:bookmarkStart w:id="721" w:name="_Toc6620"/>
      <w:bookmarkStart w:id="722" w:name="_Toc8585"/>
      <w:bookmarkStart w:id="723" w:name="_Toc38987281"/>
      <w:r>
        <w:rPr>
          <w:rFonts w:hint="eastAsia"/>
          <w:color w:val="000000" w:themeColor="text1"/>
          <w14:textFill>
            <w14:solidFill>
              <w14:schemeClr w14:val="tx1"/>
            </w14:solidFill>
          </w14:textFill>
        </w:rPr>
        <w:t>12.暂停施工</w:t>
      </w:r>
      <w:bookmarkEnd w:id="717"/>
      <w:bookmarkEnd w:id="718"/>
      <w:bookmarkEnd w:id="719"/>
      <w:bookmarkEnd w:id="720"/>
      <w:bookmarkEnd w:id="721"/>
      <w:bookmarkEnd w:id="722"/>
      <w:bookmarkEnd w:id="723"/>
    </w:p>
    <w:p w14:paraId="576A09EE">
      <w:pPr>
        <w:pStyle w:val="81"/>
        <w:ind w:firstLine="480"/>
        <w:rPr>
          <w:color w:val="000000" w:themeColor="text1"/>
          <w14:textFill>
            <w14:solidFill>
              <w14:schemeClr w14:val="tx1"/>
            </w14:solidFill>
          </w14:textFill>
        </w:rPr>
      </w:pPr>
      <w:bookmarkStart w:id="724" w:name="_Toc44492591"/>
      <w:bookmarkStart w:id="725" w:name="_Toc29712"/>
      <w:bookmarkStart w:id="726" w:name="_Toc18790"/>
      <w:r>
        <w:rPr>
          <w:rFonts w:hint="eastAsia"/>
          <w:color w:val="000000" w:themeColor="text1"/>
          <w14:textFill>
            <w14:solidFill>
              <w14:schemeClr w14:val="tx1"/>
            </w14:solidFill>
          </w14:textFill>
        </w:rPr>
        <w:t>12.1.分包人暂停施工的责任</w:t>
      </w:r>
    </w:p>
    <w:p w14:paraId="3F741EF6">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 xml:space="preserve">12.1.1 </w:t>
      </w:r>
    </w:p>
    <w:p w14:paraId="7BECECD2">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5）因现场气候条件（不可抗力除外）导致的必要停工。</w:t>
      </w:r>
    </w:p>
    <w:p w14:paraId="42D7B711">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12.2. 发包人暂停施工的责任</w:t>
      </w:r>
      <w:bookmarkEnd w:id="724"/>
      <w:bookmarkEnd w:id="725"/>
      <w:bookmarkEnd w:id="726"/>
    </w:p>
    <w:p w14:paraId="28C94997">
      <w:pPr>
        <w:pStyle w:val="21"/>
        <w:ind w:left="478" w:firstLine="480" w:firstLineChars="200"/>
        <w:rPr>
          <w:rFonts w:ascii="Times New Roman" w:hAnsi="Times New Roman" w:eastAsia="仿宋_GB2312" w:cs="Times New Roman"/>
          <w:color w:val="000000" w:themeColor="text1"/>
          <w:kern w:val="0"/>
          <w:szCs w:val="32"/>
          <w14:textFill>
            <w14:solidFill>
              <w14:schemeClr w14:val="tx1"/>
            </w14:solidFill>
          </w14:textFill>
        </w:rPr>
      </w:pPr>
      <w:r>
        <w:rPr>
          <w:rFonts w:hint="eastAsia" w:ascii="Times New Roman" w:hAnsi="Times New Roman" w:eastAsia="仿宋_GB2312" w:cs="Times New Roman"/>
          <w:color w:val="000000" w:themeColor="text1"/>
          <w:kern w:val="0"/>
          <w:szCs w:val="32"/>
          <w14:textFill>
            <w14:solidFill>
              <w14:schemeClr w14:val="tx1"/>
            </w14:solidFill>
          </w14:textFill>
        </w:rPr>
        <w:t>12.2.1. 因发包人原因造成暂停施工持续 56天以上时，分包人可向监理人、承包人提交复工报审表要求复工；监理人应在收到复工报审表后的28天内准许复工。如果在上述期限内监理人未予准许，则分包人可以作如下选择：</w:t>
      </w:r>
    </w:p>
    <w:p w14:paraId="385ADDD1">
      <w:pPr>
        <w:pStyle w:val="21"/>
        <w:ind w:left="478" w:firstLine="480" w:firstLineChars="200"/>
        <w:rPr>
          <w:rFonts w:ascii="Times New Roman" w:hAnsi="Times New Roman" w:eastAsia="仿宋_GB2312" w:cs="Times New Roman"/>
          <w:color w:val="000000" w:themeColor="text1"/>
          <w:kern w:val="0"/>
          <w:szCs w:val="32"/>
          <w14:textFill>
            <w14:solidFill>
              <w14:schemeClr w14:val="tx1"/>
            </w14:solidFill>
          </w14:textFill>
        </w:rPr>
      </w:pPr>
      <w:r>
        <w:rPr>
          <w:rFonts w:hint="eastAsia" w:ascii="Times New Roman" w:hAnsi="Times New Roman" w:eastAsia="仿宋_GB2312" w:cs="Times New Roman"/>
          <w:color w:val="000000" w:themeColor="text1"/>
          <w:kern w:val="0"/>
          <w:szCs w:val="32"/>
          <w14:textFill>
            <w14:solidFill>
              <w14:schemeClr w14:val="tx1"/>
            </w14:solidFill>
          </w14:textFill>
        </w:rPr>
        <w:t>（1）如果此项停工仅影响合同工程的一部分时，分包人无权将该部分工程从合同中取消，仅能主张该部分工期可顺延；</w:t>
      </w:r>
    </w:p>
    <w:p w14:paraId="6608E222">
      <w:pPr>
        <w:pStyle w:val="21"/>
        <w:ind w:left="478" w:firstLine="480" w:firstLineChars="200"/>
        <w:rPr>
          <w:rFonts w:ascii="Times New Roman" w:hAnsi="Times New Roman" w:eastAsia="仿宋_GB2312" w:cs="Times New Roman"/>
          <w:color w:val="000000" w:themeColor="text1"/>
          <w:kern w:val="0"/>
          <w:szCs w:val="32"/>
          <w14:textFill>
            <w14:solidFill>
              <w14:schemeClr w14:val="tx1"/>
            </w14:solidFill>
          </w14:textFill>
        </w:rPr>
      </w:pPr>
      <w:r>
        <w:rPr>
          <w:rFonts w:hint="eastAsia" w:ascii="Times New Roman" w:hAnsi="Times New Roman" w:eastAsia="仿宋_GB2312" w:cs="Times New Roman"/>
          <w:color w:val="000000" w:themeColor="text1"/>
          <w:kern w:val="0"/>
          <w:szCs w:val="32"/>
          <w14:textFill>
            <w14:solidFill>
              <w14:schemeClr w14:val="tx1"/>
            </w14:solidFill>
          </w14:textFill>
        </w:rPr>
        <w:t>（2）如果此项停工影响整个合同工程时，整体工期可顺延，发包人可结合项目实际情况综合考虑对分包人因此所受的损失给予适当补偿。因发包人原因造成的工程停工、缓建，合同价款中已包含停工后6个月内项目及临建维护看管费用、管理人员工资、保安工资以及为确保项目安全投入的工人工资等费用，若停工超过6个月（不含），超过部分发包人按2万元人民币/月通过承包人向分包人支付项目及临建维护看管费用及相关人员工资费用，不足一月的按天计算费用（每日应付费用为2万元/30天），每月按30天计。</w:t>
      </w:r>
    </w:p>
    <w:p w14:paraId="63DBC8E0">
      <w:pPr>
        <w:pStyle w:val="81"/>
        <w:ind w:firstLine="480"/>
        <w:rPr>
          <w:color w:val="000000" w:themeColor="text1"/>
          <w14:textFill>
            <w14:solidFill>
              <w14:schemeClr w14:val="tx1"/>
            </w14:solidFill>
          </w14:textFill>
        </w:rPr>
      </w:pPr>
      <w:bookmarkStart w:id="727" w:name="_Toc27207"/>
      <w:bookmarkStart w:id="728" w:name="_Toc44492592"/>
      <w:bookmarkStart w:id="729" w:name="_Toc25740"/>
      <w:r>
        <w:rPr>
          <w:rFonts w:hint="eastAsia"/>
          <w:color w:val="000000" w:themeColor="text1"/>
          <w14:textFill>
            <w14:solidFill>
              <w14:schemeClr w14:val="tx1"/>
            </w14:solidFill>
          </w14:textFill>
        </w:rPr>
        <w:t>12.3.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监理人暂停施工指示</w:t>
      </w:r>
      <w:bookmarkEnd w:id="727"/>
      <w:bookmarkEnd w:id="728"/>
      <w:bookmarkEnd w:id="729"/>
    </w:p>
    <w:p w14:paraId="29226EA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2.3.3 </w:t>
      </w:r>
      <w:r>
        <w:rPr>
          <w:rFonts w:hint="eastAsia"/>
          <w:color w:val="000000" w:themeColor="text1"/>
          <w14:textFill>
            <w14:solidFill>
              <w14:schemeClr w14:val="tx1"/>
            </w14:solidFill>
          </w14:textFill>
        </w:rPr>
        <w:t>凡出现下列情形之一的，经发包人同意，监理人有权通过承包人通知分包人暂停施工并限期整改，由此发生的全部费用由分包人承担，工期不予顺延：</w:t>
      </w:r>
    </w:p>
    <w:p w14:paraId="6CA655D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（1）分包人不遵守有关安全文明生产规定的；</w:t>
      </w:r>
    </w:p>
    <w:p w14:paraId="6ED98A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（2）出现重大质量事故或安全事故的；</w:t>
      </w:r>
    </w:p>
    <w:p w14:paraId="29A2D58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（3）存在安全隐患，未按安监部门、监理人或发包人的要求及时进行整改的；</w:t>
      </w:r>
    </w:p>
    <w:p w14:paraId="19064C0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（4）工程存在质量问题经发包人或监理人提出后未在规定期限内按要求完成整改的；</w:t>
      </w:r>
    </w:p>
    <w:p w14:paraId="0CBEDCE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（5）因噪音或污染等方面问题而被有关部门罚款或勒令停工且未及时整改的；</w:t>
      </w:r>
    </w:p>
    <w:p w14:paraId="498AC49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（6）分包人使用的材料或设备有质量问题的；</w:t>
      </w:r>
    </w:p>
    <w:p w14:paraId="1545DB9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（7）擅自采用未经监理人、发包人及承包人认可的材料或设备的；</w:t>
      </w:r>
    </w:p>
    <w:p w14:paraId="7E27D44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（8）不执行或拖延执行承包人、发包人或监理人的指令；或有执行不力、敷衍应付、曲解指令等情况或执行情况难以达到合同目的的；</w:t>
      </w:r>
    </w:p>
    <w:p w14:paraId="3DCFD8D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（9）未经监理人验收检验而进行下一道工序作业的；</w:t>
      </w:r>
    </w:p>
    <w:p w14:paraId="2BCC0B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（10）图纸未经批准而擅自施工或未按图纸施工的；</w:t>
      </w:r>
    </w:p>
    <w:p w14:paraId="44010E7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（11）擅自变更设计图纸的；</w:t>
      </w:r>
    </w:p>
    <w:p w14:paraId="0328417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（12）分包人违反合同或法律法规规章规定的其他情形。</w:t>
      </w:r>
    </w:p>
    <w:p w14:paraId="71F137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若分包人拒绝整改或未能在限期内妥善完成整改的，属于拒不执行监理人指令，按补充条款承担违约责任。</w:t>
      </w:r>
    </w:p>
    <w:p w14:paraId="0BCACC93">
      <w:pPr>
        <w:pStyle w:val="81"/>
        <w:ind w:firstLine="480"/>
        <w:rPr>
          <w:color w:val="000000" w:themeColor="text1"/>
          <w14:textFill>
            <w14:solidFill>
              <w14:schemeClr w14:val="tx1"/>
            </w14:solidFill>
          </w14:textFill>
        </w:rPr>
      </w:pPr>
      <w:bookmarkStart w:id="730" w:name="_Toc3455"/>
      <w:bookmarkStart w:id="731" w:name="_Toc44492593"/>
      <w:bookmarkStart w:id="732" w:name="_Toc13783"/>
      <w:r>
        <w:rPr>
          <w:rFonts w:hint="eastAsia"/>
          <w:color w:val="000000" w:themeColor="text1"/>
          <w14:textFill>
            <w14:solidFill>
              <w14:schemeClr w14:val="tx1"/>
            </w14:solidFill>
          </w14:textFill>
        </w:rPr>
        <w:t>12.4.  暂停施工后的复工</w:t>
      </w:r>
      <w:bookmarkEnd w:id="730"/>
      <w:bookmarkEnd w:id="731"/>
      <w:bookmarkEnd w:id="732"/>
    </w:p>
    <w:p w14:paraId="4D83ADB1">
      <w:pPr>
        <w:ind w:firstLine="600" w:firstLineChars="25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12.4.4. 由于发包人责任引起的暂停施工，监理人经发包人同意后发出暂停施工指示后56天内未向分包人发出复工通知，并且该暂停施工不在12.1.1.款范围之内，分包人可通过承包人向监理人和发包人提交书面通知，要求监理人和发包人在收到书面通知后28天内准许已暂停施工的工程或其中一部分工程继续施工。监理单位和发包人在收到书面通知后28天内未予回复的，视为不予准许继续施工。如果发包人准许已暂停施工的工程或其中一部分工程恢复施工，则分包人应合理安排人员组织恢复施工。</w:t>
      </w:r>
      <w:bookmarkStart w:id="733" w:name="_Toc38987282"/>
    </w:p>
    <w:p w14:paraId="2005C534">
      <w:pPr>
        <w:pStyle w:val="77"/>
        <w:rPr>
          <w:color w:val="000000" w:themeColor="text1"/>
          <w14:textFill>
            <w14:solidFill>
              <w14:schemeClr w14:val="tx1"/>
            </w14:solidFill>
          </w14:textFill>
        </w:rPr>
      </w:pPr>
      <w:bookmarkStart w:id="734" w:name="_Toc91082446"/>
      <w:bookmarkStart w:id="735" w:name="_Toc44228165"/>
      <w:bookmarkStart w:id="736" w:name="_Toc13570"/>
      <w:bookmarkStart w:id="737" w:name="_Toc27159"/>
      <w:bookmarkStart w:id="738" w:name="_Toc44492594"/>
      <w:bookmarkStart w:id="739" w:name="_Toc15004"/>
      <w:r>
        <w:rPr>
          <w:rFonts w:hint="eastAsia"/>
          <w:color w:val="000000" w:themeColor="text1"/>
          <w14:textFill>
            <w14:solidFill>
              <w14:schemeClr w14:val="tx1"/>
            </w14:solidFill>
          </w14:textFill>
        </w:rPr>
        <w:t>13.工程质量</w:t>
      </w:r>
      <w:bookmarkEnd w:id="733"/>
      <w:bookmarkEnd w:id="734"/>
      <w:bookmarkEnd w:id="735"/>
      <w:bookmarkEnd w:id="736"/>
      <w:bookmarkEnd w:id="737"/>
      <w:bookmarkEnd w:id="738"/>
      <w:bookmarkEnd w:id="739"/>
    </w:p>
    <w:p w14:paraId="72A326C2">
      <w:pPr>
        <w:pStyle w:val="81"/>
        <w:ind w:firstLine="480"/>
        <w:rPr>
          <w:color w:val="000000" w:themeColor="text1"/>
          <w14:textFill>
            <w14:solidFill>
              <w14:schemeClr w14:val="tx1"/>
            </w14:solidFill>
          </w14:textFill>
        </w:rPr>
      </w:pPr>
      <w:bookmarkStart w:id="740" w:name="_Toc11122"/>
      <w:bookmarkStart w:id="741" w:name="_Toc24372"/>
      <w:bookmarkStart w:id="742" w:name="_Toc44492595"/>
      <w:r>
        <w:rPr>
          <w:rFonts w:hint="eastAsia"/>
          <w:color w:val="000000" w:themeColor="text1"/>
          <w14:textFill>
            <w14:solidFill>
              <w14:schemeClr w14:val="tx1"/>
            </w14:solidFill>
          </w14:textFill>
        </w:rPr>
        <w:t>13.1. 工程质量要求</w:t>
      </w:r>
      <w:bookmarkEnd w:id="740"/>
      <w:bookmarkEnd w:id="741"/>
      <w:bookmarkEnd w:id="742"/>
    </w:p>
    <w:p w14:paraId="2B752BA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13.1.1.  工程质量必须达到合同约定的质量标准，若竣工验收工程质量达不到标准要求，分包人必须按承包人和监理人指定的期限对不合格工程返工、修复或采取承包人认可的其他补救措施，使之达到合同和法定标准要求。承包方或监理人指定的期限届满，分包人返工、修复和（或）采取其他补救措施后重新验收仍未通过，即该部分工程仍不合格的，承包人无须支付该部分合同价款，</w:t>
      </w:r>
      <w:r>
        <w:rPr>
          <w:rFonts w:hint="eastAsia"/>
          <w:color w:val="000000" w:themeColor="text1"/>
          <w:u w:val="single"/>
          <w14:textFill>
            <w14:solidFill>
              <w14:schemeClr w14:val="tx1"/>
            </w14:solidFill>
          </w14:textFill>
        </w:rPr>
        <w:t>根据期限天数，每延迟一天，承包人有权要求分包人按补充条款约定支付违约金，</w:t>
      </w:r>
      <w:r>
        <w:rPr>
          <w:color w:val="000000" w:themeColor="text1"/>
          <w:u w:val="single"/>
          <w14:textFill>
            <w14:solidFill>
              <w14:schemeClr w14:val="tx1"/>
            </w14:solidFill>
          </w14:textFill>
        </w:rPr>
        <w:t>且经发包人书面同意</w:t>
      </w:r>
      <w:r>
        <w:rPr>
          <w:rFonts w:hint="eastAsia"/>
          <w:color w:val="000000" w:themeColor="text1"/>
          <w:u w:val="single"/>
          <w14:textFill>
            <w14:solidFill>
              <w14:schemeClr w14:val="tx1"/>
            </w14:solidFill>
          </w14:textFill>
        </w:rPr>
        <w:t>，承包人</w:t>
      </w:r>
      <w:r>
        <w:rPr>
          <w:color w:val="000000" w:themeColor="text1"/>
          <w:u w:val="single"/>
          <w14:textFill>
            <w14:solidFill>
              <w14:schemeClr w14:val="tx1"/>
            </w14:solidFill>
          </w14:textFill>
        </w:rPr>
        <w:t>有权解除本合同</w:t>
      </w:r>
      <w:r>
        <w:rPr>
          <w:rFonts w:hint="eastAsia"/>
          <w:color w:val="000000" w:themeColor="text1"/>
          <w14:textFill>
            <w14:solidFill>
              <w14:schemeClr w14:val="tx1"/>
            </w14:solidFill>
          </w14:textFill>
        </w:rPr>
        <w:t>，同时分包人应补偿因此对承包人所造成的损失</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发生以上情形时，分包人除承担违约责任外，经发包人书面同意，承包人可委托第三方返工、修复和（或）采取其他补救措施，费用由分包人承担，承包人可在应付分包人工程价款中直接扣减。完成返工、修复和（或）采取其他补救措施、达到合同验收标准的时间比合同约定工期时间推迟的，分包人同时应按本合同相关约定向承包人支付延期竣工、延期交付工程逾期违约金。</w:t>
      </w:r>
    </w:p>
    <w:p w14:paraId="7E266E3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13.1.3. 分包人在施工过程中，因质量问题需对已完工程进行整改、返工的，产生的费用由分包人全部负责。若分包人有违反质量评定标准的质量问题，视情节轻重，每次（项）须按本合同补充条款承担对应违约责任，同时亦不免除、也不减轻分包人对不合格工程进行整改、返工的责任。</w:t>
      </w:r>
    </w:p>
    <w:p w14:paraId="2BB50D7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13.1.4.分包人未按承包人审定的施工方案、施工工艺进行施工的，每次（项）须按本合同补充条款承担对应违约责任，同时亦不免除、也不减轻分包人对不合格施工方案、施工工艺的整改责任。</w:t>
      </w:r>
    </w:p>
    <w:p w14:paraId="5C5BBD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13.1.5.分包人对监理通知指出的质量问题未按时整改并回复，分包人应限期整改完成并按补充条款约定向承包人承担对应违约责任。</w:t>
      </w:r>
    </w:p>
    <w:p w14:paraId="622EAF4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13.1.6.因分包人原因出现质量问题影响其他专业工程施工的，分包人应限期整改完成并向承包人承担工期违约责任，且专业工程因此而提出的索赔应由分包人承担。</w:t>
      </w:r>
    </w:p>
    <w:p w14:paraId="7065EE7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13.1.7.工程施工期间和工程质量保修期内，由于分包人责任出现质量问题、安全事故或者其他原因，使发包人或项目受到报纸、电视等媒体的曝光或政府有关主管部门的通报批评的，每出现一次，分包人应按本合同补充条款向承包人承担对应违约责任。</w:t>
      </w:r>
    </w:p>
    <w:p w14:paraId="429CC6F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13.1.8.分包人未经报验，擅自进行下道工序施工的，分包人应拆除擅自施工的部位，并按本合同补充条款向承包人承担对应违约责任。</w:t>
      </w:r>
    </w:p>
    <w:p w14:paraId="1D8720AB">
      <w:pPr>
        <w:pStyle w:val="77"/>
        <w:rPr>
          <w:color w:val="000000" w:themeColor="text1"/>
          <w14:textFill>
            <w14:solidFill>
              <w14:schemeClr w14:val="tx1"/>
            </w14:solidFill>
          </w14:textFill>
        </w:rPr>
      </w:pPr>
      <w:bookmarkStart w:id="743" w:name="_Toc91082447"/>
      <w:bookmarkStart w:id="744" w:name="_Toc44228166"/>
      <w:bookmarkStart w:id="745" w:name="_Toc813"/>
      <w:bookmarkStart w:id="746" w:name="_Toc18906"/>
      <w:bookmarkStart w:id="747" w:name="_Toc38987283"/>
      <w:bookmarkStart w:id="748" w:name="_Toc44492596"/>
      <w:r>
        <w:rPr>
          <w:rFonts w:hint="eastAsia"/>
          <w:color w:val="000000" w:themeColor="text1"/>
          <w14:textFill>
            <w14:solidFill>
              <w14:schemeClr w14:val="tx1"/>
            </w14:solidFill>
          </w14:textFill>
        </w:rPr>
        <w:t>14.试验和检验</w:t>
      </w:r>
      <w:bookmarkEnd w:id="743"/>
      <w:bookmarkEnd w:id="744"/>
      <w:bookmarkEnd w:id="745"/>
      <w:bookmarkEnd w:id="746"/>
      <w:bookmarkEnd w:id="747"/>
      <w:bookmarkEnd w:id="748"/>
    </w:p>
    <w:p w14:paraId="4204DC2D">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14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1.1 关于</w:t>
      </w:r>
      <w:r>
        <w:rPr>
          <w:rFonts w:hint="eastAsia"/>
          <w:color w:val="000000" w:themeColor="text1"/>
          <w14:textFill>
            <w14:solidFill>
              <w14:schemeClr w14:val="tx1"/>
            </w14:solidFill>
          </w14:textFill>
        </w:rPr>
        <w:t>材料、工程设备和工程的试验和检验的补充约定</w:t>
      </w:r>
    </w:p>
    <w:p w14:paraId="352E319E">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1、幕墙工程材料检测、节能检测</w:t>
      </w:r>
    </w:p>
    <w:p w14:paraId="5D599EA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（1）按照规范及设计要求对幕墙工程相关材料及构配件进行检测，检测合格后方可使用，将材料检测报告报送监理人及</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p>
    <w:p w14:paraId="3F108223">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（2）按照规范及设计要求对幕墙工程相关材料进行节能检测，检测合格后方可使用，确保满足节能验收要求、本项目绿色建筑评价指标要求，将材料检测报告报送监理人及</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p>
    <w:p w14:paraId="2853E8D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2、性能检测</w:t>
      </w:r>
    </w:p>
    <w:p w14:paraId="2E831475">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（1）四性试验</w:t>
      </w:r>
      <w:r>
        <w:rPr>
          <w:rFonts w:hint="eastAsia"/>
          <w:color w:val="000000" w:themeColor="text1"/>
          <w14:textFill>
            <w14:solidFill>
              <w14:schemeClr w14:val="tx1"/>
            </w14:solidFill>
          </w14:textFill>
        </w:rPr>
        <w:t>须满足</w:t>
      </w:r>
      <w:r>
        <w:rPr>
          <w:color w:val="000000" w:themeColor="text1"/>
          <w14:textFill>
            <w14:solidFill>
              <w14:schemeClr w14:val="tx1"/>
            </w14:solidFill>
          </w14:textFill>
        </w:rPr>
        <w:t>验收要求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包括：</w:t>
      </w:r>
    </w:p>
    <w:p w14:paraId="4F722D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1）抗风压性能检测；</w:t>
      </w:r>
    </w:p>
    <w:p w14:paraId="781AAE0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2）水密性能检测;</w:t>
      </w:r>
    </w:p>
    <w:p w14:paraId="20D77E4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3）气密性能性检测;</w:t>
      </w:r>
    </w:p>
    <w:p w14:paraId="063E904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4）平面内变形性能检测;</w:t>
      </w:r>
    </w:p>
    <w:p w14:paraId="2207A956">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（2）试验流程及要求以技术规格书及相关规范的要求为准。</w:t>
      </w:r>
    </w:p>
    <w:p w14:paraId="1F694F64">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（3）对于幕墙四性试验要求，分包人应在投标期间核实是否能满足工程施工验收需要，发包人将不会以任何理由对四性试验范围或流程的调整而增加费用。</w:t>
      </w:r>
    </w:p>
    <w:p w14:paraId="229D4C9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（4）当四性试验合格后，分包人方能展开大面积施工；若四性试验不合格，分包人须仔细分析原因，研究改善方案，直至试验合格。</w:t>
      </w:r>
    </w:p>
    <w:p w14:paraId="21EE754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（5）四性试验的实施必须以不影响项目工程进度为前提，</w:t>
      </w:r>
    </w:p>
    <w:p w14:paraId="6DF66E6C">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1）分包人应在合同签订30日内向</w:t>
      </w:r>
      <w:r>
        <w:rPr>
          <w:rFonts w:hint="eastAsia"/>
          <w:color w:val="000000" w:themeColor="text1"/>
          <w14:textFill>
            <w14:solidFill>
              <w14:schemeClr w14:val="tx1"/>
            </w14:solidFill>
          </w14:textFill>
        </w:rPr>
        <w:t>承包人</w:t>
      </w:r>
      <w:r>
        <w:rPr>
          <w:color w:val="000000" w:themeColor="text1"/>
          <w14:textFill>
            <w14:solidFill>
              <w14:schemeClr w14:val="tx1"/>
            </w14:solidFill>
          </w14:textFill>
        </w:rPr>
        <w:t>及监理人报送四性试验专项计划</w:t>
      </w:r>
      <w:r>
        <w:rPr>
          <w:rFonts w:hint="eastAsia"/>
          <w:color w:val="000000" w:themeColor="text1"/>
          <w14:textFill>
            <w14:solidFill>
              <w14:schemeClr w14:val="tx1"/>
            </w14:solidFill>
          </w14:textFill>
        </w:rPr>
        <w:t>。</w:t>
      </w:r>
    </w:p>
    <w:p w14:paraId="3A1E920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2）分包人应在中标通知书发出后的90天内，完成四性实验图纸的深化工作。</w:t>
      </w:r>
    </w:p>
    <w:p w14:paraId="086F376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3）分包人应确保在2025年2月25日前通过四性实验验收工作，以保证幕墙系统的性能符合相关标准和要求。</w:t>
      </w:r>
    </w:p>
    <w:p w14:paraId="1219E875">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（6）四性试验的制作、送检及相关</w:t>
      </w:r>
      <w:r>
        <w:rPr>
          <w:rFonts w:hint="eastAsia"/>
          <w:color w:val="000000" w:themeColor="text1"/>
          <w14:textFill>
            <w14:solidFill>
              <w14:schemeClr w14:val="tx1"/>
            </w14:solidFill>
          </w14:textFill>
        </w:rPr>
        <w:t>配合</w:t>
      </w:r>
      <w:r>
        <w:rPr>
          <w:color w:val="000000" w:themeColor="text1"/>
          <w14:textFill>
            <w14:solidFill>
              <w14:schemeClr w14:val="tx1"/>
            </w14:solidFill>
          </w14:textFill>
        </w:rPr>
        <w:t>费用由分包人承担，若不能一次通过检测须无条件整改至合格为止，由此造成的费用增加和工期延误由分包人承担，须在投标报价中考虑。</w:t>
      </w:r>
    </w:p>
    <w:p w14:paraId="04712E76">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（7）分包人在做四性试验时，同时需要做防撞击试验和插窗机锁点拉拔试验并出具相关报告，该费用须在投标报价中考虑。</w:t>
      </w:r>
    </w:p>
    <w:p w14:paraId="2A5963F6">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（8）具体试验标准以附件幕墙工程技术说明要求为准。</w:t>
      </w:r>
    </w:p>
    <w:p w14:paraId="0B49670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3、现场试验</w:t>
      </w:r>
    </w:p>
    <w:p w14:paraId="183139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现场试验包括但不限于下列：</w:t>
      </w:r>
    </w:p>
    <w:p w14:paraId="2C6820C8">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（1）防雷检测</w:t>
      </w:r>
    </w:p>
    <w:p w14:paraId="01F6418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幕墙防雷应符合“建筑防雷设计规范”GB50057-2010的要求，并符合建筑其他具体防雷的要求。幕墙防雷具体技术要求参考施工图中防雷图纸要求。</w:t>
      </w:r>
    </w:p>
    <w:p w14:paraId="2D436C77">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（2）预埋件与锚栓拉拔试验</w:t>
      </w:r>
    </w:p>
    <w:p w14:paraId="38E97E4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1）分包人应对支承挂板的后安装锚固件做抽样的拉拔证明试验，应采用锚固件安全荷载的2倍荷载进行试验，抽样数量符合相关规范要求。</w:t>
      </w:r>
    </w:p>
    <w:p w14:paraId="050D3E8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2）对于后置埋件、后补锚栓，分包人均应按规范要求做拉拔试验并承担相关费用。</w:t>
      </w:r>
    </w:p>
    <w:p w14:paraId="43635C31">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（3）幕墙淋水、闭水试验</w:t>
      </w:r>
    </w:p>
    <w:p w14:paraId="183EC15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施工过程中幕墙每封闭完5层以后需要进行淋水实验，幕墙基于规范要求进行现场局部淋水测试检测幕墙防渗情况。分包人应准备相关的试验设备、人员、试验条件，提供现场淋水测试以确定幕墙符合规范及设计要求，淋水范围由发包人确认并负责所需的费用及因失败而做的重复测试。</w:t>
      </w:r>
    </w:p>
    <w:p w14:paraId="652C2B5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2）如有任何地方经测试后，出现渗漏，分包人必须安排修正工作及再次测试。在分包人整改并通过淋水测试之前，发包人保留要求分包人停止后续板块安装的权利。</w:t>
      </w:r>
    </w:p>
    <w:p w14:paraId="64EE014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3）现场淋水测试的进行，必须得到监理工程师或发包人所指定的代表人员的见证和认可。</w:t>
      </w:r>
    </w:p>
    <w:p w14:paraId="50A0DFD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4）分包人须提供相应淋水测试批次计划安排并经发包人审批认可后展开。</w:t>
      </w:r>
    </w:p>
    <w:p w14:paraId="4434556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5）当幕墙整体封闭完成后每10层一圈，整层布置水管淋水，出水口水压不小于0.15kpa，淋水时长不小于15分钟。</w:t>
      </w:r>
    </w:p>
    <w:p w14:paraId="003DEA6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6）单元体每层板块安装完成后上横梁料必须做闭水实验，时长不小于4小时，必须验收通过后才能进行下一道工序。</w:t>
      </w:r>
    </w:p>
    <w:p w14:paraId="69A2B5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7）现场闭水测试必须得到监理工程师或发包人所指定的代表人员的见证和认可性能要求。</w:t>
      </w:r>
    </w:p>
    <w:p w14:paraId="3457922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8）当附件幕墙工程技术说明中对于淋水、闭水试验有不同要求时，应以更严格要求为准。</w:t>
      </w:r>
    </w:p>
    <w:p w14:paraId="2FD53D7D">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发包人抽检：除根据政策要求的第三方检测和监理相关检测外，根据工程实际情况，发包人对有疑问、高价值、对效果有重大影响、易产生不合格品的材料设备有权实施抽检，分包人对发包人抽检清单内的抽检不得提出工期索赔。检验的结果证明该项材料、设备不符合合同要求的，因此增加的费用和（或）工期延误由分包人承担，如果因此给发包人造成损失，分包人应当全额赔偿；检验结果证明该项材料、设备符合合同要求的，由发包人承担本次抽检的检验费用，工期不予顺延。</w:t>
      </w:r>
    </w:p>
    <w:p w14:paraId="16218ED6">
      <w:pPr>
        <w:pStyle w:val="77"/>
        <w:rPr>
          <w:color w:val="000000" w:themeColor="text1"/>
          <w14:textFill>
            <w14:solidFill>
              <w14:schemeClr w14:val="tx1"/>
            </w14:solidFill>
          </w14:textFill>
        </w:rPr>
      </w:pPr>
      <w:bookmarkStart w:id="749" w:name="_Toc44228167"/>
      <w:bookmarkStart w:id="750" w:name="_Toc7025"/>
      <w:bookmarkStart w:id="751" w:name="_Toc38987284"/>
      <w:bookmarkStart w:id="752" w:name="_Toc44492597"/>
      <w:bookmarkStart w:id="753" w:name="_Toc17971"/>
      <w:bookmarkStart w:id="754" w:name="_Toc91082448"/>
      <w:bookmarkStart w:id="755" w:name="_Toc11237"/>
      <w:r>
        <w:rPr>
          <w:rFonts w:hint="eastAsia"/>
          <w:color w:val="000000" w:themeColor="text1"/>
          <w14:textFill>
            <w14:solidFill>
              <w14:schemeClr w14:val="tx1"/>
            </w14:solidFill>
          </w14:textFill>
        </w:rPr>
        <w:t>15.变更</w:t>
      </w:r>
      <w:bookmarkEnd w:id="749"/>
      <w:bookmarkEnd w:id="750"/>
      <w:bookmarkEnd w:id="751"/>
      <w:bookmarkEnd w:id="752"/>
      <w:bookmarkEnd w:id="753"/>
      <w:bookmarkEnd w:id="754"/>
      <w:bookmarkEnd w:id="755"/>
    </w:p>
    <w:p w14:paraId="517C937D">
      <w:pPr>
        <w:pStyle w:val="81"/>
        <w:ind w:firstLine="199" w:firstLineChars="83"/>
        <w:rPr>
          <w:color w:val="000000" w:themeColor="text1"/>
          <w14:textFill>
            <w14:solidFill>
              <w14:schemeClr w14:val="tx1"/>
            </w14:solidFill>
          </w14:textFill>
        </w:rPr>
      </w:pPr>
      <w:bookmarkStart w:id="756" w:name="_Toc91082449"/>
      <w:bookmarkStart w:id="757" w:name="_Toc15158"/>
      <w:bookmarkStart w:id="758" w:name="_Toc27548"/>
      <w:bookmarkStart w:id="759" w:name="_Toc18109"/>
      <w:bookmarkStart w:id="760" w:name="_Toc939"/>
      <w:r>
        <w:rPr>
          <w:color w:val="000000" w:themeColor="text1"/>
          <w14:textFill>
            <w14:solidFill>
              <w14:schemeClr w14:val="tx1"/>
            </w14:solidFill>
          </w14:textFill>
        </w:rPr>
        <w:t>15.1变更程序</w:t>
      </w:r>
      <w:bookmarkEnd w:id="756"/>
      <w:bookmarkEnd w:id="757"/>
      <w:bookmarkEnd w:id="758"/>
      <w:bookmarkEnd w:id="759"/>
      <w:bookmarkEnd w:id="760"/>
    </w:p>
    <w:p w14:paraId="68372D76">
      <w:pPr>
        <w:pStyle w:val="56"/>
        <w:ind w:firstLine="480"/>
        <w:rPr>
          <w:color w:val="000000" w:themeColor="text1"/>
          <w:u w:val="single"/>
          <w14:textFill>
            <w14:solidFill>
              <w14:schemeClr w14:val="tx1"/>
            </w14:solidFill>
          </w14:textFill>
        </w:rPr>
      </w:pPr>
      <w:bookmarkStart w:id="761" w:name="_Toc18456"/>
      <w:bookmarkStart w:id="762" w:name="_Toc32378"/>
      <w:bookmarkStart w:id="763" w:name="_Toc44492598"/>
      <w:r>
        <w:rPr>
          <w:color w:val="000000" w:themeColor="text1"/>
          <w14:textFill>
            <w14:solidFill>
              <w14:schemeClr w14:val="tx1"/>
            </w14:solidFill>
          </w14:textFill>
        </w:rPr>
        <w:t>15.1.3</w:t>
      </w:r>
      <w:r>
        <w:rPr>
          <w:rFonts w:hint="eastAsia"/>
          <w:color w:val="000000" w:themeColor="text1"/>
          <w14:textFill>
            <w14:solidFill>
              <w14:schemeClr w14:val="tx1"/>
            </w14:solidFill>
          </w14:textFill>
        </w:rPr>
        <w:t>通用条款15.1.3.修订为</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发包人有权发出指令要求变更，经承包人</w:t>
      </w:r>
      <w:r>
        <w:rPr>
          <w:rFonts w:hint="eastAsia"/>
          <w:color w:val="000000" w:themeColor="text1"/>
          <w:u w:val="single"/>
          <w14:textFill>
            <w14:solidFill>
              <w14:schemeClr w14:val="tx1"/>
            </w14:solidFill>
          </w14:textFill>
        </w:rPr>
        <w:t>书面</w:t>
      </w:r>
      <w:r>
        <w:rPr>
          <w:color w:val="000000" w:themeColor="text1"/>
          <w:u w:val="single"/>
          <w14:textFill>
            <w14:solidFill>
              <w14:schemeClr w14:val="tx1"/>
            </w14:solidFill>
          </w14:textFill>
        </w:rPr>
        <w:t>确认后</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分包人不得拒绝</w:t>
      </w:r>
      <w:r>
        <w:rPr>
          <w:rFonts w:hint="eastAsia"/>
          <w:color w:val="000000" w:themeColor="text1"/>
          <w:u w:val="single"/>
          <w14:textFill>
            <w14:solidFill>
              <w14:schemeClr w14:val="tx1"/>
            </w14:solidFill>
          </w14:textFill>
        </w:rPr>
        <w:t>，发包人通过承包人通知分包人后，分包人拒绝施工的，经发包人同意，承包人有权将该部分工程另行委托其它施工单位完成，分包人应承担该部分工程双倍费用的违约金。</w:t>
      </w:r>
      <w:r>
        <w:rPr>
          <w:color w:val="000000" w:themeColor="text1"/>
          <w:u w:val="single"/>
          <w14:textFill>
            <w14:solidFill>
              <w14:schemeClr w14:val="tx1"/>
            </w14:solidFill>
          </w14:textFill>
        </w:rPr>
        <w:t>除得到发包人书面指令外，分包人不能擅自做出变更。任何发包人要求的或发包人随后追认的变更皆不会使本合同失效。</w:t>
      </w:r>
    </w:p>
    <w:p w14:paraId="67242883">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15.1.4. 通用条款第15.1.4条修订为：如分包人未经承包人、发包人和监理单位同意而擅自超出合同文件的要求进行施工，或者擅自变更承包范围内施工内容的，则无论本工程是否通过了竣工验收，均不视为变更且发包人不支付该等擅自施工所发生的费用，由此增加的费用和延误的工期均由分包人承担。</w:t>
      </w:r>
    </w:p>
    <w:p w14:paraId="283E059F">
      <w:pPr>
        <w:pStyle w:val="56"/>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15.1.7.设计人提出的设计变更，必须经发包人书面批准及承包人书面确认后，分包人才能按图进行施工，如设计变更未经发包人批准或承包人书面确认的，分包人安排施工，所需费用由分包人承担，且发包人有权要求承包人提出拆除及恢复，分包人承担由此造成的费用；如设计变更未经发包人批准或承包人书面确认的，分包人安排施工，且设计变更不合理，其施工费用、恢复费用、延误工期及由此造成的损失由分包人承担，同时分包人承担相应违约责任。</w:t>
      </w:r>
    </w:p>
    <w:p w14:paraId="4B04D72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15.1.8.发包人有权对材料设备的品牌、规格、型号进行变更。</w:t>
      </w:r>
    </w:p>
    <w:p w14:paraId="0F746DCF">
      <w:pPr>
        <w:pStyle w:val="56"/>
        <w:ind w:firstLine="480"/>
        <w:rPr>
          <w:color w:val="FF0000"/>
        </w:rPr>
      </w:pPr>
      <w:r>
        <w:rPr>
          <w:rFonts w:hint="eastAsia"/>
          <w:color w:val="000000" w:themeColor="text1"/>
          <w14:textFill>
            <w14:solidFill>
              <w14:schemeClr w14:val="tx1"/>
            </w14:solidFill>
          </w14:textFill>
        </w:rPr>
        <w:t>15.1.9</w:t>
      </w:r>
      <w:r>
        <w:rPr>
          <w:rFonts w:hint="eastAsia"/>
          <w:color w:val="FF0000"/>
        </w:rPr>
        <w:t xml:space="preserve"> </w:t>
      </w:r>
      <w:r>
        <w:rPr>
          <w:rFonts w:hint="eastAsia"/>
          <w:color w:val="auto"/>
        </w:rPr>
        <w:t>工程变更要求参照最新版《深圳湾区城市建设发展有限公司工程变更管理办法》执行。</w:t>
      </w:r>
    </w:p>
    <w:p w14:paraId="151C8DBF">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 变更价款的确定</w:t>
      </w:r>
      <w:bookmarkEnd w:id="761"/>
      <w:bookmarkEnd w:id="762"/>
      <w:bookmarkEnd w:id="763"/>
    </w:p>
    <w:p w14:paraId="477AD658">
      <w:pPr>
        <w:ind w:firstLine="482" w:firstLineChars="200"/>
        <w:rPr>
          <w:rFonts w:eastAsia="仿宋_GB2312"/>
          <w:color w:val="000000" w:themeColor="text1"/>
          <w:kern w:val="0"/>
          <w:szCs w:val="32"/>
          <w:u w:val="single"/>
          <w14:textFill>
            <w14:solidFill>
              <w14:schemeClr w14:val="tx1"/>
            </w14:solidFill>
          </w14:textFill>
        </w:rPr>
      </w:pPr>
      <w:r>
        <w:rPr>
          <w:rFonts w:hint="eastAsia" w:eastAsia="仿宋_GB2312"/>
          <w:b/>
          <w:bCs/>
          <w:color w:val="000000" w:themeColor="text1"/>
          <w:kern w:val="0"/>
          <w:szCs w:val="32"/>
          <w14:textFill>
            <w14:solidFill>
              <w14:schemeClr w14:val="tx1"/>
            </w14:solidFill>
          </w14:textFill>
        </w:rPr>
        <w:t>15.2.1</w:t>
      </w:r>
      <w:r>
        <w:rPr>
          <w:rFonts w:eastAsia="仿宋_GB2312"/>
          <w:b/>
          <w:bCs/>
          <w:color w:val="000000" w:themeColor="text1"/>
          <w:kern w:val="0"/>
          <w:szCs w:val="32"/>
          <w14:textFill>
            <w14:solidFill>
              <w14:schemeClr w14:val="tx1"/>
            </w14:solidFill>
          </w14:textFill>
        </w:rPr>
        <w:t>变更工程和新增工程按以下要求确定价格：</w:t>
      </w:r>
    </w:p>
    <w:p w14:paraId="163E8321">
      <w:pPr>
        <w:ind w:firstLine="482" w:firstLineChars="200"/>
        <w:rPr>
          <w:rFonts w:eastAsia="仿宋_GB2312"/>
          <w:color w:val="000000" w:themeColor="text1"/>
          <w:kern w:val="0"/>
          <w:szCs w:val="32"/>
          <w14:textFill>
            <w14:solidFill>
              <w14:schemeClr w14:val="tx1"/>
            </w14:solidFill>
          </w14:textFill>
        </w:rPr>
      </w:pPr>
      <w:r>
        <w:rPr>
          <w:rFonts w:hint="eastAsia" w:eastAsia="仿宋_GB2312"/>
          <w:b/>
          <w:bCs/>
          <w:color w:val="000000" w:themeColor="text1"/>
          <w:kern w:val="0"/>
          <w:szCs w:val="32"/>
          <w14:textFill>
            <w14:solidFill>
              <w14:schemeClr w14:val="tx1"/>
            </w14:solidFill>
          </w14:textFill>
        </w:rPr>
        <w:t>15.2.1.1</w:t>
      </w:r>
      <w:r>
        <w:rPr>
          <w:rFonts w:hint="eastAsia" w:eastAsia="仿宋_GB2312"/>
          <w:color w:val="000000" w:themeColor="text1"/>
          <w:kern w:val="0"/>
          <w:szCs w:val="32"/>
          <w14:textFill>
            <w14:solidFill>
              <w14:schemeClr w14:val="tx1"/>
            </w14:solidFill>
          </w14:textFill>
        </w:rPr>
        <w:t>严格控制工程变更，确需变更的，承包人、分包人需按照发包人最新版工程变更管理办法执行。分部分项工程项目费由</w:t>
      </w:r>
      <w:r>
        <w:rPr>
          <w:rFonts w:eastAsia="仿宋_GB2312"/>
          <w:color w:val="000000" w:themeColor="text1"/>
          <w:kern w:val="0"/>
          <w:szCs w:val="32"/>
          <w14:textFill>
            <w14:solidFill>
              <w14:schemeClr w14:val="tx1"/>
            </w14:solidFill>
          </w14:textFill>
        </w:rPr>
        <w:t>分</w:t>
      </w:r>
      <w:r>
        <w:rPr>
          <w:rFonts w:hint="eastAsia" w:eastAsia="仿宋_GB2312"/>
          <w:color w:val="000000" w:themeColor="text1"/>
          <w:kern w:val="0"/>
          <w:szCs w:val="32"/>
          <w14:textFill>
            <w14:solidFill>
              <w14:schemeClr w14:val="tx1"/>
            </w14:solidFill>
          </w14:textFill>
        </w:rPr>
        <w:t>包人按以下规定提出变更价格，经承包人审核后由承包人报造价工程师核实、发包人核定后计价，具体的分部分项工程费调整方法如下：</w:t>
      </w:r>
    </w:p>
    <w:p w14:paraId="6ABA7BAE">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（1）合同中已有适用于变更工程的单价或总价，按合同已有的价格；</w:t>
      </w:r>
    </w:p>
    <w:p w14:paraId="51FFE1A7">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（2）合同中只有类似于变更工程的单价或总价，可以参照类似价格，换算时，只换算主材，其他费用不变，最终由发包人审核确定</w:t>
      </w:r>
      <w:r>
        <w:rPr>
          <w:rFonts w:eastAsia="仿宋_GB2312"/>
          <w:color w:val="000000" w:themeColor="text1"/>
          <w:kern w:val="0"/>
          <w:szCs w:val="32"/>
          <w14:textFill>
            <w14:solidFill>
              <w14:schemeClr w14:val="tx1"/>
            </w14:solidFill>
          </w14:textFill>
        </w:rPr>
        <w:t>（但发包人认为</w:t>
      </w:r>
      <w:r>
        <w:rPr>
          <w:rFonts w:hint="eastAsia" w:eastAsia="仿宋_GB2312"/>
          <w:color w:val="000000" w:themeColor="text1"/>
          <w:kern w:val="0"/>
          <w:szCs w:val="32"/>
          <w14:textFill>
            <w14:solidFill>
              <w14:schemeClr w14:val="tx1"/>
            </w14:solidFill>
          </w14:textFill>
        </w:rPr>
        <w:t>投标</w:t>
      </w:r>
      <w:r>
        <w:rPr>
          <w:rFonts w:eastAsia="仿宋_GB2312"/>
          <w:color w:val="000000" w:themeColor="text1"/>
          <w:kern w:val="0"/>
          <w:szCs w:val="32"/>
          <w14:textFill>
            <w14:solidFill>
              <w14:schemeClr w14:val="tx1"/>
            </w14:solidFill>
          </w14:textFill>
        </w:rPr>
        <w:t>综合单价</w:t>
      </w:r>
      <w:r>
        <w:rPr>
          <w:rFonts w:hint="eastAsia" w:eastAsia="仿宋_GB2312"/>
          <w:color w:val="000000" w:themeColor="text1"/>
          <w:kern w:val="0"/>
          <w:szCs w:val="32"/>
          <w14:textFill>
            <w14:solidFill>
              <w14:schemeClr w14:val="tx1"/>
            </w14:solidFill>
          </w14:textFill>
        </w:rPr>
        <w:t>组价</w:t>
      </w:r>
      <w:r>
        <w:rPr>
          <w:rFonts w:eastAsia="仿宋_GB2312"/>
          <w:color w:val="000000" w:themeColor="text1"/>
          <w:kern w:val="0"/>
          <w:szCs w:val="32"/>
          <w14:textFill>
            <w14:solidFill>
              <w14:schemeClr w14:val="tx1"/>
            </w14:solidFill>
          </w14:textFill>
        </w:rPr>
        <w:t>明显不合理</w:t>
      </w:r>
      <w:r>
        <w:rPr>
          <w:rFonts w:hint="eastAsia" w:eastAsia="仿宋_GB2312"/>
          <w:color w:val="000000" w:themeColor="text1"/>
          <w:kern w:val="0"/>
          <w:szCs w:val="32"/>
          <w14:textFill>
            <w14:solidFill>
              <w14:schemeClr w14:val="tx1"/>
            </w14:solidFill>
          </w14:textFill>
        </w:rPr>
        <w:t>，本条不适用，则采用第（3）点定价原则</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w:t>
      </w:r>
    </w:p>
    <w:p w14:paraId="78E2FCC8">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合同中没有适用或类似于变更工程的单价或总价，依据变更工程资料、本合同约定的计量规则和计价办法、施工时期适用的工程造价管理机构发布的《广州地区建设工程常用材料税前综合价格》、有关收费标准及广东省、广州市政府部门有关文件等提出变更工程单价或总价，并按照分包人的报价浮动率对税前价格进行下浮确定。</w:t>
      </w:r>
    </w:p>
    <w:p w14:paraId="5DAC2719">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其中：分包人报价浮动率</w:t>
      </w:r>
      <w:r>
        <w:rPr>
          <w:rFonts w:eastAsia="仿宋_GB2312"/>
          <w:color w:val="000000" w:themeColor="text1"/>
          <w:kern w:val="0"/>
          <w:szCs w:val="32"/>
          <w14:textFill>
            <w14:solidFill>
              <w14:schemeClr w14:val="tx1"/>
            </w14:solidFill>
          </w14:textFill>
        </w:rPr>
        <w:t>L=</w:t>
      </w:r>
      <w:r>
        <w:rPr>
          <w:rFonts w:hint="eastAsia" w:eastAsia="仿宋_GB2312"/>
          <w:color w:val="000000" w:themeColor="text1"/>
          <w:kern w:val="0"/>
          <w:szCs w:val="32"/>
          <w14:textFill>
            <w14:solidFill>
              <w14:schemeClr w14:val="tx1"/>
            </w14:solidFill>
          </w14:textFill>
        </w:rPr>
        <w:t>（</w:t>
      </w:r>
      <w:r>
        <w:rPr>
          <w:rFonts w:eastAsia="仿宋_GB2312"/>
          <w:color w:val="000000" w:themeColor="text1"/>
          <w:kern w:val="0"/>
          <w:szCs w:val="32"/>
          <w14:textFill>
            <w14:solidFill>
              <w14:schemeClr w14:val="tx1"/>
            </w14:solidFill>
          </w14:textFill>
        </w:rPr>
        <w:t>1—</w:t>
      </w:r>
      <w:r>
        <w:rPr>
          <w:rFonts w:hint="eastAsia" w:eastAsia="仿宋_GB2312"/>
          <w:color w:val="000000" w:themeColor="text1"/>
          <w:kern w:val="0"/>
          <w:szCs w:val="32"/>
          <w14:textFill>
            <w14:solidFill>
              <w14:schemeClr w14:val="tx1"/>
            </w14:solidFill>
          </w14:textFill>
        </w:rPr>
        <w:t>中标价格</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招标控制价）×</w:t>
      </w:r>
      <w:r>
        <w:rPr>
          <w:rFonts w:eastAsia="仿宋_GB2312"/>
          <w:color w:val="000000" w:themeColor="text1"/>
          <w:kern w:val="0"/>
          <w:szCs w:val="32"/>
          <w14:textFill>
            <w14:solidFill>
              <w14:schemeClr w14:val="tx1"/>
            </w14:solidFill>
          </w14:textFill>
        </w:rPr>
        <w:t>100%</w:t>
      </w:r>
    </w:p>
    <w:p w14:paraId="3EE76C77">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式中：中标价格、招标控制价均不含绿色施工安全防护措施费、暂列金额、暂估价等不可竞争性费用。</w:t>
      </w:r>
    </w:p>
    <w:p w14:paraId="7FA03E5D">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（4）合同中没有适用或类似项目且无相关定额和指导价格参考的项目，按照施工当时的市场价进行认质认价结合分包人报价浮动率下浮后编制预算。</w:t>
      </w:r>
    </w:p>
    <w:p w14:paraId="4BF527AC">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（5）对应第（2）、（3）点情况的材料定价原则（当材料定价存在多条符合以下条款时，取最有利于发包人）：</w:t>
      </w:r>
    </w:p>
    <w:p w14:paraId="006B2738">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Ⅰ、执行施工当月的《广州地区建设工程常用材料税前综合价格》计算；</w:t>
      </w:r>
    </w:p>
    <w:p w14:paraId="5395CB7E">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Ⅱ、执行施工当季的《广州地区建设工程常用材料税前综合价格》计算；</w:t>
      </w:r>
    </w:p>
    <w:p w14:paraId="7C4BF127">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Ⅲ、投标清单中已有的材料单价</w:t>
      </w:r>
      <w:r>
        <w:rPr>
          <w:rFonts w:eastAsia="仿宋_GB2312"/>
          <w:color w:val="000000" w:themeColor="text1"/>
          <w:kern w:val="0"/>
          <w:szCs w:val="32"/>
          <w14:textFill>
            <w14:solidFill>
              <w14:schemeClr w14:val="tx1"/>
            </w14:solidFill>
          </w14:textFill>
        </w:rPr>
        <w:t>（但发包人认为</w:t>
      </w:r>
      <w:r>
        <w:rPr>
          <w:rFonts w:hint="eastAsia" w:eastAsia="仿宋_GB2312"/>
          <w:color w:val="000000" w:themeColor="text1"/>
          <w:kern w:val="0"/>
          <w:szCs w:val="32"/>
          <w14:textFill>
            <w14:solidFill>
              <w14:schemeClr w14:val="tx1"/>
            </w14:solidFill>
          </w14:textFill>
        </w:rPr>
        <w:t>材料单价</w:t>
      </w:r>
      <w:r>
        <w:rPr>
          <w:rFonts w:eastAsia="仿宋_GB2312"/>
          <w:color w:val="000000" w:themeColor="text1"/>
          <w:kern w:val="0"/>
          <w:szCs w:val="32"/>
          <w14:textFill>
            <w14:solidFill>
              <w14:schemeClr w14:val="tx1"/>
            </w14:solidFill>
          </w14:textFill>
        </w:rPr>
        <w:t>明显不合理</w:t>
      </w:r>
      <w:r>
        <w:rPr>
          <w:rFonts w:hint="eastAsia" w:eastAsia="仿宋_GB2312"/>
          <w:color w:val="000000" w:themeColor="text1"/>
          <w:kern w:val="0"/>
          <w:szCs w:val="32"/>
          <w14:textFill>
            <w14:solidFill>
              <w14:schemeClr w14:val="tx1"/>
            </w14:solidFill>
          </w14:textFill>
        </w:rPr>
        <w:t>，本条不适用</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w:t>
      </w:r>
    </w:p>
    <w:p w14:paraId="34F0C667">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Ⅳ、清单及指导价都没有可参照的材料，分包人按照施工当时的市场价格报价，经承包人审核后，承包人报、监理、造价工程师及发包人审定后进行计价。</w:t>
      </w:r>
    </w:p>
    <w:p w14:paraId="42596CDE">
      <w:pPr>
        <w:ind w:firstLine="482" w:firstLineChars="200"/>
        <w:rPr>
          <w:rFonts w:eastAsia="仿宋_GB2312"/>
          <w:b/>
          <w:bCs/>
          <w:color w:val="000000" w:themeColor="text1"/>
          <w:kern w:val="0"/>
          <w:szCs w:val="32"/>
          <w14:textFill>
            <w14:solidFill>
              <w14:schemeClr w14:val="tx1"/>
            </w14:solidFill>
          </w14:textFill>
        </w:rPr>
      </w:pPr>
      <w:r>
        <w:rPr>
          <w:rFonts w:hint="eastAsia" w:eastAsia="仿宋_GB2312"/>
          <w:b/>
          <w:bCs/>
          <w:color w:val="000000" w:themeColor="text1"/>
          <w:kern w:val="0"/>
          <w:szCs w:val="32"/>
          <w14:textFill>
            <w14:solidFill>
              <w14:schemeClr w14:val="tx1"/>
            </w14:solidFill>
          </w14:textFill>
        </w:rPr>
        <w:t>15.2.2.</w:t>
      </w:r>
      <w:r>
        <w:rPr>
          <w:rFonts w:hint="eastAsia" w:eastAsia="仿宋_GB2312"/>
          <w:b/>
          <w:bCs/>
          <w:color w:val="000000" w:themeColor="text1"/>
          <w:kern w:val="0"/>
          <w:szCs w:val="32"/>
          <w14:textFill>
            <w14:solidFill>
              <w14:schemeClr w14:val="tx1"/>
            </w14:solidFill>
          </w14:textFill>
        </w:rPr>
        <w:tab/>
      </w:r>
      <w:r>
        <w:rPr>
          <w:rFonts w:hint="eastAsia" w:eastAsia="仿宋_GB2312"/>
          <w:b/>
          <w:bCs/>
          <w:color w:val="000000" w:themeColor="text1"/>
          <w:kern w:val="0"/>
          <w:szCs w:val="32"/>
          <w14:textFill>
            <w14:solidFill>
              <w14:schemeClr w14:val="tx1"/>
            </w14:solidFill>
          </w14:textFill>
        </w:rPr>
        <w:t>在发包人未回复具体的审核价前，分包人不得以任何理由作为停工或拖延施工为借口，若由此导致的工期延误，由分包人自行承担。</w:t>
      </w:r>
      <w:bookmarkStart w:id="764" w:name="_Toc7398"/>
      <w:bookmarkStart w:id="765" w:name="_Toc4868"/>
      <w:bookmarkStart w:id="766" w:name="_Toc44492599"/>
    </w:p>
    <w:bookmarkEnd w:id="764"/>
    <w:bookmarkEnd w:id="765"/>
    <w:bookmarkEnd w:id="766"/>
    <w:p w14:paraId="37293138">
      <w:pPr>
        <w:ind w:firstLine="480" w:firstLineChars="200"/>
        <w:rPr>
          <w:rFonts w:eastAsia="仿宋_GB2312"/>
          <w:color w:val="000000" w:themeColor="text1"/>
          <w:kern w:val="0"/>
          <w:szCs w:val="32"/>
          <w14:textFill>
            <w14:solidFill>
              <w14:schemeClr w14:val="tx1"/>
            </w14:solidFill>
          </w14:textFill>
        </w:rPr>
      </w:pPr>
      <w:r>
        <w:rPr>
          <w:rFonts w:hint="eastAsia" w:ascii="Times New Roman" w:hAnsi="Times New Roman" w:eastAsia="黑体"/>
          <w:bCs/>
          <w:color w:val="000000" w:themeColor="text1"/>
          <w:szCs w:val="32"/>
          <w14:textFill>
            <w14:solidFill>
              <w14:schemeClr w14:val="tx1"/>
            </w14:solidFill>
          </w14:textFill>
        </w:rPr>
        <w:t>1</w:t>
      </w:r>
      <w:r>
        <w:rPr>
          <w:rFonts w:ascii="Times New Roman" w:hAnsi="Times New Roman" w:eastAsia="黑体"/>
          <w:bCs/>
          <w:color w:val="000000" w:themeColor="text1"/>
          <w:szCs w:val="32"/>
          <w14:textFill>
            <w14:solidFill>
              <w14:schemeClr w14:val="tx1"/>
            </w14:solidFill>
          </w14:textFill>
        </w:rPr>
        <w:t xml:space="preserve">5.2.3. </w:t>
      </w:r>
      <w:r>
        <w:rPr>
          <w:rFonts w:hint="eastAsia" w:ascii="Times New Roman" w:hAnsi="Times New Roman" w:eastAsia="黑体"/>
          <w:bCs/>
          <w:color w:val="000000" w:themeColor="text1"/>
          <w:szCs w:val="32"/>
          <w14:textFill>
            <w14:solidFill>
              <w14:schemeClr w14:val="tx1"/>
            </w14:solidFill>
          </w14:textFill>
        </w:rPr>
        <w:t>不予办理变更的情形</w:t>
      </w:r>
    </w:p>
    <w:p w14:paraId="49BB97F8">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工程变更不应使合同作废或无效。工程变更导致合同价款的增减，按上述规定执行。但是，如果变更是由于下列原因导致或引起的，则分包人无权要求任何额外或附加的费用，工期不予顺延：</w:t>
      </w:r>
      <w:r>
        <w:rPr>
          <w:rFonts w:eastAsia="仿宋_GB2312"/>
          <w:color w:val="000000" w:themeColor="text1"/>
          <w:kern w:val="0"/>
          <w:szCs w:val="32"/>
          <w14:textFill>
            <w14:solidFill>
              <w14:schemeClr w14:val="tx1"/>
            </w14:solidFill>
          </w14:textFill>
        </w:rPr>
        <w:t xml:space="preserve"> </w:t>
      </w:r>
    </w:p>
    <w:p w14:paraId="213BE30C">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1）招标文件及施工合同约定或已包括在合同价款内应由分包人自行承担的；</w:t>
      </w:r>
    </w:p>
    <w:p w14:paraId="121611B7">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2）分包人在投标文件中承诺自行承担的或投标时应预见的风险；</w:t>
      </w:r>
    </w:p>
    <w:p w14:paraId="71863641">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3）非发包人原因，分包人为了便于组织施工需采取的技术措施的变更或临时工程变更；</w:t>
      </w:r>
    </w:p>
    <w:p w14:paraId="19DAC6A6">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4）为了避免干扰等原因需采取的技术措施的变更或临时工程的变更；</w:t>
      </w:r>
    </w:p>
    <w:p w14:paraId="707AE521">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5）除合同另有约定外，由分包人提供设计图纸（包括深化设计等）导致工作内容、承包范围、工程量变化等；</w:t>
      </w:r>
    </w:p>
    <w:p w14:paraId="4B7DC908">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6）因分包人的违约、过错或分包人负责的其他情况导致的变更。</w:t>
      </w:r>
    </w:p>
    <w:p w14:paraId="4D874BFD">
      <w:pPr>
        <w:ind w:firstLine="48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7）法律、法规、规章规定不能办理的。</w:t>
      </w:r>
      <w:bookmarkStart w:id="767" w:name="_Toc44228168"/>
      <w:bookmarkStart w:id="768" w:name="_Toc24599"/>
      <w:bookmarkStart w:id="769" w:name="_Toc27433"/>
      <w:bookmarkStart w:id="770" w:name="_Toc5484"/>
      <w:bookmarkStart w:id="771" w:name="_Toc44492600"/>
      <w:bookmarkStart w:id="772" w:name="_Toc38987285"/>
      <w:bookmarkStart w:id="773" w:name="_Toc91082450"/>
    </w:p>
    <w:p w14:paraId="43D606C9">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16.价格调整</w:t>
      </w:r>
      <w:bookmarkEnd w:id="767"/>
      <w:bookmarkEnd w:id="768"/>
      <w:bookmarkEnd w:id="769"/>
      <w:bookmarkEnd w:id="770"/>
      <w:bookmarkEnd w:id="771"/>
      <w:bookmarkEnd w:id="772"/>
      <w:bookmarkEnd w:id="773"/>
    </w:p>
    <w:p w14:paraId="346F2D94">
      <w:pPr>
        <w:pStyle w:val="81"/>
        <w:ind w:firstLine="480"/>
        <w:rPr>
          <w:rFonts w:eastAsia="仿宋_GB2312"/>
          <w:bCs w:val="0"/>
          <w:color w:val="000000" w:themeColor="text1"/>
          <w:kern w:val="0"/>
          <w:sz w:val="21"/>
          <w14:textFill>
            <w14:solidFill>
              <w14:schemeClr w14:val="tx1"/>
            </w14:solidFill>
          </w14:textFill>
        </w:rPr>
      </w:pPr>
      <w:bookmarkStart w:id="774" w:name="_Toc44492601"/>
      <w:bookmarkStart w:id="775" w:name="_Toc1376"/>
      <w:bookmarkStart w:id="776" w:name="_Toc615"/>
      <w:r>
        <w:rPr>
          <w:rFonts w:hint="eastAsia"/>
          <w:color w:val="000000" w:themeColor="text1"/>
          <w14:textFill>
            <w14:solidFill>
              <w14:schemeClr w14:val="tx1"/>
            </w14:solidFill>
          </w14:textFill>
        </w:rPr>
        <w:t>16.1 物价波动引起的价格调整：</w:t>
      </w:r>
    </w:p>
    <w:p w14:paraId="67A231B2">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16.1</w:t>
      </w:r>
      <w:r>
        <w:rPr>
          <w:rFonts w:eastAsia="仿宋_GB2312"/>
          <w:color w:val="000000" w:themeColor="text1"/>
          <w:kern w:val="0"/>
          <w:szCs w:val="32"/>
          <w14:textFill>
            <w14:solidFill>
              <w14:schemeClr w14:val="tx1"/>
            </w14:solidFill>
          </w14:textFill>
        </w:rPr>
        <w:t>物价波动引起的价格调整</w:t>
      </w:r>
    </w:p>
    <w:p w14:paraId="3A4199E1">
      <w:pPr>
        <w:adjustRightInd w:val="0"/>
        <w:snapToGrid w:val="0"/>
        <w:ind w:firstLine="480" w:firstLineChars="200"/>
        <w:jc w:val="left"/>
        <w:rPr>
          <w:rFonts w:eastAsia="仿宋_GB2312"/>
          <w:kern w:val="0"/>
          <w:szCs w:val="32"/>
        </w:rPr>
      </w:pPr>
      <w:r>
        <w:rPr>
          <w:rFonts w:hint="eastAsia" w:eastAsia="仿宋_GB2312"/>
          <w:color w:val="000000" w:themeColor="text1"/>
          <w:kern w:val="0"/>
          <w:szCs w:val="32"/>
          <w14:textFill>
            <w14:solidFill>
              <w14:schemeClr w14:val="tx1"/>
            </w14:solidFill>
          </w14:textFill>
        </w:rPr>
        <w:t>16.1.1本合同中的</w:t>
      </w:r>
      <w:r>
        <w:rPr>
          <w:rFonts w:hint="eastAsia" w:eastAsia="仿宋_GB2312"/>
          <w:kern w:val="0"/>
          <w:szCs w:val="32"/>
        </w:rPr>
        <w:t>“信息价”是指广州市建设工程造价管理站发布的“**年**月份广州建设工程价格信息及有关计价办法的通知”中的人工、材料、机械台班的税前综合价格。</w:t>
      </w:r>
    </w:p>
    <w:p w14:paraId="7D4E94BE">
      <w:pPr>
        <w:widowControl/>
        <w:ind w:firstLine="480" w:firstLineChars="200"/>
        <w:rPr>
          <w:color w:val="000000" w:themeColor="text1"/>
          <w14:textFill>
            <w14:solidFill>
              <w14:schemeClr w14:val="tx1"/>
            </w14:solidFill>
          </w14:textFill>
        </w:rPr>
      </w:pPr>
      <w:r>
        <w:rPr>
          <w:rFonts w:hint="eastAsia"/>
        </w:rPr>
        <w:t>1</w:t>
      </w:r>
      <w:r>
        <w:t xml:space="preserve">6.1.2. </w:t>
      </w:r>
      <w:r>
        <w:rPr>
          <w:rFonts w:hint="eastAsia" w:eastAsia="仿宋_GB2312"/>
          <w:kern w:val="0"/>
          <w:szCs w:val="32"/>
        </w:rPr>
        <w:t>价格调整范围：合同履行期间除人工（仅限于分部分项清单单价的人工）、玻璃、铝型材（仅调整工程量清单项目特征有注明骨架含量的，其余不调）、铝板（按清单的工程量数量作为价格调差数量）外，</w:t>
      </w:r>
      <w:r>
        <w:rPr>
          <w:rFonts w:hint="eastAsia" w:eastAsia="仿宋_GB2312"/>
          <w:color w:val="000000" w:themeColor="text1"/>
          <w:kern w:val="0"/>
          <w:szCs w:val="32"/>
          <w14:textFill>
            <w14:solidFill>
              <w14:schemeClr w14:val="tx1"/>
            </w14:solidFill>
          </w14:textFill>
        </w:rPr>
        <w:t>其他人工、材料、机械等物价的涨跌风险费用已包含在本合同暂定价款内，不因物价涨跌因素而调整合同价款。</w:t>
      </w:r>
    </w:p>
    <w:p w14:paraId="4F42B63A">
      <w:pPr>
        <w:widowControl/>
        <w:ind w:firstLine="480" w:firstLineChars="200"/>
        <w:rPr>
          <w:rFonts w:eastAsia="仿宋_GB2312"/>
          <w:color w:val="000000" w:themeColor="text1"/>
          <w:kern w:val="0"/>
          <w:szCs w:val="32"/>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6.1.3. </w:t>
      </w:r>
      <w:r>
        <w:rPr>
          <w:rFonts w:hint="eastAsia" w:eastAsia="仿宋_GB2312"/>
          <w:color w:val="000000" w:themeColor="text1"/>
          <w:kern w:val="0"/>
          <w:szCs w:val="32"/>
          <w14:textFill>
            <w14:solidFill>
              <w14:schemeClr w14:val="tx1"/>
            </w14:solidFill>
          </w14:textFill>
        </w:rPr>
        <w:t>价格</w:t>
      </w:r>
      <w:r>
        <w:rPr>
          <w:rFonts w:eastAsia="仿宋_GB2312"/>
          <w:color w:val="000000" w:themeColor="text1"/>
          <w:kern w:val="0"/>
          <w:szCs w:val="32"/>
          <w14:textFill>
            <w14:solidFill>
              <w14:schemeClr w14:val="tx1"/>
            </w14:solidFill>
          </w14:textFill>
        </w:rPr>
        <w:t>调整方法</w:t>
      </w:r>
    </w:p>
    <w:p w14:paraId="5F61A90F">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16.1.3.1价格调整基准</w:t>
      </w:r>
    </w:p>
    <w:p w14:paraId="3481E954">
      <w:pPr>
        <w:widowControl/>
        <w:ind w:firstLine="480" w:firstLineChars="200"/>
        <w:rPr>
          <w:rFonts w:eastAsia="仿宋_GB2312"/>
          <w:color w:val="000000" w:themeColor="text1"/>
          <w:kern w:val="0"/>
          <w:szCs w:val="32"/>
          <w14:textFill>
            <w14:solidFill>
              <w14:schemeClr w14:val="tx1"/>
            </w14:solidFill>
          </w14:textFill>
        </w:rPr>
      </w:pPr>
    </w:p>
    <w:p w14:paraId="3EED0585">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人工基准价：即判断物价波动幅度的基本标准价格；调价材料的基准价为基准季信息价中对应材料单价；人工基准价为基准季信息价中对应定额人工费指数，当定额人工费体现工日消耗量时，定额人工费指数应当调整为定额工日价格。</w:t>
      </w:r>
    </w:p>
    <w:p w14:paraId="0554E58C">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（1）当工程施工期间人工价格指数上涨或下跌比例超过5%时，对超过部分的差价进行调整，涨跌比例在±5%（含5%）以内的不予调整，调整方法如下：</w:t>
      </w:r>
    </w:p>
    <w:p w14:paraId="0680D652">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1）涨跌比例值F</w:t>
      </w:r>
    </w:p>
    <w:p w14:paraId="24DE0375">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F= (P-P0)÷P0</w:t>
      </w:r>
    </w:p>
    <w:p w14:paraId="7AB32D5E">
      <w:pPr>
        <w:widowControl/>
        <w:ind w:firstLine="480" w:firstLineChars="200"/>
        <w:rPr>
          <w:rFonts w:eastAsia="仿宋_GB2312"/>
          <w:kern w:val="0"/>
          <w:szCs w:val="32"/>
        </w:rPr>
      </w:pPr>
      <w:r>
        <w:rPr>
          <w:rFonts w:hint="eastAsia" w:eastAsia="仿宋_GB2312"/>
          <w:color w:val="000000" w:themeColor="text1"/>
          <w:kern w:val="0"/>
          <w:szCs w:val="32"/>
          <w14:textFill>
            <w14:solidFill>
              <w14:schemeClr w14:val="tx1"/>
            </w14:solidFill>
          </w14:textFill>
        </w:rPr>
        <w:t>其中：</w:t>
      </w:r>
    </w:p>
    <w:p w14:paraId="5CEFE7D6">
      <w:pPr>
        <w:widowControl/>
        <w:ind w:firstLine="480" w:firstLineChars="200"/>
        <w:rPr>
          <w:rFonts w:eastAsia="仿宋_GB2312"/>
          <w:kern w:val="0"/>
          <w:szCs w:val="32"/>
        </w:rPr>
      </w:pPr>
      <w:r>
        <w:rPr>
          <w:rFonts w:hint="eastAsia" w:eastAsia="仿宋_GB2312"/>
          <w:kern w:val="0"/>
          <w:szCs w:val="32"/>
        </w:rPr>
        <w:t>P：施工期（从正式开工日所在的季度至完工日所在季度）的人工价格指数的简单算术平均值</w:t>
      </w:r>
    </w:p>
    <w:p w14:paraId="50BAA1FE">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P0：以广州市建设工程造价管理站公布的2024年第2季度人工价格指数为准。</w:t>
      </w:r>
    </w:p>
    <w:p w14:paraId="0F07F638">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2）人工费调差金额R</w:t>
      </w:r>
    </w:p>
    <w:p w14:paraId="42D10BC8">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当F&gt;5%时，R= M×(F-5%)×（1+T%）；</w:t>
      </w:r>
    </w:p>
    <w:p w14:paraId="41772AC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当F&lt;-5%时，R=M×(F+5%)×（1+T%）；</w:t>
      </w:r>
    </w:p>
    <w:p w14:paraId="569C44DB">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其中：</w:t>
      </w:r>
    </w:p>
    <w:p w14:paraId="5CBBC796">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M:已标价工程量清单或施工图预算工程量清单列明的人工费（即：分部分项人工费）</w:t>
      </w:r>
    </w:p>
    <w:p w14:paraId="1118BC46">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T：表示合同约定增值税适用税率/征收率</w:t>
      </w:r>
    </w:p>
    <w:p w14:paraId="467D9D8C">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人工费调差以已标价工程量清单或施工图预算工程量清单列明的人工费（即：分部分项人工费）为基数，不因与实际施工人工费用的不同而调整。</w:t>
      </w:r>
    </w:p>
    <w:p w14:paraId="619B8812">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3）人工费调差金额的支付</w:t>
      </w:r>
    </w:p>
    <w:p w14:paraId="7482CA22">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人工费调差金额在合同竣工结算完成后予以支付，在工程施工期间的合同付款不予支付。</w:t>
      </w:r>
    </w:p>
    <w:p w14:paraId="0049476C">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（2）当工程施工期间铝型材（工程量清单项目特征有注明骨架含量）、玻璃、铝板的材料价格上涨或下跌比例超过5%时，对超过部分的差价进行调整，涨跌比例在±5%（含5%）以内的不予调整，调整方法如下：</w:t>
      </w:r>
    </w:p>
    <w:p w14:paraId="3AFFA278">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1）涨跌比例值F</w:t>
      </w:r>
    </w:p>
    <w:p w14:paraId="24E8AFB1">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F= (M- Mo)÷Mo</w:t>
      </w:r>
    </w:p>
    <w:p w14:paraId="791406C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其中：</w:t>
      </w:r>
    </w:p>
    <w:p w14:paraId="171610E9">
      <w:pPr>
        <w:widowControl/>
        <w:numPr>
          <w:ilvl w:val="255"/>
          <w:numId w:val="0"/>
        </w:num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①玻璃调差：只考虑玻璃浮法原片单价的涨落风险，不包括超白、热浸、镀膜、钢化等费用，玻璃调差按重量计算，多层玻璃面板厚度需按各单片玻璃厚度之和折算。玻璃调差量=玻璃厚度*施工期对应调差清单工程量*玻璃密度。玻璃密度2500kg/m³。</w:t>
      </w:r>
    </w:p>
    <w:p w14:paraId="00222E42">
      <w:pPr>
        <w:widowControl/>
        <w:numPr>
          <w:ilvl w:val="255"/>
          <w:numId w:val="0"/>
        </w:num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M：表示施工期（从正式开工日所在的当月至完工日所在当月）的广州市建设工程造价管理站发布的相应材料税前综合价格的算术平均值。</w:t>
      </w:r>
    </w:p>
    <w:p w14:paraId="7598CFB9">
      <w:pPr>
        <w:widowControl/>
        <w:numPr>
          <w:ilvl w:val="255"/>
          <w:numId w:val="0"/>
        </w:numPr>
        <w:ind w:firstLine="480" w:firstLineChars="200"/>
        <w:rPr>
          <w:rFonts w:eastAsia="仿宋_GB2312"/>
          <w:kern w:val="0"/>
          <w:szCs w:val="32"/>
        </w:rPr>
      </w:pPr>
      <w:r>
        <w:rPr>
          <w:rFonts w:hint="eastAsia" w:eastAsia="仿宋_GB2312"/>
          <w:color w:val="000000" w:themeColor="text1"/>
          <w:kern w:val="0"/>
          <w:szCs w:val="32"/>
          <w14:textFill>
            <w14:solidFill>
              <w14:schemeClr w14:val="tx1"/>
            </w14:solidFill>
          </w14:textFill>
        </w:rPr>
        <w:t>Mo：表</w:t>
      </w:r>
      <w:r>
        <w:rPr>
          <w:rFonts w:hint="eastAsia" w:eastAsia="仿宋_GB2312"/>
          <w:kern w:val="0"/>
          <w:szCs w:val="32"/>
        </w:rPr>
        <w:t>示基准月（202</w:t>
      </w:r>
      <w:r>
        <w:rPr>
          <w:rFonts w:eastAsia="仿宋_GB2312"/>
          <w:kern w:val="0"/>
          <w:szCs w:val="32"/>
        </w:rPr>
        <w:t>4</w:t>
      </w:r>
      <w:r>
        <w:rPr>
          <w:rFonts w:hint="eastAsia" w:eastAsia="仿宋_GB2312"/>
          <w:kern w:val="0"/>
          <w:szCs w:val="32"/>
        </w:rPr>
        <w:t>年</w:t>
      </w:r>
      <w:r>
        <w:rPr>
          <w:rFonts w:eastAsia="仿宋_GB2312"/>
          <w:kern w:val="0"/>
          <w:szCs w:val="32"/>
        </w:rPr>
        <w:t>6</w:t>
      </w:r>
      <w:r>
        <w:rPr>
          <w:rFonts w:hint="eastAsia" w:eastAsia="仿宋_GB2312"/>
          <w:kern w:val="0"/>
          <w:szCs w:val="32"/>
        </w:rPr>
        <w:t>月）相应材料税前综合价格公布的6mm厚度的平板玻璃白玻价格，按玻璃密度2500kg/m³换算为立方的单价，作为基准供应单价。</w:t>
      </w:r>
    </w:p>
    <w:p w14:paraId="3092D461">
      <w:pPr>
        <w:widowControl/>
        <w:numPr>
          <w:ilvl w:val="255"/>
          <w:numId w:val="0"/>
        </w:numPr>
        <w:ind w:firstLine="480" w:firstLineChars="200"/>
        <w:rPr>
          <w:rFonts w:eastAsia="仿宋_GB2312"/>
          <w:kern w:val="0"/>
          <w:szCs w:val="32"/>
        </w:rPr>
      </w:pPr>
      <w:r>
        <w:rPr>
          <w:rFonts w:hint="eastAsia" w:eastAsia="仿宋_GB2312"/>
          <w:kern w:val="0"/>
          <w:szCs w:val="32"/>
        </w:rPr>
        <w:t>②铝型材、铝板：不分标号等级、表面喷涂方式，价格调差只考虑原材料（铝锭）供应单价的涨落风险，不包括表面处理及加工制作费用（如铝型材表面的阳极氧化、粉末喷涂及氟碳喷涂处理费等，铝型材的挤压、开模、校直、弯圆等加工费等均不包括），铝合金幕墙型材调差量=工程量清单项目特征有注明骨架含量（如变更按最新含量）*清单工程量，铝板调差量=清单工程量*清单项目特征厚度*铝锭密度（2700kg/m3）。</w:t>
      </w:r>
    </w:p>
    <w:p w14:paraId="2586955A">
      <w:pPr>
        <w:widowControl/>
        <w:numPr>
          <w:ilvl w:val="255"/>
          <w:numId w:val="0"/>
        </w:numPr>
        <w:ind w:firstLine="480" w:firstLineChars="200"/>
        <w:rPr>
          <w:rFonts w:eastAsia="仿宋_GB2312"/>
          <w:kern w:val="0"/>
          <w:szCs w:val="32"/>
        </w:rPr>
      </w:pPr>
      <w:r>
        <w:rPr>
          <w:rFonts w:hint="eastAsia" w:eastAsia="仿宋_GB2312"/>
          <w:kern w:val="0"/>
          <w:szCs w:val="32"/>
        </w:rPr>
        <w:t>M：表示施工期（从正式开工日所在的当月至完工日所在当月）的广州市建设工程造价管理站发布的广州市部分原材料、材料市场价格指数公布的铝锭指数对应价格的算术平均值。</w:t>
      </w:r>
    </w:p>
    <w:p w14:paraId="6DCF5354">
      <w:pPr>
        <w:widowControl/>
        <w:numPr>
          <w:ilvl w:val="255"/>
          <w:numId w:val="0"/>
        </w:numPr>
        <w:ind w:firstLine="480" w:firstLineChars="200"/>
        <w:rPr>
          <w:rFonts w:eastAsia="仿宋_GB2312"/>
          <w:kern w:val="0"/>
          <w:szCs w:val="32"/>
        </w:rPr>
      </w:pPr>
      <w:r>
        <w:rPr>
          <w:rFonts w:hint="eastAsia" w:eastAsia="仿宋_GB2312"/>
          <w:kern w:val="0"/>
          <w:szCs w:val="32"/>
        </w:rPr>
        <w:t>Mo：表示基准月 (2024年6月) 的广州市建设工程造价管理站发布的广州市部分原材料、材料市场价格指数公布的铝锭指数对应价格，作为基准供应单价。</w:t>
      </w:r>
    </w:p>
    <w:p w14:paraId="3783AF98">
      <w:pPr>
        <w:widowControl/>
        <w:ind w:firstLine="480" w:firstLineChars="200"/>
        <w:rPr>
          <w:rFonts w:eastAsia="仿宋_GB2312"/>
          <w:kern w:val="0"/>
          <w:szCs w:val="32"/>
        </w:rPr>
      </w:pPr>
      <w:r>
        <w:rPr>
          <w:rFonts w:hint="eastAsia" w:eastAsia="仿宋_GB2312"/>
          <w:kern w:val="0"/>
          <w:szCs w:val="32"/>
        </w:rPr>
        <w:t>2）材料费调差金额C</w:t>
      </w:r>
    </w:p>
    <w:p w14:paraId="29E1DD72">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当F&gt;5%时，C=（M-105%×Mo）×H×（1-L）×（1+T%）；</w:t>
      </w:r>
    </w:p>
    <w:p w14:paraId="24640C96">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当F&lt;-5%时，C=（M-95%×Mo）×H×（1-L）×（1+T%）；</w:t>
      </w:r>
    </w:p>
    <w:p w14:paraId="318665CA">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其中：</w:t>
      </w:r>
    </w:p>
    <w:p w14:paraId="7FA00A6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H:表示相应材料的投标报价中材料消耗量和定额消耗量两者中最小值（包含损耗）。</w:t>
      </w:r>
    </w:p>
    <w:p w14:paraId="103CBB4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T:表示合同约定增值税适用税率/征收率。</w:t>
      </w:r>
    </w:p>
    <w:p w14:paraId="77F5D1A2">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L:分包人报价浮动率L=（1—中标价格/招标控制价）×100%，式中：中标价格、招标控制价均不含绿色施工安全防护措施费、暂列金额、暂估价等不可竞争性费用。</w:t>
      </w:r>
    </w:p>
    <w:p w14:paraId="49918018">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3）材料费调差金额在合同竣工结算完成后予以支付，在工程施工期间的合同付款不予支付。</w:t>
      </w:r>
    </w:p>
    <w:p w14:paraId="66571431">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（3）调差时间与调差计价规则：</w:t>
      </w:r>
    </w:p>
    <w:p w14:paraId="04B5C480">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1）跨入本月小于15天（含15天）不参与调差周期计算，跨入本月大于15天参与调差周期计算。</w:t>
      </w:r>
    </w:p>
    <w:p w14:paraId="09C93857">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2）若发生停工、缓建情况，当月停工、缓建时间小于15天的参与调差周期计算，大于15天（含15天）的不参与调差周期计算。</w:t>
      </w:r>
    </w:p>
    <w:p w14:paraId="253F6FEC">
      <w:pPr>
        <w:widowControl/>
        <w:numPr>
          <w:ilvl w:val="0"/>
          <w:numId w:val="3"/>
        </w:num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调差计价规则：按发包人、监理、承包人、分包人确认的实际形象进度表为准。</w:t>
      </w:r>
      <w:bookmarkEnd w:id="774"/>
      <w:bookmarkEnd w:id="775"/>
      <w:bookmarkEnd w:id="776"/>
    </w:p>
    <w:p w14:paraId="444A3E81">
      <w:pPr>
        <w:pStyle w:val="81"/>
        <w:ind w:firstLine="480"/>
        <w:rPr>
          <w:color w:val="000000" w:themeColor="text1"/>
          <w14:textFill>
            <w14:solidFill>
              <w14:schemeClr w14:val="tx1"/>
            </w14:solidFill>
          </w14:textFill>
        </w:rPr>
      </w:pPr>
      <w:bookmarkStart w:id="777" w:name="_Toc44492602"/>
      <w:bookmarkStart w:id="778" w:name="_Toc21708"/>
      <w:bookmarkStart w:id="779" w:name="_Toc511"/>
      <w:r>
        <w:rPr>
          <w:rFonts w:hint="eastAsia"/>
          <w:color w:val="000000" w:themeColor="text1"/>
          <w14:textFill>
            <w14:solidFill>
              <w14:schemeClr w14:val="tx1"/>
            </w14:solidFill>
          </w14:textFill>
        </w:rPr>
        <w:t>16.2价格不予调整的情形</w:t>
      </w:r>
      <w:bookmarkEnd w:id="777"/>
      <w:bookmarkEnd w:id="778"/>
      <w:bookmarkEnd w:id="779"/>
    </w:p>
    <w:p w14:paraId="36F940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16.2.5 由分包人负责完成的图纸深化设计、施工组织设计等存在缺陷造成的任何支出，由分包人承担，即使此类内容已经获得发包人的审批。</w:t>
      </w:r>
    </w:p>
    <w:p w14:paraId="3EC2675B">
      <w:pPr>
        <w:pStyle w:val="81"/>
        <w:ind w:firstLine="480"/>
        <w:rPr>
          <w:color w:val="000000" w:themeColor="text1"/>
          <w14:textFill>
            <w14:solidFill>
              <w14:schemeClr w14:val="tx1"/>
            </w14:solidFill>
          </w14:textFill>
        </w:rPr>
      </w:pPr>
      <w:bookmarkStart w:id="780" w:name="_Toc44492603"/>
      <w:bookmarkStart w:id="781" w:name="_Toc22042"/>
      <w:bookmarkStart w:id="782" w:name="_Toc30626"/>
      <w:r>
        <w:rPr>
          <w:rFonts w:hint="eastAsia"/>
          <w:color w:val="000000" w:themeColor="text1"/>
          <w14:textFill>
            <w14:solidFill>
              <w14:schemeClr w14:val="tx1"/>
            </w14:solidFill>
          </w14:textFill>
        </w:rPr>
        <w:t>16.3  价格调整的补充说明</w:t>
      </w:r>
      <w:bookmarkEnd w:id="780"/>
      <w:bookmarkEnd w:id="781"/>
      <w:bookmarkEnd w:id="782"/>
    </w:p>
    <w:p w14:paraId="7EA3E4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16.3.1 投标清单的不平衡报价</w:t>
      </w:r>
    </w:p>
    <w:p w14:paraId="1DD21DB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（1）工程量发生变化的分部分项工程项目，如分包人投标价分部分项清单项目填报的综合单价与发包人招标控制价或预算价相应清单项目的综合单价偏差超过15%幅度时，按以下原则调整合同价款：</w:t>
      </w:r>
    </w:p>
    <w:p w14:paraId="6AD684B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当中标综合单价高于招标控制价综合单价15%以上时，若实际结算工程量（含设计变更）对应项目的招标工程量增加超过15%幅度的，超出幅度部分的综合单价按下式修正：修正后的综合单价P1=招标控制价综合单价M0×（1-承包人报价浮动率L），否则不调整。</w:t>
      </w:r>
    </w:p>
    <w:p w14:paraId="52578DE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当中标综合单价低于招标控制价综合单价15%以上，若实际结算工程量（含设计变更）对应项目的招标工程量减少超过15%幅度的，超出幅度部分的综合单价按下式修正：修正后的综合单价P1=招标控制价综合单价M0×（1-承包人报价浮动率L），否则不调整。</w:t>
      </w:r>
    </w:p>
    <w:p w14:paraId="0E7B1A97">
      <w:pPr>
        <w:pStyle w:val="56"/>
        <w:ind w:firstLine="480"/>
        <w:rPr>
          <w:color w:val="000000" w:themeColor="text1"/>
          <w14:textFill>
            <w14:solidFill>
              <w14:schemeClr w14:val="tx1"/>
            </w14:solidFill>
          </w14:textFill>
        </w:rPr>
      </w:pPr>
      <w:r>
        <w:rPr>
          <w:rFonts w:ascii="仿宋" w:hAnsi="仿宋" w:eastAsia="仿宋" w:cs="仿宋"/>
          <w:szCs w:val="24"/>
        </w:rPr>
        <w:t>P</w:t>
      </w:r>
      <w:r>
        <w:rPr>
          <w:rFonts w:ascii="仿宋" w:hAnsi="仿宋" w:eastAsia="仿宋" w:cs="仿宋"/>
          <w:szCs w:val="24"/>
          <w:vertAlign w:val="subscript"/>
        </w:rPr>
        <w:t>1</w:t>
      </w:r>
      <w:r>
        <w:rPr>
          <w:rFonts w:hint="eastAsia"/>
          <w:color w:val="000000" w:themeColor="text1"/>
          <w14:textFill>
            <w14:solidFill>
              <w14:schemeClr w14:val="tx1"/>
            </w14:solidFill>
          </w14:textFill>
        </w:rPr>
        <w:t>--按照最终完成工程量重新调整后的综合单价；</w:t>
      </w:r>
    </w:p>
    <w:p w14:paraId="7335FE0D">
      <w:pPr>
        <w:pStyle w:val="56"/>
        <w:ind w:firstLine="480"/>
        <w:rPr>
          <w:color w:val="auto"/>
        </w:rPr>
      </w:pPr>
      <w:r>
        <w:rPr>
          <w:rFonts w:hint="eastAsia"/>
          <w:color w:val="000000" w:themeColor="text1"/>
          <w14:textFill>
            <w14:solidFill>
              <w14:schemeClr w14:val="tx1"/>
            </w14:solidFill>
          </w14:textFill>
        </w:rPr>
        <w:t>（2）工程变更等原因导</w:t>
      </w:r>
      <w:r>
        <w:rPr>
          <w:rFonts w:hint="eastAsia"/>
          <w:color w:val="auto"/>
        </w:rPr>
        <w:t>致工程量偏差超过15%，则超过15%部分的综合单价应予调整。应按照下列规定调整该分部分项工程费结算价：</w:t>
      </w:r>
    </w:p>
    <w:p w14:paraId="626F5F40">
      <w:pPr>
        <w:pStyle w:val="21"/>
        <w:numPr>
          <w:ilvl w:val="255"/>
          <w:numId w:val="0"/>
        </w:numPr>
        <w:adjustRightInd w:val="0"/>
        <w:snapToGrid w:val="0"/>
        <w:ind w:left="630"/>
        <w:rPr>
          <w:rFonts w:ascii="仿宋" w:hAnsi="仿宋" w:eastAsia="仿宋" w:cs="仿宋"/>
          <w:szCs w:val="24"/>
          <w:vertAlign w:val="subscript"/>
        </w:rPr>
      </w:pPr>
      <w:r>
        <w:rPr>
          <w:rFonts w:hint="eastAsia"/>
        </w:rPr>
        <w:t>①当</w:t>
      </w:r>
      <w:r>
        <w:rPr>
          <w:rFonts w:ascii="仿宋" w:hAnsi="仿宋" w:eastAsia="仿宋" w:cs="仿宋"/>
          <w:szCs w:val="24"/>
        </w:rPr>
        <w:t>Q</w:t>
      </w:r>
      <w:r>
        <w:rPr>
          <w:rFonts w:ascii="仿宋" w:hAnsi="仿宋" w:eastAsia="仿宋" w:cs="仿宋"/>
          <w:szCs w:val="24"/>
          <w:vertAlign w:val="subscript"/>
        </w:rPr>
        <w:t>1</w:t>
      </w:r>
      <w:r>
        <w:rPr>
          <w:rFonts w:hint="eastAsia"/>
        </w:rPr>
        <w:t>﹥1.15</w:t>
      </w:r>
      <w:r>
        <w:rPr>
          <w:rFonts w:ascii="仿宋" w:hAnsi="仿宋" w:eastAsia="仿宋" w:cs="仿宋"/>
          <w:szCs w:val="24"/>
        </w:rPr>
        <w:t>Q</w:t>
      </w:r>
      <w:r>
        <w:rPr>
          <w:rFonts w:ascii="仿宋" w:hAnsi="仿宋" w:eastAsia="仿宋" w:cs="仿宋"/>
          <w:szCs w:val="24"/>
          <w:vertAlign w:val="subscript"/>
        </w:rPr>
        <w:t>0</w:t>
      </w:r>
      <w:r>
        <w:rPr>
          <w:rFonts w:hint="eastAsia"/>
        </w:rPr>
        <w:t>时，</w:t>
      </w:r>
      <w:r>
        <w:rPr>
          <w:rFonts w:ascii="仿宋" w:hAnsi="仿宋" w:eastAsia="仿宋" w:cs="仿宋"/>
          <w:szCs w:val="24"/>
        </w:rPr>
        <w:t>S=1.1</w:t>
      </w:r>
      <w:r>
        <w:rPr>
          <w:rFonts w:hint="eastAsia" w:ascii="仿宋" w:hAnsi="仿宋" w:eastAsia="仿宋" w:cs="仿宋"/>
          <w:szCs w:val="24"/>
        </w:rPr>
        <w:t>5</w:t>
      </w:r>
      <w:r>
        <w:rPr>
          <w:rFonts w:ascii="仿宋" w:hAnsi="仿宋" w:eastAsia="仿宋" w:cs="仿宋"/>
          <w:szCs w:val="24"/>
        </w:rPr>
        <w:t>Q</w:t>
      </w:r>
      <w:r>
        <w:rPr>
          <w:rFonts w:ascii="仿宋" w:hAnsi="仿宋" w:eastAsia="仿宋" w:cs="仿宋"/>
          <w:szCs w:val="24"/>
          <w:vertAlign w:val="subscript"/>
        </w:rPr>
        <w:t>0</w:t>
      </w:r>
      <w:r>
        <w:rPr>
          <w:rFonts w:hint="eastAsia" w:ascii="仿宋" w:hAnsi="仿宋" w:eastAsia="仿宋" w:cs="仿宋"/>
          <w:szCs w:val="24"/>
        </w:rPr>
        <w:t>×</w:t>
      </w:r>
      <w:r>
        <w:rPr>
          <w:rFonts w:ascii="仿宋" w:hAnsi="仿宋" w:eastAsia="仿宋" w:cs="仿宋"/>
          <w:szCs w:val="24"/>
        </w:rPr>
        <w:t>P</w:t>
      </w:r>
      <w:r>
        <w:rPr>
          <w:rFonts w:ascii="仿宋" w:hAnsi="仿宋" w:eastAsia="仿宋" w:cs="仿宋"/>
          <w:szCs w:val="24"/>
          <w:vertAlign w:val="subscript"/>
        </w:rPr>
        <w:t>0</w:t>
      </w:r>
      <w:r>
        <w:rPr>
          <w:rFonts w:ascii="仿宋" w:hAnsi="仿宋" w:eastAsia="仿宋" w:cs="仿宋"/>
          <w:szCs w:val="24"/>
        </w:rPr>
        <w:t>+</w:t>
      </w:r>
      <w:r>
        <w:rPr>
          <w:rFonts w:hint="eastAsia" w:ascii="仿宋" w:hAnsi="仿宋" w:eastAsia="仿宋" w:cs="仿宋"/>
          <w:szCs w:val="24"/>
        </w:rPr>
        <w:t>（</w:t>
      </w:r>
      <w:r>
        <w:rPr>
          <w:rFonts w:ascii="仿宋" w:hAnsi="仿宋" w:eastAsia="仿宋" w:cs="仿宋"/>
          <w:szCs w:val="24"/>
        </w:rPr>
        <w:t>Q</w:t>
      </w:r>
      <w:r>
        <w:rPr>
          <w:rFonts w:ascii="仿宋" w:hAnsi="仿宋" w:eastAsia="仿宋" w:cs="仿宋"/>
          <w:szCs w:val="24"/>
          <w:vertAlign w:val="subscript"/>
        </w:rPr>
        <w:t>1</w:t>
      </w:r>
      <w:r>
        <w:rPr>
          <w:rFonts w:ascii="仿宋" w:hAnsi="仿宋" w:eastAsia="仿宋" w:cs="仿宋"/>
          <w:szCs w:val="24"/>
        </w:rPr>
        <w:t>-1.1</w:t>
      </w:r>
      <w:r>
        <w:rPr>
          <w:rFonts w:hint="eastAsia" w:ascii="仿宋" w:hAnsi="仿宋" w:eastAsia="仿宋" w:cs="仿宋"/>
          <w:szCs w:val="24"/>
        </w:rPr>
        <w:t>5</w:t>
      </w:r>
      <w:r>
        <w:rPr>
          <w:rFonts w:ascii="仿宋" w:hAnsi="仿宋" w:eastAsia="仿宋" w:cs="仿宋"/>
          <w:szCs w:val="24"/>
        </w:rPr>
        <w:t>Q</w:t>
      </w:r>
      <w:r>
        <w:rPr>
          <w:rFonts w:ascii="仿宋" w:hAnsi="仿宋" w:eastAsia="仿宋" w:cs="仿宋"/>
          <w:szCs w:val="24"/>
          <w:vertAlign w:val="subscript"/>
        </w:rPr>
        <w:t>0</w:t>
      </w:r>
      <w:r>
        <w:rPr>
          <w:rFonts w:hint="eastAsia" w:ascii="仿宋" w:hAnsi="仿宋" w:eastAsia="仿宋" w:cs="仿宋"/>
          <w:szCs w:val="24"/>
        </w:rPr>
        <w:t>）×</w:t>
      </w:r>
      <w:r>
        <w:rPr>
          <w:rFonts w:ascii="仿宋" w:hAnsi="仿宋" w:eastAsia="仿宋" w:cs="仿宋"/>
          <w:szCs w:val="24"/>
        </w:rPr>
        <w:t>P</w:t>
      </w:r>
      <w:r>
        <w:rPr>
          <w:rFonts w:ascii="仿宋" w:hAnsi="仿宋" w:eastAsia="仿宋" w:cs="仿宋"/>
          <w:szCs w:val="24"/>
          <w:vertAlign w:val="subscript"/>
        </w:rPr>
        <w:t>1</w:t>
      </w:r>
    </w:p>
    <w:p w14:paraId="140E4299">
      <w:pPr>
        <w:pStyle w:val="56"/>
        <w:ind w:firstLine="480"/>
        <w:rPr>
          <w:color w:val="auto"/>
        </w:rPr>
      </w:pPr>
    </w:p>
    <w:p w14:paraId="4D1607A0">
      <w:pPr>
        <w:pStyle w:val="21"/>
        <w:numPr>
          <w:ilvl w:val="255"/>
          <w:numId w:val="0"/>
        </w:numPr>
        <w:adjustRightInd w:val="0"/>
        <w:snapToGrid w:val="0"/>
        <w:ind w:left="630"/>
        <w:rPr>
          <w:rFonts w:ascii="仿宋" w:hAnsi="仿宋" w:eastAsia="仿宋" w:cs="仿宋"/>
          <w:szCs w:val="24"/>
          <w:vertAlign w:val="subscript"/>
        </w:rPr>
      </w:pPr>
      <w:r>
        <w:rPr>
          <w:rFonts w:hint="eastAsia"/>
        </w:rPr>
        <w:t>②</w:t>
      </w:r>
      <w:r>
        <w:rPr>
          <w:rFonts w:hint="eastAsia" w:ascii="仿宋" w:hAnsi="仿宋" w:eastAsia="仿宋" w:cs="仿宋"/>
          <w:szCs w:val="24"/>
        </w:rPr>
        <w:t>当</w:t>
      </w:r>
      <w:r>
        <w:rPr>
          <w:rFonts w:ascii="仿宋" w:hAnsi="仿宋" w:eastAsia="仿宋" w:cs="仿宋"/>
          <w:szCs w:val="24"/>
        </w:rPr>
        <w:t>Q</w:t>
      </w:r>
      <w:r>
        <w:rPr>
          <w:rFonts w:ascii="仿宋" w:hAnsi="仿宋" w:eastAsia="仿宋" w:cs="仿宋"/>
          <w:szCs w:val="24"/>
          <w:vertAlign w:val="subscript"/>
        </w:rPr>
        <w:t>1</w:t>
      </w:r>
      <w:r>
        <w:rPr>
          <w:rFonts w:hint="eastAsia" w:ascii="仿宋" w:hAnsi="仿宋" w:eastAsia="仿宋" w:cs="仿宋"/>
          <w:szCs w:val="24"/>
        </w:rPr>
        <w:t>﹤</w:t>
      </w:r>
      <w:r>
        <w:rPr>
          <w:rFonts w:ascii="仿宋" w:hAnsi="仿宋" w:eastAsia="仿宋" w:cs="仿宋"/>
          <w:szCs w:val="24"/>
        </w:rPr>
        <w:t>0.</w:t>
      </w:r>
      <w:r>
        <w:rPr>
          <w:rFonts w:hint="eastAsia" w:ascii="仿宋" w:hAnsi="仿宋" w:eastAsia="仿宋" w:cs="仿宋"/>
          <w:szCs w:val="24"/>
        </w:rPr>
        <w:t>85</w:t>
      </w:r>
      <w:r>
        <w:rPr>
          <w:rFonts w:ascii="仿宋" w:hAnsi="仿宋" w:eastAsia="仿宋" w:cs="仿宋"/>
          <w:szCs w:val="24"/>
        </w:rPr>
        <w:t>Q</w:t>
      </w:r>
      <w:r>
        <w:rPr>
          <w:rFonts w:ascii="仿宋" w:hAnsi="仿宋" w:eastAsia="仿宋" w:cs="仿宋"/>
          <w:szCs w:val="24"/>
          <w:vertAlign w:val="subscript"/>
        </w:rPr>
        <w:t>0</w:t>
      </w:r>
      <w:r>
        <w:rPr>
          <w:rFonts w:hint="eastAsia" w:ascii="仿宋" w:hAnsi="仿宋" w:eastAsia="仿宋" w:cs="仿宋"/>
          <w:szCs w:val="24"/>
        </w:rPr>
        <w:t>时，</w:t>
      </w:r>
      <w:r>
        <w:rPr>
          <w:rFonts w:ascii="仿宋" w:hAnsi="仿宋" w:eastAsia="仿宋" w:cs="仿宋"/>
          <w:szCs w:val="24"/>
        </w:rPr>
        <w:t>S=0.</w:t>
      </w:r>
      <w:r>
        <w:rPr>
          <w:rFonts w:hint="eastAsia" w:ascii="仿宋" w:hAnsi="仿宋" w:eastAsia="仿宋" w:cs="仿宋"/>
          <w:szCs w:val="24"/>
        </w:rPr>
        <w:t>85</w:t>
      </w:r>
      <w:r>
        <w:rPr>
          <w:rFonts w:ascii="仿宋" w:hAnsi="仿宋" w:eastAsia="仿宋" w:cs="仿宋"/>
          <w:szCs w:val="24"/>
        </w:rPr>
        <w:t>Q</w:t>
      </w:r>
      <w:r>
        <w:rPr>
          <w:rFonts w:ascii="仿宋" w:hAnsi="仿宋" w:eastAsia="仿宋" w:cs="仿宋"/>
          <w:szCs w:val="24"/>
          <w:vertAlign w:val="subscript"/>
        </w:rPr>
        <w:t>0</w:t>
      </w:r>
      <w:r>
        <w:rPr>
          <w:rFonts w:hint="eastAsia" w:ascii="仿宋" w:hAnsi="仿宋" w:eastAsia="仿宋" w:cs="仿宋"/>
          <w:szCs w:val="24"/>
        </w:rPr>
        <w:t>×</w:t>
      </w:r>
      <w:r>
        <w:rPr>
          <w:rFonts w:ascii="仿宋" w:hAnsi="仿宋" w:eastAsia="仿宋" w:cs="仿宋"/>
          <w:szCs w:val="24"/>
        </w:rPr>
        <w:t>P</w:t>
      </w:r>
      <w:r>
        <w:rPr>
          <w:rFonts w:ascii="仿宋" w:hAnsi="仿宋" w:eastAsia="仿宋" w:cs="仿宋"/>
          <w:szCs w:val="24"/>
          <w:vertAlign w:val="subscript"/>
        </w:rPr>
        <w:t>0</w:t>
      </w:r>
      <w:r>
        <w:rPr>
          <w:rFonts w:ascii="仿宋" w:hAnsi="仿宋" w:eastAsia="仿宋" w:cs="仿宋"/>
          <w:szCs w:val="24"/>
        </w:rPr>
        <w:t>-</w:t>
      </w:r>
      <w:r>
        <w:rPr>
          <w:rFonts w:hint="eastAsia" w:ascii="仿宋" w:hAnsi="仿宋" w:eastAsia="仿宋" w:cs="仿宋"/>
          <w:szCs w:val="24"/>
        </w:rPr>
        <w:t>（</w:t>
      </w:r>
      <w:r>
        <w:rPr>
          <w:rFonts w:ascii="仿宋" w:hAnsi="仿宋" w:eastAsia="仿宋" w:cs="仿宋"/>
          <w:szCs w:val="24"/>
        </w:rPr>
        <w:t>0.</w:t>
      </w:r>
      <w:r>
        <w:rPr>
          <w:rFonts w:hint="eastAsia" w:ascii="仿宋" w:hAnsi="仿宋" w:eastAsia="仿宋" w:cs="仿宋"/>
          <w:szCs w:val="24"/>
        </w:rPr>
        <w:t>85</w:t>
      </w:r>
      <w:r>
        <w:rPr>
          <w:rFonts w:ascii="仿宋" w:hAnsi="仿宋" w:eastAsia="仿宋" w:cs="仿宋"/>
          <w:szCs w:val="24"/>
        </w:rPr>
        <w:t>Q</w:t>
      </w:r>
      <w:r>
        <w:rPr>
          <w:rFonts w:ascii="仿宋" w:hAnsi="仿宋" w:eastAsia="仿宋" w:cs="仿宋"/>
          <w:szCs w:val="24"/>
          <w:vertAlign w:val="subscript"/>
        </w:rPr>
        <w:t>0</w:t>
      </w:r>
      <w:r>
        <w:rPr>
          <w:rFonts w:ascii="仿宋" w:hAnsi="仿宋" w:eastAsia="仿宋" w:cs="仿宋"/>
          <w:szCs w:val="24"/>
        </w:rPr>
        <w:t>-Q</w:t>
      </w:r>
      <w:r>
        <w:rPr>
          <w:rFonts w:ascii="仿宋" w:hAnsi="仿宋" w:eastAsia="仿宋" w:cs="仿宋"/>
          <w:szCs w:val="24"/>
          <w:vertAlign w:val="subscript"/>
        </w:rPr>
        <w:t>1</w:t>
      </w:r>
      <w:r>
        <w:rPr>
          <w:rFonts w:hint="eastAsia" w:ascii="仿宋" w:hAnsi="仿宋" w:eastAsia="仿宋" w:cs="仿宋"/>
          <w:szCs w:val="24"/>
        </w:rPr>
        <w:t>）×</w:t>
      </w:r>
      <w:r>
        <w:rPr>
          <w:rFonts w:ascii="仿宋" w:hAnsi="仿宋" w:eastAsia="仿宋" w:cs="仿宋"/>
          <w:szCs w:val="24"/>
        </w:rPr>
        <w:t>P</w:t>
      </w:r>
      <w:r>
        <w:rPr>
          <w:rFonts w:ascii="仿宋" w:hAnsi="仿宋" w:eastAsia="仿宋" w:cs="仿宋"/>
          <w:szCs w:val="24"/>
          <w:vertAlign w:val="subscript"/>
        </w:rPr>
        <w:t>1</w:t>
      </w:r>
    </w:p>
    <w:p w14:paraId="059E2245">
      <w:pPr>
        <w:pStyle w:val="21"/>
        <w:adjustRightInd w:val="0"/>
        <w:snapToGrid w:val="0"/>
        <w:ind w:firstLine="1620" w:firstLineChars="675"/>
        <w:rPr>
          <w:rFonts w:ascii="仿宋" w:hAnsi="仿宋" w:eastAsia="仿宋" w:cs="Times New Roman"/>
          <w:szCs w:val="24"/>
        </w:rPr>
      </w:pPr>
      <w:r>
        <w:rPr>
          <w:rFonts w:hint="eastAsia" w:ascii="仿宋" w:hAnsi="仿宋" w:eastAsia="仿宋" w:cs="仿宋"/>
          <w:szCs w:val="24"/>
        </w:rPr>
        <w:t>式中</w:t>
      </w:r>
      <w:r>
        <w:rPr>
          <w:rFonts w:ascii="仿宋" w:hAnsi="仿宋" w:eastAsia="仿宋" w:cs="仿宋"/>
          <w:szCs w:val="24"/>
        </w:rPr>
        <w:t>S——</w:t>
      </w:r>
      <w:r>
        <w:rPr>
          <w:rFonts w:hint="eastAsia" w:ascii="仿宋" w:hAnsi="仿宋" w:eastAsia="仿宋" w:cs="仿宋"/>
          <w:szCs w:val="24"/>
        </w:rPr>
        <w:t>调整后的某一分部分项工程费结算价；</w:t>
      </w:r>
    </w:p>
    <w:p w14:paraId="75BABAB1">
      <w:pPr>
        <w:pStyle w:val="21"/>
        <w:adjustRightInd w:val="0"/>
        <w:snapToGrid w:val="0"/>
        <w:ind w:firstLine="2160" w:firstLineChars="900"/>
        <w:rPr>
          <w:rFonts w:ascii="仿宋" w:hAnsi="仿宋" w:eastAsia="仿宋" w:cs="Times New Roman"/>
          <w:szCs w:val="24"/>
        </w:rPr>
      </w:pPr>
      <w:r>
        <w:rPr>
          <w:rFonts w:ascii="仿宋" w:hAnsi="仿宋" w:eastAsia="仿宋" w:cs="仿宋"/>
          <w:szCs w:val="24"/>
        </w:rPr>
        <w:t>Q</w:t>
      </w:r>
      <w:r>
        <w:rPr>
          <w:rFonts w:ascii="仿宋" w:hAnsi="仿宋" w:eastAsia="仿宋" w:cs="仿宋"/>
          <w:szCs w:val="24"/>
          <w:vertAlign w:val="subscript"/>
        </w:rPr>
        <w:t>1</w:t>
      </w:r>
      <w:r>
        <w:rPr>
          <w:rFonts w:ascii="仿宋" w:hAnsi="仿宋" w:eastAsia="仿宋" w:cs="仿宋"/>
          <w:szCs w:val="24"/>
        </w:rPr>
        <w:t>——</w:t>
      </w:r>
      <w:r>
        <w:rPr>
          <w:rFonts w:hint="eastAsia" w:ascii="仿宋" w:hAnsi="仿宋" w:eastAsia="仿宋" w:cs="仿宋"/>
          <w:szCs w:val="24"/>
        </w:rPr>
        <w:t>最终完成的工程量；</w:t>
      </w:r>
    </w:p>
    <w:p w14:paraId="7D1637A7">
      <w:pPr>
        <w:pStyle w:val="21"/>
        <w:adjustRightInd w:val="0"/>
        <w:snapToGrid w:val="0"/>
        <w:ind w:firstLine="2160" w:firstLineChars="900"/>
        <w:rPr>
          <w:rFonts w:ascii="仿宋" w:hAnsi="仿宋" w:eastAsia="仿宋" w:cs="Times New Roman"/>
          <w:szCs w:val="24"/>
        </w:rPr>
      </w:pPr>
      <w:r>
        <w:rPr>
          <w:rFonts w:ascii="仿宋" w:hAnsi="仿宋" w:eastAsia="仿宋" w:cs="仿宋"/>
          <w:szCs w:val="24"/>
        </w:rPr>
        <w:t>Q</w:t>
      </w:r>
      <w:r>
        <w:rPr>
          <w:rFonts w:ascii="仿宋" w:hAnsi="仿宋" w:eastAsia="仿宋" w:cs="仿宋"/>
          <w:szCs w:val="24"/>
          <w:vertAlign w:val="subscript"/>
        </w:rPr>
        <w:t>0</w:t>
      </w:r>
      <w:r>
        <w:rPr>
          <w:rFonts w:ascii="仿宋" w:hAnsi="仿宋" w:eastAsia="仿宋" w:cs="仿宋"/>
          <w:szCs w:val="24"/>
        </w:rPr>
        <w:t>——</w:t>
      </w:r>
      <w:r>
        <w:rPr>
          <w:rFonts w:hint="eastAsia" w:ascii="仿宋" w:hAnsi="仿宋" w:eastAsia="仿宋" w:cs="仿宋"/>
          <w:szCs w:val="24"/>
        </w:rPr>
        <w:t>工程量清单中开列的工程量；</w:t>
      </w:r>
    </w:p>
    <w:p w14:paraId="360E35B0">
      <w:pPr>
        <w:pStyle w:val="21"/>
        <w:adjustRightInd w:val="0"/>
        <w:snapToGrid w:val="0"/>
        <w:ind w:firstLine="2160" w:firstLineChars="900"/>
        <w:rPr>
          <w:rFonts w:ascii="仿宋" w:hAnsi="仿宋" w:eastAsia="仿宋" w:cs="Times New Roman"/>
          <w:szCs w:val="24"/>
        </w:rPr>
      </w:pPr>
      <w:r>
        <w:rPr>
          <w:rFonts w:ascii="仿宋" w:hAnsi="仿宋" w:eastAsia="仿宋" w:cs="仿宋"/>
          <w:szCs w:val="24"/>
        </w:rPr>
        <w:t>P</w:t>
      </w:r>
      <w:r>
        <w:rPr>
          <w:rFonts w:ascii="仿宋" w:hAnsi="仿宋" w:eastAsia="仿宋" w:cs="仿宋"/>
          <w:szCs w:val="24"/>
          <w:vertAlign w:val="subscript"/>
        </w:rPr>
        <w:t>1</w:t>
      </w:r>
      <w:r>
        <w:rPr>
          <w:rFonts w:ascii="仿宋" w:hAnsi="仿宋" w:eastAsia="仿宋" w:cs="仿宋"/>
          <w:szCs w:val="24"/>
        </w:rPr>
        <w:t>——</w:t>
      </w:r>
      <w:r>
        <w:rPr>
          <w:rFonts w:hint="eastAsia" w:ascii="仿宋" w:hAnsi="仿宋" w:eastAsia="仿宋" w:cs="仿宋"/>
          <w:szCs w:val="24"/>
        </w:rPr>
        <w:t>按照最终完成工程量重新调整后的综合单价；</w:t>
      </w:r>
    </w:p>
    <w:p w14:paraId="487BFE94">
      <w:pPr>
        <w:pStyle w:val="21"/>
        <w:ind w:firstLine="2160" w:firstLineChars="900"/>
        <w:rPr>
          <w:rFonts w:ascii="仿宋" w:hAnsi="仿宋" w:eastAsia="仿宋" w:cs="仿宋"/>
          <w:szCs w:val="24"/>
        </w:rPr>
      </w:pPr>
      <w:r>
        <w:rPr>
          <w:rFonts w:ascii="仿宋" w:hAnsi="仿宋" w:eastAsia="仿宋" w:cs="仿宋"/>
          <w:szCs w:val="24"/>
        </w:rPr>
        <w:t>P</w:t>
      </w:r>
      <w:r>
        <w:rPr>
          <w:rFonts w:ascii="仿宋" w:hAnsi="仿宋" w:eastAsia="仿宋" w:cs="仿宋"/>
          <w:szCs w:val="24"/>
          <w:vertAlign w:val="subscript"/>
        </w:rPr>
        <w:t>0</w:t>
      </w:r>
      <w:r>
        <w:rPr>
          <w:rFonts w:ascii="仿宋" w:hAnsi="仿宋" w:eastAsia="仿宋" w:cs="仿宋"/>
          <w:szCs w:val="24"/>
        </w:rPr>
        <w:t>——</w:t>
      </w:r>
      <w:r>
        <w:rPr>
          <w:rFonts w:hint="eastAsia" w:ascii="仿宋" w:hAnsi="仿宋" w:eastAsia="仿宋" w:cs="仿宋"/>
          <w:szCs w:val="24"/>
        </w:rPr>
        <w:t>承包人在工程量清单中填报的综合单价。</w:t>
      </w:r>
    </w:p>
    <w:p w14:paraId="4841A26A">
      <w:pPr>
        <w:pStyle w:val="77"/>
        <w:rPr>
          <w:color w:val="000000" w:themeColor="text1"/>
          <w14:textFill>
            <w14:solidFill>
              <w14:schemeClr w14:val="tx1"/>
            </w14:solidFill>
          </w14:textFill>
        </w:rPr>
      </w:pPr>
      <w:bookmarkStart w:id="783" w:name="_Toc12032"/>
      <w:bookmarkStart w:id="784" w:name="_Toc91082451"/>
      <w:bookmarkStart w:id="785" w:name="_Toc38987286"/>
      <w:bookmarkStart w:id="786" w:name="_Toc7487"/>
      <w:bookmarkStart w:id="787" w:name="_Toc44492604"/>
      <w:bookmarkStart w:id="788" w:name="_Toc8652"/>
      <w:bookmarkStart w:id="789" w:name="_Toc44228169"/>
      <w:r>
        <w:rPr>
          <w:rFonts w:hint="eastAsia"/>
          <w:color w:val="000000" w:themeColor="text1"/>
          <w14:textFill>
            <w14:solidFill>
              <w14:schemeClr w14:val="tx1"/>
            </w14:solidFill>
          </w14:textFill>
        </w:rPr>
        <w:t>17.计量与支付</w:t>
      </w:r>
      <w:bookmarkEnd w:id="783"/>
      <w:bookmarkEnd w:id="784"/>
      <w:bookmarkEnd w:id="785"/>
      <w:bookmarkEnd w:id="786"/>
      <w:bookmarkEnd w:id="787"/>
      <w:bookmarkEnd w:id="788"/>
      <w:bookmarkEnd w:id="789"/>
    </w:p>
    <w:p w14:paraId="606F8DFD">
      <w:pPr>
        <w:pStyle w:val="81"/>
        <w:ind w:firstLine="480"/>
        <w:rPr>
          <w:color w:val="000000" w:themeColor="text1"/>
          <w14:textFill>
            <w14:solidFill>
              <w14:schemeClr w14:val="tx1"/>
            </w14:solidFill>
          </w14:textFill>
        </w:rPr>
      </w:pPr>
      <w:bookmarkStart w:id="790" w:name="_Toc32282"/>
      <w:bookmarkStart w:id="791" w:name="_Toc28599"/>
      <w:bookmarkStart w:id="792" w:name="_Toc44492605"/>
      <w:r>
        <w:rPr>
          <w:rFonts w:hint="eastAsia"/>
          <w:color w:val="000000" w:themeColor="text1"/>
          <w14:textFill>
            <w14:solidFill>
              <w14:schemeClr w14:val="tx1"/>
            </w14:solidFill>
          </w14:textFill>
        </w:rPr>
        <w:t>17.1. 计量</w:t>
      </w:r>
      <w:bookmarkEnd w:id="790"/>
      <w:bookmarkEnd w:id="791"/>
      <w:bookmarkEnd w:id="792"/>
    </w:p>
    <w:p w14:paraId="50567EE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17.1.1. 分包人通过承包人向发包人提交已完工程量报告的时间：</w:t>
      </w:r>
      <w:r>
        <w:rPr>
          <w:rFonts w:hint="eastAsia"/>
          <w:color w:val="000000" w:themeColor="text1"/>
          <w:u w:val="single"/>
          <w14:textFill>
            <w14:solidFill>
              <w14:schemeClr w14:val="tx1"/>
            </w14:solidFill>
          </w14:textFill>
        </w:rPr>
        <w:t xml:space="preserve"> 满足</w:t>
      </w:r>
      <w:r>
        <w:rPr>
          <w:rFonts w:hint="eastAsia" w:hAnsi="宋体"/>
          <w:color w:val="000000" w:themeColor="text1"/>
          <w:u w:val="single"/>
          <w14:textFill>
            <w14:solidFill>
              <w14:schemeClr w14:val="tx1"/>
            </w14:solidFill>
          </w14:textFill>
        </w:rPr>
        <w:t>每</w:t>
      </w:r>
      <w:r>
        <w:rPr>
          <w:rFonts w:hint="eastAsia"/>
          <w:color w:val="000000" w:themeColor="text1"/>
          <w:u w:val="single"/>
          <w14:textFill>
            <w14:solidFill>
              <w14:schemeClr w14:val="tx1"/>
            </w14:solidFill>
          </w14:textFill>
        </w:rPr>
        <w:t>期支付节点之日起</w:t>
      </w:r>
      <w:r>
        <w:rPr>
          <w:rFonts w:hint="eastAsia" w:hAnsi="宋体"/>
          <w:color w:val="000000" w:themeColor="text1"/>
          <w:u w:val="single"/>
          <w14:textFill>
            <w14:solidFill>
              <w14:schemeClr w14:val="tx1"/>
            </w14:solidFill>
          </w14:textFill>
        </w:rPr>
        <w:t>3日内，分包人向承包人提交当期完成工作量统计报表</w:t>
      </w:r>
      <w:r>
        <w:rPr>
          <w:rFonts w:hint="eastAsia"/>
          <w:color w:val="000000" w:themeColor="text1"/>
          <w:u w:val="single"/>
          <w14:textFill>
            <w14:solidFill>
              <w14:schemeClr w14:val="tx1"/>
            </w14:solidFill>
          </w14:textFill>
        </w:rPr>
        <w:t>、已完工程造价明细资料、付款申请及附件资料等，并列明当期完成工作量对应的进度款，承包人按总承包合同进度款的支付流程向监理人和发包人申报本节点实际完成的合格工程量及相应的付款申请资料</w:t>
      </w:r>
      <w:r>
        <w:rPr>
          <w:rFonts w:hint="eastAsia"/>
          <w:color w:val="000000" w:themeColor="text1"/>
          <w14:textFill>
            <w14:solidFill>
              <w14:schemeClr w14:val="tx1"/>
            </w14:solidFill>
          </w14:textFill>
        </w:rPr>
        <w:t>。</w:t>
      </w:r>
    </w:p>
    <w:p w14:paraId="2E4C6ACE">
      <w:pPr>
        <w:pStyle w:val="56"/>
        <w:ind w:firstLine="480"/>
        <w:rPr>
          <w:color w:val="auto"/>
        </w:rPr>
      </w:pPr>
      <w:r>
        <w:rPr>
          <w:rFonts w:hint="eastAsia"/>
          <w:color w:val="000000" w:themeColor="text1"/>
          <w14:textFill>
            <w14:solidFill>
              <w14:schemeClr w14:val="tx1"/>
            </w14:solidFill>
          </w14:textFill>
        </w:rPr>
        <w:t>17.1.4.工程量计算规则确定方式</w:t>
      </w:r>
    </w:p>
    <w:p w14:paraId="0063A78C">
      <w:pPr>
        <w:pStyle w:val="56"/>
        <w:ind w:firstLine="480"/>
        <w:rPr>
          <w:color w:val="000000" w:themeColor="text1"/>
          <w14:textFill>
            <w14:solidFill>
              <w14:schemeClr w14:val="tx1"/>
            </w14:solidFill>
          </w14:textFill>
        </w:rPr>
      </w:pPr>
      <w:r>
        <w:rPr>
          <w:rFonts w:hint="eastAsia"/>
          <w:color w:val="auto"/>
        </w:rPr>
        <w:t>（1）</w:t>
      </w:r>
      <w:r>
        <w:rPr>
          <w:color w:val="auto"/>
        </w:rPr>
        <w:t xml:space="preserve"> </w:t>
      </w:r>
      <w:r>
        <w:rPr>
          <w:rFonts w:hint="eastAsia"/>
          <w:color w:val="auto"/>
        </w:rPr>
        <w:t>按本合同的“工程量清单报价补充条款”的相关规定执行</w:t>
      </w:r>
      <w:r>
        <w:rPr>
          <w:rFonts w:hint="eastAsia"/>
          <w:color w:val="000000" w:themeColor="text1"/>
          <w14:textFill>
            <w14:solidFill>
              <w14:schemeClr w14:val="tx1"/>
            </w14:solidFill>
          </w14:textFill>
        </w:rPr>
        <w:t>；</w:t>
      </w:r>
    </w:p>
    <w:p w14:paraId="6E8F9A48">
      <w:pPr>
        <w:pStyle w:val="81"/>
        <w:ind w:firstLine="480"/>
        <w:rPr>
          <w:color w:val="000000" w:themeColor="text1"/>
          <w14:textFill>
            <w14:solidFill>
              <w14:schemeClr w14:val="tx1"/>
            </w14:solidFill>
          </w14:textFill>
        </w:rPr>
      </w:pPr>
      <w:bookmarkStart w:id="793" w:name="_Toc44492606"/>
      <w:bookmarkStart w:id="794" w:name="_Toc26057"/>
      <w:bookmarkStart w:id="795" w:name="_Toc3353"/>
      <w:r>
        <w:rPr>
          <w:rFonts w:hint="eastAsia"/>
          <w:color w:val="000000" w:themeColor="text1"/>
          <w14:textFill>
            <w14:solidFill>
              <w14:schemeClr w14:val="tx1"/>
            </w14:solidFill>
          </w14:textFill>
        </w:rPr>
        <w:t>17.2.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工程价款</w:t>
      </w:r>
      <w:bookmarkEnd w:id="793"/>
      <w:bookmarkEnd w:id="794"/>
      <w:bookmarkEnd w:id="795"/>
    </w:p>
    <w:p w14:paraId="33BF66AE">
      <w:pPr>
        <w:pStyle w:val="56"/>
        <w:ind w:firstLine="480"/>
        <w:rPr>
          <w:strike/>
          <w:color w:val="000000" w:themeColor="text1"/>
          <w:u w:val="single"/>
          <w14:textFill>
            <w14:solidFill>
              <w14:schemeClr w14:val="tx1"/>
            </w14:solidFill>
          </w14:textFill>
        </w:rPr>
      </w:pPr>
      <w:r>
        <w:rPr>
          <w:rFonts w:hint="eastAsia"/>
          <w:color w:val="000000" w:themeColor="text1"/>
          <w14:textFill>
            <w14:solidFill>
              <w14:schemeClr w14:val="tx1"/>
            </w14:solidFill>
          </w14:textFill>
        </w:rPr>
        <w:t>17.2.1</w:t>
      </w:r>
      <w:r>
        <w:rPr>
          <w:color w:val="000000" w:themeColor="text1"/>
          <w14:textFill>
            <w14:solidFill>
              <w14:schemeClr w14:val="tx1"/>
            </w14:solidFill>
          </w14:textFill>
        </w:rPr>
        <w:t>通用条款补充：</w:t>
      </w:r>
    </w:p>
    <w:p w14:paraId="28346624">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本合同项目的工程承包价是以招标文件以及招标文件的图纸为依据，采用工程量清单计价方法，根据国家标准《建设工程工程量清单计价规范》（GB50500-2013）以及《广东省房屋建筑与装饰工程综合定额（2018）》《广东省安装工程综合定额（2018）》以及国家、省有关规定的计价办法，按照招标文件中工程量清单所开列的工作内容和估计工程量填报相应的综合单价后并累计合价，再加上措施项目费、其他项目费和税金以及包括但不限于完成工作的成本、利润、税金、技术措施费、大型机械进出场费、风险费以及政策性文件规定费用等计算的合同价。</w:t>
      </w:r>
    </w:p>
    <w:p w14:paraId="4AC8D755">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（2）分包人对发包人提供的工程量清单中列出的分部分项综合单价包干，合同另有约定的调整方式除外，详见下表：</w:t>
      </w:r>
    </w:p>
    <w:tbl>
      <w:tblPr>
        <w:tblStyle w:val="41"/>
        <w:tblW w:w="8358" w:type="dxa"/>
        <w:tblInd w:w="93" w:type="dxa"/>
        <w:tblLayout w:type="autofit"/>
        <w:tblCellMar>
          <w:top w:w="0" w:type="dxa"/>
          <w:left w:w="108" w:type="dxa"/>
          <w:bottom w:w="0" w:type="dxa"/>
          <w:right w:w="108" w:type="dxa"/>
        </w:tblCellMar>
      </w:tblPr>
      <w:tblGrid>
        <w:gridCol w:w="936"/>
        <w:gridCol w:w="3838"/>
        <w:gridCol w:w="3584"/>
      </w:tblGrid>
      <w:tr w14:paraId="2A8A29CE">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tcPr>
          <w:p w14:paraId="78266E3C">
            <w:pPr>
              <w:widowControl/>
              <w:adjustRightInd w:val="0"/>
              <w:snapToGrid w:val="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序号</w:t>
            </w:r>
          </w:p>
        </w:tc>
        <w:tc>
          <w:tcPr>
            <w:tcW w:w="3838" w:type="dxa"/>
            <w:tcBorders>
              <w:top w:val="single" w:color="000000" w:sz="4" w:space="0"/>
              <w:left w:val="single" w:color="000000" w:sz="4" w:space="0"/>
              <w:bottom w:val="single" w:color="000000" w:sz="4" w:space="0"/>
              <w:right w:val="single" w:color="000000" w:sz="4" w:space="0"/>
            </w:tcBorders>
          </w:tcPr>
          <w:p w14:paraId="59A203CE">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项 目 名 称</w:t>
            </w:r>
          </w:p>
        </w:tc>
        <w:tc>
          <w:tcPr>
            <w:tcW w:w="3674" w:type="dxa"/>
            <w:tcBorders>
              <w:top w:val="single" w:color="000000" w:sz="4" w:space="0"/>
              <w:left w:val="single" w:color="000000" w:sz="4" w:space="0"/>
              <w:bottom w:val="single" w:color="000000" w:sz="4" w:space="0"/>
              <w:right w:val="single" w:color="000000" w:sz="4" w:space="0"/>
            </w:tcBorders>
          </w:tcPr>
          <w:p w14:paraId="4F4AE24C">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计价方式</w:t>
            </w:r>
          </w:p>
        </w:tc>
      </w:tr>
      <w:tr w14:paraId="0E3593D7">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303CB678">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一</w:t>
            </w:r>
          </w:p>
        </w:tc>
        <w:tc>
          <w:tcPr>
            <w:tcW w:w="3838" w:type="dxa"/>
            <w:tcBorders>
              <w:top w:val="single" w:color="000000" w:sz="4" w:space="0"/>
              <w:left w:val="single" w:color="000000" w:sz="4" w:space="0"/>
              <w:bottom w:val="single" w:color="000000" w:sz="4" w:space="0"/>
              <w:right w:val="single" w:color="000000" w:sz="4" w:space="0"/>
            </w:tcBorders>
            <w:vAlign w:val="center"/>
          </w:tcPr>
          <w:p w14:paraId="048636FD">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分部分项工程费</w:t>
            </w:r>
          </w:p>
        </w:tc>
        <w:tc>
          <w:tcPr>
            <w:tcW w:w="3674" w:type="dxa"/>
            <w:tcBorders>
              <w:top w:val="single" w:color="000000" w:sz="4" w:space="0"/>
              <w:left w:val="single" w:color="000000" w:sz="4" w:space="0"/>
              <w:bottom w:val="single" w:color="000000" w:sz="4" w:space="0"/>
              <w:right w:val="single" w:color="000000" w:sz="4" w:space="0"/>
            </w:tcBorders>
          </w:tcPr>
          <w:p w14:paraId="7A9793F1">
            <w:pPr>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r>
      <w:tr w14:paraId="0EE80040">
        <w:tblPrEx>
          <w:tblCellMar>
            <w:top w:w="0" w:type="dxa"/>
            <w:left w:w="108" w:type="dxa"/>
            <w:bottom w:w="0" w:type="dxa"/>
            <w:right w:w="108" w:type="dxa"/>
          </w:tblCellMar>
        </w:tblPrEx>
        <w:trPr>
          <w:trHeight w:val="145"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011B504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1</w:t>
            </w:r>
          </w:p>
        </w:tc>
        <w:tc>
          <w:tcPr>
            <w:tcW w:w="3838" w:type="dxa"/>
            <w:tcBorders>
              <w:top w:val="single" w:color="000000" w:sz="4" w:space="0"/>
              <w:left w:val="single" w:color="000000" w:sz="4" w:space="0"/>
              <w:bottom w:val="single" w:color="000000" w:sz="4" w:space="0"/>
              <w:right w:val="single" w:color="000000" w:sz="4" w:space="0"/>
            </w:tcBorders>
            <w:vAlign w:val="center"/>
          </w:tcPr>
          <w:p w14:paraId="6C3C1173">
            <w:pPr>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14:textFill>
                  <w14:solidFill>
                    <w14:schemeClr w14:val="tx1"/>
                  </w14:solidFill>
                </w14:textFill>
              </w:rPr>
              <w:t>除约定外所有</w:t>
            </w:r>
            <w:r>
              <w:rPr>
                <w:rFonts w:hint="eastAsia" w:ascii="Times New Roman" w:hAnsi="Times New Roman" w:eastAsia="仿宋_GB2312"/>
                <w:color w:val="000000" w:themeColor="text1"/>
                <w:kern w:val="0"/>
                <w:szCs w:val="32"/>
                <w:u w:val="single"/>
                <w:lang w:bidi="ar"/>
                <w14:textFill>
                  <w14:solidFill>
                    <w14:schemeClr w14:val="tx1"/>
                  </w14:solidFill>
                </w14:textFill>
              </w:rPr>
              <w:t>分部分项</w:t>
            </w:r>
          </w:p>
        </w:tc>
        <w:tc>
          <w:tcPr>
            <w:tcW w:w="3674" w:type="dxa"/>
            <w:tcBorders>
              <w:top w:val="single" w:color="000000" w:sz="4" w:space="0"/>
              <w:left w:val="single" w:color="000000" w:sz="4" w:space="0"/>
              <w:bottom w:val="single" w:color="000000" w:sz="4" w:space="0"/>
              <w:right w:val="single" w:color="000000" w:sz="4" w:space="0"/>
            </w:tcBorders>
          </w:tcPr>
          <w:p w14:paraId="4D3ADBFD">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0A9CD94E">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63223BA1">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47D8FFE3">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2</w:t>
            </w:r>
          </w:p>
        </w:tc>
        <w:tc>
          <w:tcPr>
            <w:tcW w:w="3838" w:type="dxa"/>
            <w:tcBorders>
              <w:top w:val="single" w:color="000000" w:sz="4" w:space="0"/>
              <w:left w:val="single" w:color="000000" w:sz="4" w:space="0"/>
              <w:bottom w:val="single" w:color="000000" w:sz="4" w:space="0"/>
              <w:right w:val="single" w:color="000000" w:sz="4" w:space="0"/>
            </w:tcBorders>
            <w:vAlign w:val="center"/>
          </w:tcPr>
          <w:p w14:paraId="75366ED4">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14:textFill>
                  <w14:solidFill>
                    <w14:schemeClr w14:val="tx1"/>
                  </w14:solidFill>
                </w14:textFill>
              </w:rPr>
              <w:t>擦窗机</w:t>
            </w:r>
          </w:p>
          <w:p w14:paraId="66971BB5">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c>
          <w:tcPr>
            <w:tcW w:w="3674" w:type="dxa"/>
            <w:tcBorders>
              <w:top w:val="single" w:color="000000" w:sz="4" w:space="0"/>
              <w:left w:val="single" w:color="000000" w:sz="4" w:space="0"/>
              <w:bottom w:val="single" w:color="000000" w:sz="4" w:space="0"/>
              <w:right w:val="single" w:color="000000" w:sz="4" w:space="0"/>
            </w:tcBorders>
          </w:tcPr>
          <w:p w14:paraId="534349B8">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1276365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2059549F">
        <w:tblPrEx>
          <w:tblCellMar>
            <w:top w:w="0" w:type="dxa"/>
            <w:left w:w="108" w:type="dxa"/>
            <w:bottom w:w="0" w:type="dxa"/>
            <w:right w:w="108" w:type="dxa"/>
          </w:tblCellMar>
        </w:tblPrEx>
        <w:trPr>
          <w:trHeight w:val="449"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6F7EEDA0">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14:textFill>
                  <w14:solidFill>
                    <w14:schemeClr w14:val="tx1"/>
                  </w14:solidFill>
                </w14:textFill>
              </w:rPr>
              <w:t>二</w:t>
            </w:r>
          </w:p>
        </w:tc>
        <w:tc>
          <w:tcPr>
            <w:tcW w:w="3838" w:type="dxa"/>
            <w:tcBorders>
              <w:top w:val="single" w:color="000000" w:sz="4" w:space="0"/>
              <w:left w:val="single" w:color="000000" w:sz="4" w:space="0"/>
              <w:bottom w:val="single" w:color="000000" w:sz="4" w:space="0"/>
              <w:right w:val="single" w:color="000000" w:sz="4" w:space="0"/>
            </w:tcBorders>
            <w:vAlign w:val="center"/>
          </w:tcPr>
          <w:p w14:paraId="5FE28981">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安全防护、文明施工措施费</w:t>
            </w:r>
          </w:p>
        </w:tc>
        <w:tc>
          <w:tcPr>
            <w:tcW w:w="3674" w:type="dxa"/>
            <w:tcBorders>
              <w:top w:val="single" w:color="000000" w:sz="4" w:space="0"/>
              <w:left w:val="single" w:color="000000" w:sz="4" w:space="0"/>
              <w:bottom w:val="single" w:color="000000" w:sz="4" w:space="0"/>
              <w:right w:val="single" w:color="000000" w:sz="4" w:space="0"/>
            </w:tcBorders>
          </w:tcPr>
          <w:p w14:paraId="17D46AEE">
            <w:pPr>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r>
      <w:tr w14:paraId="140D6015">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12F691D4">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1</w:t>
            </w:r>
          </w:p>
        </w:tc>
        <w:tc>
          <w:tcPr>
            <w:tcW w:w="3838" w:type="dxa"/>
            <w:tcBorders>
              <w:top w:val="single" w:color="000000" w:sz="4" w:space="0"/>
              <w:left w:val="single" w:color="000000" w:sz="4" w:space="0"/>
              <w:bottom w:val="single" w:color="000000" w:sz="4" w:space="0"/>
              <w:right w:val="single" w:color="000000" w:sz="4" w:space="0"/>
            </w:tcBorders>
            <w:vAlign w:val="center"/>
          </w:tcPr>
          <w:p w14:paraId="79698F04">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安全防护、文明施工措施费（按系数计算）</w:t>
            </w:r>
          </w:p>
        </w:tc>
        <w:tc>
          <w:tcPr>
            <w:tcW w:w="3674" w:type="dxa"/>
            <w:tcBorders>
              <w:top w:val="single" w:color="000000" w:sz="4" w:space="0"/>
              <w:left w:val="single" w:color="000000" w:sz="4" w:space="0"/>
              <w:bottom w:val="single" w:color="000000" w:sz="4" w:space="0"/>
              <w:right w:val="single" w:color="000000" w:sz="4" w:space="0"/>
            </w:tcBorders>
          </w:tcPr>
          <w:p w14:paraId="130CBB74">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5D10FDE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ascii="Times New Roman" w:hAnsi="Times New Roman" w:eastAsia="仿宋_GB2312"/>
                <w:color w:val="000000" w:themeColor="text1"/>
                <w:kern w:val="0"/>
                <w:szCs w:val="32"/>
                <w:u w:val="single"/>
                <w:lang w:bidi="ar"/>
                <w14:textFill>
                  <w14:solidFill>
                    <w14:schemeClr w14:val="tx1"/>
                  </w14:solidFill>
                </w14:textFill>
              </w:rPr>
              <w:t>☑</w:t>
            </w: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6AAEC0B2">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40A57EC2">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2</w:t>
            </w:r>
          </w:p>
        </w:tc>
        <w:tc>
          <w:tcPr>
            <w:tcW w:w="3838" w:type="dxa"/>
            <w:tcBorders>
              <w:top w:val="single" w:color="000000" w:sz="4" w:space="0"/>
              <w:left w:val="single" w:color="000000" w:sz="4" w:space="0"/>
              <w:bottom w:val="single" w:color="000000" w:sz="4" w:space="0"/>
              <w:right w:val="single" w:color="000000" w:sz="4" w:space="0"/>
            </w:tcBorders>
            <w:vAlign w:val="center"/>
          </w:tcPr>
          <w:p w14:paraId="521F493E">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安全防护、文明施工措施费（按子目计算）</w:t>
            </w:r>
          </w:p>
        </w:tc>
        <w:tc>
          <w:tcPr>
            <w:tcW w:w="3674" w:type="dxa"/>
            <w:tcBorders>
              <w:top w:val="single" w:color="000000" w:sz="4" w:space="0"/>
              <w:left w:val="single" w:color="000000" w:sz="4" w:space="0"/>
              <w:bottom w:val="single" w:color="000000" w:sz="4" w:space="0"/>
              <w:right w:val="single" w:color="000000" w:sz="4" w:space="0"/>
            </w:tcBorders>
          </w:tcPr>
          <w:p w14:paraId="613B8060">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4956740C">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ascii="Times New Roman" w:hAnsi="Times New Roman" w:eastAsia="仿宋_GB2312"/>
                <w:color w:val="000000" w:themeColor="text1"/>
                <w:kern w:val="0"/>
                <w:szCs w:val="32"/>
                <w:u w:val="single"/>
                <w:lang w:bidi="ar"/>
                <w14:textFill>
                  <w14:solidFill>
                    <w14:schemeClr w14:val="tx1"/>
                  </w14:solidFill>
                </w14:textFill>
              </w:rPr>
              <w:t>☑</w:t>
            </w: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54123A3E">
        <w:tblPrEx>
          <w:tblCellMar>
            <w:top w:w="0" w:type="dxa"/>
            <w:left w:w="108" w:type="dxa"/>
            <w:bottom w:w="0" w:type="dxa"/>
            <w:right w:w="108" w:type="dxa"/>
          </w:tblCellMar>
        </w:tblPrEx>
        <w:trPr>
          <w:trHeight w:val="449"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629AD365">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三</w:t>
            </w:r>
          </w:p>
        </w:tc>
        <w:tc>
          <w:tcPr>
            <w:tcW w:w="3838" w:type="dxa"/>
            <w:tcBorders>
              <w:top w:val="single" w:color="000000" w:sz="4" w:space="0"/>
              <w:left w:val="single" w:color="000000" w:sz="4" w:space="0"/>
              <w:bottom w:val="single" w:color="000000" w:sz="4" w:space="0"/>
              <w:right w:val="single" w:color="000000" w:sz="4" w:space="0"/>
            </w:tcBorders>
            <w:vAlign w:val="center"/>
          </w:tcPr>
          <w:p w14:paraId="5767918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其他措施项目费</w:t>
            </w:r>
          </w:p>
        </w:tc>
        <w:tc>
          <w:tcPr>
            <w:tcW w:w="3674" w:type="dxa"/>
            <w:tcBorders>
              <w:top w:val="single" w:color="000000" w:sz="4" w:space="0"/>
              <w:left w:val="single" w:color="000000" w:sz="4" w:space="0"/>
              <w:bottom w:val="single" w:color="000000" w:sz="4" w:space="0"/>
              <w:right w:val="single" w:color="000000" w:sz="4" w:space="0"/>
            </w:tcBorders>
          </w:tcPr>
          <w:p w14:paraId="12FF3F9B">
            <w:pPr>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r>
      <w:tr w14:paraId="751C28AC">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08927F09">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1</w:t>
            </w:r>
          </w:p>
        </w:tc>
        <w:tc>
          <w:tcPr>
            <w:tcW w:w="3838" w:type="dxa"/>
            <w:tcBorders>
              <w:top w:val="single" w:color="000000" w:sz="4" w:space="0"/>
              <w:left w:val="single" w:color="000000" w:sz="4" w:space="0"/>
              <w:bottom w:val="single" w:color="000000" w:sz="4" w:space="0"/>
              <w:right w:val="single" w:color="000000" w:sz="4" w:space="0"/>
            </w:tcBorders>
            <w:vAlign w:val="center"/>
          </w:tcPr>
          <w:p w14:paraId="5D296219">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电动吊篮</w:t>
            </w:r>
          </w:p>
        </w:tc>
        <w:tc>
          <w:tcPr>
            <w:tcW w:w="3674" w:type="dxa"/>
            <w:tcBorders>
              <w:top w:val="single" w:color="000000" w:sz="4" w:space="0"/>
              <w:left w:val="single" w:color="000000" w:sz="4" w:space="0"/>
              <w:bottom w:val="single" w:color="000000" w:sz="4" w:space="0"/>
              <w:right w:val="single" w:color="000000" w:sz="4" w:space="0"/>
            </w:tcBorders>
          </w:tcPr>
          <w:p w14:paraId="1C51F782">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09A396F3">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44CD7276">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002D64AE">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2</w:t>
            </w:r>
          </w:p>
        </w:tc>
        <w:tc>
          <w:tcPr>
            <w:tcW w:w="3838" w:type="dxa"/>
            <w:tcBorders>
              <w:top w:val="single" w:color="000000" w:sz="4" w:space="0"/>
              <w:left w:val="single" w:color="000000" w:sz="4" w:space="0"/>
              <w:bottom w:val="single" w:color="000000" w:sz="4" w:space="0"/>
              <w:right w:val="single" w:color="000000" w:sz="4" w:space="0"/>
            </w:tcBorders>
            <w:vAlign w:val="center"/>
          </w:tcPr>
          <w:p w14:paraId="043EDD42">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BIM技术应用</w:t>
            </w:r>
          </w:p>
        </w:tc>
        <w:tc>
          <w:tcPr>
            <w:tcW w:w="3674" w:type="dxa"/>
            <w:tcBorders>
              <w:top w:val="single" w:color="000000" w:sz="4" w:space="0"/>
              <w:left w:val="single" w:color="000000" w:sz="4" w:space="0"/>
              <w:bottom w:val="single" w:color="000000" w:sz="4" w:space="0"/>
              <w:right w:val="single" w:color="000000" w:sz="4" w:space="0"/>
            </w:tcBorders>
          </w:tcPr>
          <w:p w14:paraId="06BCFAB5">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5A1B60B6">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584542E1">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20955BB8">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3</w:t>
            </w:r>
          </w:p>
        </w:tc>
        <w:tc>
          <w:tcPr>
            <w:tcW w:w="3838" w:type="dxa"/>
            <w:tcBorders>
              <w:top w:val="single" w:color="000000" w:sz="4" w:space="0"/>
              <w:left w:val="single" w:color="000000" w:sz="4" w:space="0"/>
              <w:bottom w:val="single" w:color="000000" w:sz="4" w:space="0"/>
              <w:right w:val="single" w:color="000000" w:sz="4" w:space="0"/>
            </w:tcBorders>
            <w:noWrap/>
            <w:vAlign w:val="center"/>
          </w:tcPr>
          <w:p w14:paraId="2C7FC63B">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机械使用费</w:t>
            </w:r>
          </w:p>
        </w:tc>
        <w:tc>
          <w:tcPr>
            <w:tcW w:w="3674" w:type="dxa"/>
            <w:tcBorders>
              <w:top w:val="single" w:color="000000" w:sz="4" w:space="0"/>
              <w:left w:val="single" w:color="000000" w:sz="4" w:space="0"/>
              <w:bottom w:val="single" w:color="000000" w:sz="4" w:space="0"/>
              <w:right w:val="single" w:color="000000" w:sz="4" w:space="0"/>
            </w:tcBorders>
          </w:tcPr>
          <w:p w14:paraId="7D8C69A0">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4F35F20A">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556C8C44">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5D4F2DFB">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4</w:t>
            </w:r>
          </w:p>
        </w:tc>
        <w:tc>
          <w:tcPr>
            <w:tcW w:w="3838" w:type="dxa"/>
            <w:tcBorders>
              <w:top w:val="single" w:color="000000" w:sz="4" w:space="0"/>
              <w:left w:val="single" w:color="000000" w:sz="4" w:space="0"/>
              <w:bottom w:val="single" w:color="000000" w:sz="4" w:space="0"/>
              <w:right w:val="single" w:color="000000" w:sz="4" w:space="0"/>
            </w:tcBorders>
            <w:noWrap/>
            <w:vAlign w:val="center"/>
          </w:tcPr>
          <w:p w14:paraId="0A977879">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高层施工增加</w:t>
            </w:r>
          </w:p>
        </w:tc>
        <w:tc>
          <w:tcPr>
            <w:tcW w:w="3674" w:type="dxa"/>
            <w:tcBorders>
              <w:top w:val="single" w:color="000000" w:sz="4" w:space="0"/>
              <w:left w:val="single" w:color="000000" w:sz="4" w:space="0"/>
              <w:bottom w:val="single" w:color="000000" w:sz="4" w:space="0"/>
              <w:right w:val="single" w:color="000000" w:sz="4" w:space="0"/>
            </w:tcBorders>
          </w:tcPr>
          <w:p w14:paraId="7FBA8235">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44F68E4C">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535B6B0F">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0CA2B8AC">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5</w:t>
            </w:r>
          </w:p>
        </w:tc>
        <w:tc>
          <w:tcPr>
            <w:tcW w:w="3838" w:type="dxa"/>
            <w:tcBorders>
              <w:top w:val="single" w:color="000000" w:sz="4" w:space="0"/>
              <w:left w:val="single" w:color="000000" w:sz="4" w:space="0"/>
              <w:bottom w:val="single" w:color="000000" w:sz="4" w:space="0"/>
              <w:right w:val="single" w:color="000000" w:sz="4" w:space="0"/>
            </w:tcBorders>
            <w:noWrap/>
            <w:vAlign w:val="center"/>
          </w:tcPr>
          <w:p w14:paraId="294AC254">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脚手架搭拆费</w:t>
            </w:r>
          </w:p>
        </w:tc>
        <w:tc>
          <w:tcPr>
            <w:tcW w:w="3674" w:type="dxa"/>
            <w:tcBorders>
              <w:top w:val="single" w:color="000000" w:sz="4" w:space="0"/>
              <w:left w:val="single" w:color="000000" w:sz="4" w:space="0"/>
              <w:bottom w:val="single" w:color="000000" w:sz="4" w:space="0"/>
              <w:right w:val="single" w:color="000000" w:sz="4" w:space="0"/>
            </w:tcBorders>
          </w:tcPr>
          <w:p w14:paraId="15614421">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49511705">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341B8F5B">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tcPr>
          <w:p w14:paraId="0F97BCB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四</w:t>
            </w:r>
          </w:p>
        </w:tc>
        <w:tc>
          <w:tcPr>
            <w:tcW w:w="3838" w:type="dxa"/>
            <w:tcBorders>
              <w:top w:val="single" w:color="000000" w:sz="4" w:space="0"/>
              <w:left w:val="single" w:color="000000" w:sz="4" w:space="0"/>
              <w:bottom w:val="single" w:color="000000" w:sz="4" w:space="0"/>
              <w:right w:val="single" w:color="000000" w:sz="4" w:space="0"/>
            </w:tcBorders>
            <w:noWrap/>
            <w:vAlign w:val="center"/>
          </w:tcPr>
          <w:p w14:paraId="08BAF51A">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其他项目费</w:t>
            </w:r>
          </w:p>
        </w:tc>
        <w:tc>
          <w:tcPr>
            <w:tcW w:w="3674" w:type="dxa"/>
            <w:tcBorders>
              <w:top w:val="single" w:color="000000" w:sz="4" w:space="0"/>
              <w:left w:val="single" w:color="000000" w:sz="4" w:space="0"/>
              <w:bottom w:val="single" w:color="000000" w:sz="4" w:space="0"/>
              <w:right w:val="single" w:color="000000" w:sz="4" w:space="0"/>
            </w:tcBorders>
          </w:tcPr>
          <w:p w14:paraId="20414B85">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r>
      <w:tr w14:paraId="7A56F233">
        <w:tblPrEx>
          <w:tblCellMar>
            <w:top w:w="0" w:type="dxa"/>
            <w:left w:w="108" w:type="dxa"/>
            <w:bottom w:w="0" w:type="dxa"/>
            <w:right w:w="108" w:type="dxa"/>
          </w:tblCellMar>
        </w:tblPrEx>
        <w:trPr>
          <w:trHeight w:val="1039" w:hRule="atLeast"/>
        </w:trPr>
        <w:tc>
          <w:tcPr>
            <w:tcW w:w="846" w:type="dxa"/>
            <w:tcBorders>
              <w:top w:val="single" w:color="000000" w:sz="4" w:space="0"/>
              <w:left w:val="single" w:color="000000" w:sz="4" w:space="0"/>
              <w:bottom w:val="single" w:color="000000" w:sz="4" w:space="0"/>
              <w:right w:val="single" w:color="000000" w:sz="4" w:space="0"/>
            </w:tcBorders>
          </w:tcPr>
          <w:p w14:paraId="1E40C59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1</w:t>
            </w:r>
          </w:p>
        </w:tc>
        <w:tc>
          <w:tcPr>
            <w:tcW w:w="3838" w:type="dxa"/>
            <w:tcBorders>
              <w:top w:val="single" w:color="000000" w:sz="4" w:space="0"/>
              <w:left w:val="single" w:color="000000" w:sz="4" w:space="0"/>
              <w:bottom w:val="single" w:color="000000" w:sz="4" w:space="0"/>
              <w:right w:val="single" w:color="000000" w:sz="4" w:space="0"/>
            </w:tcBorders>
          </w:tcPr>
          <w:p w14:paraId="3B9E973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预算包干费</w:t>
            </w:r>
          </w:p>
        </w:tc>
        <w:tc>
          <w:tcPr>
            <w:tcW w:w="3674" w:type="dxa"/>
            <w:tcBorders>
              <w:top w:val="single" w:color="000000" w:sz="4" w:space="0"/>
              <w:left w:val="single" w:color="000000" w:sz="4" w:space="0"/>
              <w:bottom w:val="single" w:color="000000" w:sz="4" w:space="0"/>
              <w:right w:val="single" w:color="000000" w:sz="4" w:space="0"/>
            </w:tcBorders>
          </w:tcPr>
          <w:p w14:paraId="7586BF35">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60B54DFD">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bl>
    <w:p w14:paraId="5524D30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（3）综合单价包含的风险范围：详见第四部分补充条款。</w:t>
      </w:r>
    </w:p>
    <w:p w14:paraId="302CE0D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（4）风险费用的计算方法：详见第四部分补充条款。</w:t>
      </w:r>
    </w:p>
    <w:p w14:paraId="4DE47C5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（5）风险范围以外合同价格的调整方法：</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7CA5E12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（6）在项目实施期间，招标文件工程量清单漏项的项目或工程变更的项目，经发包人审批确认后，按下列办法进行工程量及综合单价的计算：</w:t>
      </w:r>
    </w:p>
    <w:p w14:paraId="49AE0D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①工程量按实结算；</w:t>
      </w:r>
    </w:p>
    <w:p w14:paraId="56060F1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②综合单价按专用条款第15.2条确定。</w:t>
      </w:r>
    </w:p>
    <w:p w14:paraId="017169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合同清单外新增项目综合单价的确定方式：招标文件及本合同另有规定的除外，工程量按实计算，工程结算价最终以发包人审定为准。如本项目最终有审计部门审计的，分包人、承包人有义务参与审计的相关配合工作。</w:t>
      </w:r>
    </w:p>
    <w:p w14:paraId="12F26B2E">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总承包服务费</w:t>
      </w:r>
    </w:p>
    <w:p w14:paraId="0E76746B">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17.</w:t>
      </w:r>
      <w:r>
        <w:rPr>
          <w:rFonts w:ascii="Times New Roman" w:hAnsi="Times New Roman" w:eastAsia="仿宋_GB2312"/>
          <w:color w:val="000000" w:themeColor="text1"/>
          <w:kern w:val="0"/>
          <w:szCs w:val="32"/>
          <w14:textFill>
            <w14:solidFill>
              <w14:schemeClr w14:val="tx1"/>
            </w14:solidFill>
          </w14:textFill>
        </w:rPr>
        <w:t>3</w:t>
      </w:r>
      <w:r>
        <w:rPr>
          <w:rFonts w:hint="eastAsia" w:ascii="Times New Roman" w:hAnsi="Times New Roman" w:eastAsia="仿宋_GB2312"/>
          <w:color w:val="000000" w:themeColor="text1"/>
          <w:kern w:val="0"/>
          <w:szCs w:val="32"/>
          <w14:textFill>
            <w14:solidFill>
              <w14:schemeClr w14:val="tx1"/>
            </w14:solidFill>
          </w14:textFill>
        </w:rPr>
        <w:t>.1总承包服务费包括总承包管理费和总承包配合费。</w:t>
      </w:r>
    </w:p>
    <w:p w14:paraId="084422AD">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17.3.2</w:t>
      </w:r>
      <w:r>
        <w:rPr>
          <w:rFonts w:hint="eastAsia" w:ascii="Times New Roman" w:hAnsi="Times New Roman" w:eastAsia="仿宋_GB2312"/>
          <w:color w:val="000000" w:themeColor="text1"/>
          <w:kern w:val="0"/>
          <w:szCs w:val="32"/>
          <w14:textFill>
            <w14:solidFill>
              <w14:schemeClr w14:val="tx1"/>
            </w14:solidFill>
          </w14:textFill>
        </w:rPr>
        <w:t>总承包管理费已由发包人支付给承包人，承包人不得向专业工程承包人再收取任何管理费用。</w:t>
      </w:r>
    </w:p>
    <w:p w14:paraId="0B3A456E">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17.3.4</w:t>
      </w:r>
      <w:r>
        <w:rPr>
          <w:rFonts w:hint="eastAsia" w:ascii="Times New Roman" w:hAnsi="Times New Roman" w:eastAsia="仿宋_GB2312"/>
          <w:color w:val="000000" w:themeColor="text1"/>
          <w:kern w:val="0"/>
          <w:szCs w:val="32"/>
          <w14:textFill>
            <w14:solidFill>
              <w14:schemeClr w14:val="tx1"/>
            </w14:solidFill>
          </w14:textFill>
        </w:rPr>
        <w:t>总承包配合费包括但不限于：承包人为分包人提供生产、生活用设施搭建场地费；提供现有运输道路和通道使用费；提供施工用水、用电的接驳点的费用；现提供现有公共临时设施使用费；提供现有水平、垂直运输设施使用费；提供现有外排栅、外脚手架使用费以及其他配合服务费。</w:t>
      </w:r>
    </w:p>
    <w:p w14:paraId="097C1E6A">
      <w:pPr>
        <w:ind w:firstLine="480" w:firstLineChars="200"/>
        <w:rPr>
          <w:rFonts w:ascii="Times New Roman" w:hAnsi="Times New Roman" w:eastAsia="仿宋_GB2312"/>
          <w:kern w:val="0"/>
          <w:szCs w:val="32"/>
        </w:rPr>
      </w:pPr>
      <w:r>
        <w:rPr>
          <w:rFonts w:ascii="Times New Roman" w:hAnsi="Times New Roman" w:eastAsia="仿宋_GB2312"/>
          <w:color w:val="000000" w:themeColor="text1"/>
          <w:kern w:val="0"/>
          <w:szCs w:val="32"/>
          <w14:textFill>
            <w14:solidFill>
              <w14:schemeClr w14:val="tx1"/>
            </w14:solidFill>
          </w14:textFill>
        </w:rPr>
        <w:t>17.3.5</w:t>
      </w:r>
      <w:r>
        <w:rPr>
          <w:rFonts w:hint="eastAsia" w:ascii="Times New Roman" w:hAnsi="Times New Roman" w:eastAsia="仿宋_GB2312"/>
          <w:color w:val="000000" w:themeColor="text1"/>
          <w:kern w:val="0"/>
          <w:szCs w:val="32"/>
          <w14:textFill>
            <w14:solidFill>
              <w14:schemeClr w14:val="tx1"/>
            </w14:solidFill>
          </w14:textFill>
        </w:rPr>
        <w:t>总承包配合费由分包人直接支付给承包人（进度款中平均分二次抵扣），发包人不再另行支付。总承包配合费的取费基数为本工程签约合同价（扣除暂列金额、奖励金额以及合同中约定应扣除的其他费用），并扣除其中单套（台）设计单价大于5000元的设备价款后的余额乘以合同约定的费率（总承包配合费按1.5%</w:t>
      </w:r>
      <w:r>
        <w:rPr>
          <w:rFonts w:hint="eastAsia" w:ascii="Times New Roman" w:hAnsi="Times New Roman" w:eastAsia="仿宋_GB2312"/>
          <w:kern w:val="0"/>
          <w:szCs w:val="32"/>
        </w:rPr>
        <w:t>计算）。分包人在投标报价中综合考虑。</w:t>
      </w:r>
    </w:p>
    <w:p w14:paraId="5A5598CD">
      <w:pPr>
        <w:pStyle w:val="81"/>
        <w:ind w:firstLine="480"/>
        <w:rPr>
          <w:color w:val="auto"/>
        </w:rPr>
      </w:pPr>
      <w:bookmarkStart w:id="796" w:name="_Toc44492607"/>
      <w:bookmarkStart w:id="797" w:name="_Toc3610"/>
      <w:bookmarkStart w:id="798" w:name="_Toc21731"/>
      <w:r>
        <w:rPr>
          <w:rFonts w:hint="eastAsia"/>
          <w:color w:val="auto"/>
        </w:rPr>
        <w:t>17.4.</w:t>
      </w:r>
      <w:r>
        <w:rPr>
          <w:rFonts w:hint="eastAsia"/>
          <w:color w:val="auto"/>
        </w:rPr>
        <w:tab/>
      </w:r>
      <w:r>
        <w:rPr>
          <w:rFonts w:hint="eastAsia"/>
          <w:color w:val="auto"/>
        </w:rPr>
        <w:t>预付款</w:t>
      </w:r>
      <w:bookmarkEnd w:id="796"/>
      <w:bookmarkEnd w:id="797"/>
      <w:bookmarkEnd w:id="798"/>
    </w:p>
    <w:p w14:paraId="27787FC2">
      <w:pPr>
        <w:adjustRightInd w:val="0"/>
        <w:snapToGrid w:val="0"/>
        <w:ind w:firstLine="480" w:firstLineChars="200"/>
        <w:jc w:val="left"/>
        <w:outlineLvl w:val="2"/>
        <w:rPr>
          <w:rFonts w:ascii="Times New Roman" w:hAnsi="Times New Roman" w:eastAsia="仿宋_GB2312"/>
          <w:kern w:val="0"/>
          <w:szCs w:val="32"/>
          <w:u w:val="single"/>
        </w:rPr>
      </w:pPr>
      <w:r>
        <w:rPr>
          <w:rFonts w:hint="eastAsia" w:ascii="Times New Roman" w:hAnsi="Times New Roman" w:eastAsia="仿宋_GB2312"/>
          <w:kern w:val="0"/>
          <w:szCs w:val="32"/>
          <w:u w:val="single"/>
        </w:rPr>
        <w:t>17.4.1预付工程款金额：</w:t>
      </w:r>
    </w:p>
    <w:p w14:paraId="4D0CF1CD">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①预付款为签约合同价（扣除暂列金、其他项目费及奖励费用）的10%（含人工费预付款（签约合同价的2%），绿色施工安全防护措施费的50%）。</w:t>
      </w:r>
    </w:p>
    <w:p w14:paraId="61E1F550">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其余绿色施工安全防护措施费的50%按照施工进度以及发包人、监理人、承包人共同核定的安全措施落实情况，与工程进度款同期支付。</w:t>
      </w:r>
    </w:p>
    <w:p w14:paraId="3B5597B2">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②工程预付款扣回的起扣点为在累计进度款支付金额达到合同价款（扣除暂列金额、其他项目费及奖励费用）的25%之后，分两次进度款各扣回50%。绿色施工安全防护措施费不扣回。</w:t>
      </w:r>
    </w:p>
    <w:p w14:paraId="492832B5">
      <w:pPr>
        <w:pStyle w:val="81"/>
        <w:ind w:firstLine="480"/>
        <w:rPr>
          <w:color w:val="auto"/>
        </w:rPr>
      </w:pPr>
      <w:bookmarkStart w:id="799" w:name="_Toc30989"/>
      <w:bookmarkStart w:id="800" w:name="_Toc44492608"/>
      <w:bookmarkStart w:id="801" w:name="_Toc26072"/>
      <w:r>
        <w:rPr>
          <w:rFonts w:hint="eastAsia"/>
          <w:color w:val="auto"/>
        </w:rPr>
        <w:t>17.5.</w:t>
      </w:r>
      <w:r>
        <w:rPr>
          <w:rFonts w:hint="eastAsia"/>
          <w:color w:val="auto"/>
        </w:rPr>
        <w:tab/>
      </w:r>
      <w:r>
        <w:rPr>
          <w:rFonts w:hint="eastAsia"/>
          <w:color w:val="auto"/>
        </w:rPr>
        <w:t>工程进度付款</w:t>
      </w:r>
      <w:bookmarkEnd w:id="799"/>
      <w:bookmarkEnd w:id="800"/>
      <w:bookmarkEnd w:id="801"/>
    </w:p>
    <w:p w14:paraId="18A90F5F">
      <w:pPr>
        <w:pStyle w:val="56"/>
        <w:ind w:firstLine="480"/>
        <w:rPr>
          <w:color w:val="auto"/>
        </w:rPr>
      </w:pPr>
      <w:r>
        <w:rPr>
          <w:rFonts w:hint="eastAsia"/>
          <w:color w:val="auto"/>
        </w:rPr>
        <w:t>17.5.2. 工程进度款支付</w:t>
      </w:r>
    </w:p>
    <w:p w14:paraId="5B90DA3A">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1）本工程进度款按月支付。本工程每月支付金额为当月形象进度产值的80%，当支付金额至签约合同价的80%时停止支付进度款。当月产值未超过50万元的按当月实际完成并经发包人审核确认的实物量的20%（用于支付工人工资）。</w:t>
      </w:r>
    </w:p>
    <w:p w14:paraId="5AC0F996">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本合同条款中有关工人工资的约定与穗建筑【2020】431号不一致的，以穗建筑【2020】431号文为准，具体实施细节由发包人、承包人及分包人后续另行协商约定。如后续政府颁发有关工人工资的新要求，则以政府最新要求为准。</w:t>
      </w:r>
    </w:p>
    <w:p w14:paraId="5087C753">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（2）工程变更增加造价按照发包人审批确认金额的60%随进度款支付。</w:t>
      </w:r>
    </w:p>
    <w:p w14:paraId="1B3A9BC3">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（3）幕墙竣工验收合格后，支付至签约合同价或实际完成实物量（二者之低价者）的83%。</w:t>
      </w:r>
    </w:p>
    <w:p w14:paraId="42665530">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（4）工程竣工联合验收完成，支付至签约合同价或实际完成实物量（二者之低价者）的85%；</w:t>
      </w:r>
    </w:p>
    <w:p w14:paraId="1AFB5DEC">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（5）完成物业移交（实施范围内），支付至签约合同价或实际完成实物量（二者之低价者）的88%。</w:t>
      </w:r>
    </w:p>
    <w:p w14:paraId="530F7F46">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（6）承包人完成档案移交，并按规定报送结算资料且经发包人审核完成后支付至发包人审核结算价的90%。</w:t>
      </w:r>
    </w:p>
    <w:p w14:paraId="02F3C400">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（7）工程竣工结算经造价管理部门（或审计机构）或建设单位指定的审核单位审定后结合履约评价结果等级支付结算价余款（扣除质保金）。</w:t>
      </w:r>
    </w:p>
    <w:p w14:paraId="606E1546">
      <w:pPr>
        <w:pStyle w:val="56"/>
        <w:ind w:firstLine="480"/>
        <w:rPr>
          <w:color w:val="auto"/>
          <w:u w:val="single"/>
        </w:rPr>
      </w:pPr>
      <w:r>
        <w:rPr>
          <w:rFonts w:hint="eastAsia"/>
          <w:color w:val="auto"/>
          <w:u w:val="single"/>
        </w:rPr>
        <w:t>（8）结算款的3%作为质量保修金，待缺陷责任期满后，按《工程质量保修书》约定进行支付。若提供质保金保函，则在支付结算价余款时同期等额支付质保金。</w:t>
      </w:r>
    </w:p>
    <w:p w14:paraId="2F6566C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17.5.9.增值税发票的要求：</w:t>
      </w:r>
    </w:p>
    <w:p w14:paraId="3CCF7D3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支付预付款及支付工程进度款的最迟7个工作日前，分包人应向承包人开具满足承包人及主管税务机关要求且与收款金额至少一致的合法增值税专用发票，承包人应根据总承包合同的约定，向发包人开具满足发包人及主管税务机关要求且与收款金额一致的合法增值税专用发票；在支付工程结算款时，分包人应向承包人开具累计金额为竣工结算总价（含税价）100%的合法增值税专用发票，承包人向发包人开具竣工结算总价（含税价）100%的合法增值税专用发票。</w:t>
      </w:r>
    </w:p>
    <w:p w14:paraId="6E861B4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发票由分包人按承包人要求提供，发票未足额提供给承包人前或不按承包人的要求提供的，承包人有权拒付工程款，承包人不因此承担违约责任。上述增值税专用发票必须符合国家《增值税专用发票使用规定》的相关要求，如分包人开具的增值税专用发票是无效或虚假发票，或者发生延迟开具增值税专用发票的情况，分包人应负责赔偿承包人因为分包人开具虚假发票或延迟开具发票所造成的一切损失或损害（包括但不限于税金、附加费、罚金、滞纳金等）。</w:t>
      </w:r>
    </w:p>
    <w:p w14:paraId="5B346A8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开具的增值税专用发票（发票联及抵扣联）在送达承包人前如发生丢失、灭失或被盗等情况，导致相应票据未顺利送达承包人，或送达并经承包人签收后，发生丢失、灭失或被盗等情况的，分包人应向承包人提供丢失发票的记账联复印件（加盖发票专用章）等税收法规规定及主管税务机关要求提供的相关资料，并确保承包人顺利抵扣该增值税专用发票，否则，承包人因此遭受的经济损失由分包人负责赔偿。</w:t>
      </w:r>
    </w:p>
    <w:p w14:paraId="7DEBAEF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若遇政策性调整增值税税率的，分包人提供增值税专用发票的增值税税率按当期国家税务总局政策性调整后的增值税税率执行；承包人按当次应付金额对应的不含增值税价款及调整后的增值税税率计算的增值税税费进行支付。</w:t>
      </w:r>
    </w:p>
    <w:p w14:paraId="195B0DF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17.5.10.进度款支付要求：</w:t>
      </w:r>
    </w:p>
    <w:p w14:paraId="633EB2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工程款的计量及申请统一纳入承包人的工程款报审中，每期工程款由工人工资款项和其他工程款项两部分组成；工人工资款项由建设单位支付给承包人工人工资账户，再由承包人支付给分包人；其他工程款项建设单位支付至承包人的账户，再由承包人支付给分包人。</w:t>
      </w:r>
    </w:p>
    <w:p w14:paraId="3A0192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2）承包人收到发包人支付的工程款（含工人工资款）后，承包人须在</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个日历天内将款项支付给相应的分包人。承包人未按上述时间要求支付分包工程款的，视为一次违约且按总承包合同约定向发包人支付违约金。</w:t>
      </w:r>
    </w:p>
    <w:p w14:paraId="7C6BB0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3）因承包人原因未按本合同约定支付工程款的，分包人应自承包人应支付期限届满之日起第20天后向承包人发出要求付款的通知，承包人在收到付款通知后</w:t>
      </w:r>
      <w:r>
        <w:rPr>
          <w:color w:val="000000" w:themeColor="text1"/>
          <w14:textFill>
            <w14:solidFill>
              <w14:schemeClr w14:val="tx1"/>
            </w14:solidFill>
          </w14:textFill>
        </w:rPr>
        <w:t>30日历</w:t>
      </w:r>
      <w:r>
        <w:rPr>
          <w:rFonts w:hint="eastAsia"/>
          <w:color w:val="000000" w:themeColor="text1"/>
          <w14:textFill>
            <w14:solidFill>
              <w14:schemeClr w14:val="tx1"/>
            </w14:solidFill>
          </w14:textFill>
        </w:rPr>
        <w:t>天内仍未按要求支付的，分包人有权按照中国人民银行公布的同期一年期存款基准利率向承包人要求支付利息（该利息的计算基数为应付未付工程款）。计息时间从款项应支付期限届满之后第31日算起计至应付未付款实际支付之日止。</w:t>
      </w:r>
    </w:p>
    <w:p w14:paraId="7303B4AC">
      <w:pPr>
        <w:pStyle w:val="81"/>
        <w:ind w:firstLine="480"/>
        <w:rPr>
          <w:color w:val="000000" w:themeColor="text1"/>
          <w14:textFill>
            <w14:solidFill>
              <w14:schemeClr w14:val="tx1"/>
            </w14:solidFill>
          </w14:textFill>
        </w:rPr>
      </w:pPr>
      <w:bookmarkStart w:id="802" w:name="_Toc44492609"/>
      <w:bookmarkStart w:id="803" w:name="_Toc18043"/>
      <w:bookmarkStart w:id="804" w:name="_Toc24990"/>
      <w:r>
        <w:rPr>
          <w:rFonts w:hint="eastAsia"/>
          <w:color w:val="000000" w:themeColor="text1"/>
          <w14:textFill>
            <w14:solidFill>
              <w14:schemeClr w14:val="tx1"/>
            </w14:solidFill>
          </w14:textFill>
        </w:rPr>
        <w:t>17.6.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质量保证金</w:t>
      </w:r>
      <w:bookmarkEnd w:id="802"/>
      <w:bookmarkEnd w:id="803"/>
      <w:bookmarkEnd w:id="804"/>
    </w:p>
    <w:p w14:paraId="4A18AA6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17.6.1. 质量保证金的预留与退还</w:t>
      </w:r>
    </w:p>
    <w:p w14:paraId="4618B4A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 缺陷责任期满、分包人已全部完成缺陷修复责任时，分包人向承包人申请到期应返还分包人剩余的质量保证金金额，承包人应在 30天内会同分包人按照合同、保修书约定的内容和相关法律法规规章核实分包人是否完成缺陷修复、整改责任。如无异议，承包人应当在核实后将剩余保证金返还分包人。质量保证金的返还具体详见合同附件6《工程质量保修书》。</w:t>
      </w:r>
    </w:p>
    <w:p w14:paraId="6DCFC93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 质量保证金不计利息。</w:t>
      </w:r>
    </w:p>
    <w:p w14:paraId="7E165E3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承包人向分包人支付质量保证金余额前，分包人应承担所有缺陷责任导致的扣款，承包人凭扣款收据执行质量保证金扣款，否则，承包人有权拒付质量保证金余额，承包人不因此承担违约责任。  </w:t>
      </w:r>
    </w:p>
    <w:p w14:paraId="52B6279F">
      <w:pPr>
        <w:pStyle w:val="81"/>
        <w:ind w:firstLine="480"/>
        <w:rPr>
          <w:color w:val="000000" w:themeColor="text1"/>
          <w14:textFill>
            <w14:solidFill>
              <w14:schemeClr w14:val="tx1"/>
            </w14:solidFill>
          </w14:textFill>
        </w:rPr>
      </w:pPr>
      <w:bookmarkStart w:id="805" w:name="_Toc44492610"/>
      <w:bookmarkStart w:id="806" w:name="_Toc27342"/>
      <w:bookmarkStart w:id="807" w:name="_Toc17933"/>
      <w:r>
        <w:rPr>
          <w:rFonts w:hint="eastAsia"/>
          <w:color w:val="000000" w:themeColor="text1"/>
          <w14:textFill>
            <w14:solidFill>
              <w14:schemeClr w14:val="tx1"/>
            </w14:solidFill>
          </w14:textFill>
        </w:rPr>
        <w:t>17.7.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竣工结算</w:t>
      </w:r>
      <w:bookmarkEnd w:id="805"/>
      <w:bookmarkEnd w:id="806"/>
      <w:bookmarkEnd w:id="807"/>
    </w:p>
    <w:p w14:paraId="689A5B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17.7.1 结算书及相关资料约定如下：</w:t>
      </w:r>
    </w:p>
    <w:p w14:paraId="32D9EB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分包人编制的结算书（包括结算资料目录、编制说明、结算金额与合同金额对比表、指标分析表及与结算相关的计价文件依据等，结算书内容须列明协议书约定的合同暂定总价、每项变更的价款及暂估价的处理，分包人并须提供前述价款的数量、单价及其组成及其他一切相关文件）、工程量计算底稿； </w:t>
      </w:r>
    </w:p>
    <w:p w14:paraId="713133D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2）合同文件；</w:t>
      </w:r>
    </w:p>
    <w:p w14:paraId="78C48D8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3）开工报告；</w:t>
      </w:r>
    </w:p>
    <w:p w14:paraId="7B17C13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4）开工与竣工报告、竣工验收记录；</w:t>
      </w:r>
    </w:p>
    <w:p w14:paraId="4AB1B54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5）按规定签字认可的施工图、竣工图纸、设计变更和附图；</w:t>
      </w:r>
    </w:p>
    <w:p w14:paraId="44AB63B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6）经审定的施工组织设计、施工方案或专项施工方案；</w:t>
      </w:r>
    </w:p>
    <w:p w14:paraId="564443D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7）有效索赔相关资料；</w:t>
      </w:r>
    </w:p>
    <w:p w14:paraId="555A9CC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 经审核的认质认价资料（需附明细汇总表）；</w:t>
      </w:r>
    </w:p>
    <w:p w14:paraId="6BA6310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9）甲供材料通知（含材料清单等）；</w:t>
      </w:r>
    </w:p>
    <w:p w14:paraId="242F5D5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10）甲控品牌进场使用的佐证资料；</w:t>
      </w:r>
    </w:p>
    <w:p w14:paraId="404A8509">
      <w:pPr>
        <w:autoSpaceDE w:val="0"/>
        <w:autoSpaceDN w:val="0"/>
        <w:adjustRightInd w:val="0"/>
        <w:ind w:firstLine="48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11）合同履行期间分包人的违约情况说明（如有）及分包人相关支持文件；</w:t>
      </w:r>
    </w:p>
    <w:p w14:paraId="2FC8217B">
      <w:pPr>
        <w:autoSpaceDE w:val="0"/>
        <w:autoSpaceDN w:val="0"/>
        <w:adjustRightInd w:val="0"/>
        <w:ind w:firstLine="48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12）结算资料目录应将整套报送结算资料按顺序编写页码进行填写、整理，以便双方查阅、核对；</w:t>
      </w:r>
    </w:p>
    <w:p w14:paraId="5A37DCFF">
      <w:pPr>
        <w:autoSpaceDE w:val="0"/>
        <w:autoSpaceDN w:val="0"/>
        <w:adjustRightInd w:val="0"/>
        <w:ind w:firstLine="48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13）纸质版结算资料一式5份，电子版2份，其中至少有一套纸质版结算资料原件。</w:t>
      </w:r>
    </w:p>
    <w:p w14:paraId="3F73F6F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14）未经发包人确认的本合同补充协议、变更均不作为结算依据。</w:t>
      </w:r>
    </w:p>
    <w:p w14:paraId="013E3A47">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1</w:t>
      </w:r>
      <w:r>
        <w:rPr>
          <w:rFonts w:ascii="Times New Roman" w:hAnsi="Times New Roman" w:eastAsia="仿宋_GB2312"/>
          <w:color w:val="000000" w:themeColor="text1"/>
          <w:kern w:val="0"/>
          <w:szCs w:val="32"/>
          <w14:textFill>
            <w14:solidFill>
              <w14:schemeClr w14:val="tx1"/>
            </w14:solidFill>
          </w14:textFill>
        </w:rPr>
        <w:t>7.7.2 承包人与发包人结算要求</w:t>
      </w:r>
      <w:r>
        <w:rPr>
          <w:rFonts w:hint="eastAsia" w:ascii="Times New Roman" w:hAnsi="Times New Roman" w:eastAsia="仿宋_GB2312"/>
          <w:color w:val="000000" w:themeColor="text1"/>
          <w:kern w:val="0"/>
          <w:szCs w:val="32"/>
          <w14:textFill>
            <w14:solidFill>
              <w14:schemeClr w14:val="tx1"/>
            </w14:solidFill>
          </w14:textFill>
        </w:rPr>
        <w:t>按发包人最新版结算管理规定执行，承包人按发包人与承包人结算成果与分包人进行结算。</w:t>
      </w:r>
    </w:p>
    <w:p w14:paraId="66AE7FE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分包人未能及时办理竣工结算，导致发包人出现农民工讨薪、恶意上访等群体性事件，分包人将承担全部法律及经济责任。同时，若分包人未在合同约定时间内提交竣工结算资料，经承包人催办后仍逾期未能提交，承包人将出具竣工结算审核报告，并视同分包人同意该审核报告内容，由此造成的一切后果均由分包人承担。</w:t>
      </w:r>
    </w:p>
    <w:p w14:paraId="788FDF2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17.7.7 对于竣工结算的其他约定：</w:t>
      </w:r>
    </w:p>
    <w:p w14:paraId="66C17B8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在承包人与分包人就结算金额达成一致或生效裁判文书确定前，承包人对争议部分的支付义务不能确定，因此也无支付义务。只有在承包人与分包人就结算金额达成一致或生效裁判文书确定承包人的支付义务后，承包人才有按照双方达成的一致或生效裁判文书支付结算款的义务，并在收到发包人结算款后，未按双方达成的一致或生效裁判文书确定的支付时间支付结算款时，才开始承担逾期支付的违约金或承担其他违约责任。</w:t>
      </w:r>
    </w:p>
    <w:p w14:paraId="771AE88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2）凡是涉及到工程造价增减的设计变更均必须有发包人签字并盖章方为有效。</w:t>
      </w:r>
    </w:p>
    <w:p w14:paraId="2342F29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3）设计变更按照相应规定执行。</w:t>
      </w:r>
    </w:p>
    <w:p w14:paraId="5954B008">
      <w:pPr>
        <w:pStyle w:val="56"/>
        <w:ind w:firstLine="324"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 分包人违约金、水电费、赔偿金等相应扣款项，应扣未扣金额由承包人在应付结算价款中扣除。承包人凭收款收据及其他资料进行上述扣款。扣除部分不影响分包人应向承包人开具的发票数额。</w:t>
      </w:r>
    </w:p>
    <w:p w14:paraId="7E14162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5）按国家规定由分包人交纳的各种税收、劳动保险费及其他费用已包含在本工程造价内，由分包人负责向税收等部门交纳。</w:t>
      </w:r>
    </w:p>
    <w:p w14:paraId="7132BBE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）本工程竣工结算方式（适用本合同的竣工结算方式为以下方框内已勾选方式，即</w:t>
      </w: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）为:</w:t>
      </w:r>
    </w:p>
    <w:p w14:paraId="077FC347">
      <w:pPr>
        <w:pStyle w:val="5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方式一（适用于模拟清单招标固定单价计价模式）：</w:t>
      </w:r>
    </w:p>
    <w:p w14:paraId="2B52E3B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当重计量阶段已通过补充协议转固定总价合同时，竣工结算=补充协议约定的固定合同总价+设计变更+签证+索赔+其他；当重计量阶段尚不具备通过补充协议转固定总价合同的，竣工结算=竣工图（含设计变更）+签证+索赔+其他。</w:t>
      </w:r>
    </w:p>
    <w:p w14:paraId="4FAB6FB4">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方式二（适用于施工图清单招标固定单价计价模式）：</w:t>
      </w:r>
    </w:p>
    <w:p w14:paraId="69442628">
      <w:pPr>
        <w:pStyle w:val="56"/>
        <w:ind w:firstLine="480"/>
        <w:rPr>
          <w:rStyle w:val="49"/>
          <w:color w:val="auto"/>
          <w:kern w:val="2"/>
        </w:rPr>
      </w:pPr>
      <w:r>
        <w:rPr>
          <w:rFonts w:hint="eastAsia"/>
          <w:color w:val="000000" w:themeColor="text1"/>
          <w14:textFill>
            <w14:solidFill>
              <w14:schemeClr w14:val="tx1"/>
            </w14:solidFill>
          </w14:textFill>
        </w:rPr>
        <w:t>竣工结算=竣工图（含设计变更）+签证+索赔+其他；当施工过程中设计变更实际发生较少时，承发包经协商竣工结算方式可以调整为：竣工结算=中标合同总价+设计变更+签证+索赔+其他</w:t>
      </w:r>
    </w:p>
    <w:p w14:paraId="73AA5539">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方式三</w:t>
      </w:r>
    </w:p>
    <w:p w14:paraId="16C7AFEE">
      <w:pPr>
        <w:pStyle w:val="5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深圳湾区城市建设发展有限公司结算管理规定（后续有更新，按最新）</w:t>
      </w:r>
    </w:p>
    <w:p w14:paraId="518868DD">
      <w:pPr>
        <w:pStyle w:val="77"/>
        <w:rPr>
          <w:color w:val="000000" w:themeColor="text1"/>
          <w14:textFill>
            <w14:solidFill>
              <w14:schemeClr w14:val="tx1"/>
            </w14:solidFill>
          </w14:textFill>
        </w:rPr>
      </w:pPr>
      <w:bookmarkStart w:id="808" w:name="_Toc29108"/>
      <w:bookmarkStart w:id="809" w:name="_Toc44228170"/>
      <w:bookmarkStart w:id="810" w:name="_Toc44492611"/>
      <w:bookmarkStart w:id="811" w:name="_Toc9837"/>
      <w:bookmarkStart w:id="812" w:name="_Toc10784"/>
      <w:bookmarkStart w:id="813" w:name="_Toc91082452"/>
      <w:bookmarkStart w:id="814" w:name="_Toc38987287"/>
      <w:r>
        <w:rPr>
          <w:rFonts w:hint="eastAsia"/>
          <w:color w:val="000000" w:themeColor="text1"/>
          <w14:textFill>
            <w14:solidFill>
              <w14:schemeClr w14:val="tx1"/>
            </w14:solidFill>
          </w14:textFill>
        </w:rPr>
        <w:t>18.竣工验收</w:t>
      </w:r>
      <w:bookmarkEnd w:id="808"/>
      <w:bookmarkEnd w:id="809"/>
      <w:bookmarkEnd w:id="810"/>
      <w:bookmarkEnd w:id="811"/>
      <w:bookmarkEnd w:id="812"/>
      <w:bookmarkEnd w:id="813"/>
      <w:bookmarkEnd w:id="814"/>
    </w:p>
    <w:p w14:paraId="28632C13">
      <w:pPr>
        <w:pStyle w:val="81"/>
        <w:ind w:firstLine="480"/>
        <w:rPr>
          <w:color w:val="000000" w:themeColor="text1"/>
          <w14:textFill>
            <w14:solidFill>
              <w14:schemeClr w14:val="tx1"/>
            </w14:solidFill>
          </w14:textFill>
        </w:rPr>
      </w:pPr>
      <w:bookmarkStart w:id="815" w:name="_Toc29777"/>
      <w:bookmarkStart w:id="816" w:name="_Toc44492612"/>
      <w:bookmarkStart w:id="817" w:name="_Toc23922"/>
      <w:r>
        <w:rPr>
          <w:rFonts w:hint="eastAsia"/>
          <w:color w:val="000000" w:themeColor="text1"/>
          <w14:textFill>
            <w14:solidFill>
              <w14:schemeClr w14:val="tx1"/>
            </w14:solidFill>
          </w14:textFill>
        </w:rPr>
        <w:t>18.3</w:t>
      </w:r>
      <w:r>
        <w:rPr>
          <w:color w:val="000000" w:themeColor="text1"/>
          <w14:textFill>
            <w14:solidFill>
              <w14:schemeClr w14:val="tx1"/>
            </w14:solidFill>
          </w14:textFill>
        </w:rPr>
        <w:t xml:space="preserve"> 验收</w:t>
      </w:r>
    </w:p>
    <w:p w14:paraId="0D705328">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18.3.1</w:t>
      </w:r>
      <w:r>
        <w:rPr>
          <w:rFonts w:hint="eastAsia"/>
          <w:color w:val="000000" w:themeColor="text1"/>
          <w14:textFill>
            <w14:solidFill>
              <w14:schemeClr w14:val="tx1"/>
            </w14:solidFill>
          </w14:textFill>
        </w:rPr>
        <w:t>监理人收到分包人提交的竣工验收申请报告后，应审查申请报告的各项内容，并按以下不同情况进行处理。</w:t>
      </w:r>
      <w:bookmarkEnd w:id="815"/>
      <w:bookmarkEnd w:id="816"/>
      <w:bookmarkEnd w:id="817"/>
    </w:p>
    <w:p w14:paraId="4E710ECB">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3</w:t>
      </w:r>
      <w:r>
        <w:rPr>
          <w:rFonts w:hint="eastAsia" w:ascii="Times New Roman" w:hAnsi="Times New Roman" w:eastAsia="仿宋_GB2312"/>
          <w:color w:val="000000" w:themeColor="text1"/>
          <w:kern w:val="0"/>
          <w:szCs w:val="32"/>
          <w14:textFill>
            <w14:solidFill>
              <w14:schemeClr w14:val="tx1"/>
            </w14:solidFill>
          </w14:textFill>
        </w:rPr>
        <w:t>）竣工验收前，分包人应完成本工程的全部工作内容，经自检评定并符合下列条件的，方具备竣工验收条件：</w:t>
      </w:r>
    </w:p>
    <w:p w14:paraId="6D027943">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a.</w:t>
      </w:r>
      <w:r>
        <w:rPr>
          <w:rFonts w:hint="eastAsia" w:ascii="Times New Roman" w:hAnsi="Times New Roman" w:eastAsia="仿宋_GB2312"/>
          <w:color w:val="000000" w:themeColor="text1"/>
          <w:kern w:val="0"/>
          <w:szCs w:val="32"/>
          <w14:textFill>
            <w14:solidFill>
              <w14:schemeClr w14:val="tx1"/>
            </w14:solidFill>
          </w14:textFill>
        </w:rPr>
        <w:t>除发包人同意列入缺陷责任期内完成的尾工（甩项）工程和缺陷修补工作外，合同范围内的工程内容，以及包括合同要求的试验、检验和验收在内等有关工作均已完成，并符合施工设计图纸和合同约定要求；</w:t>
      </w:r>
    </w:p>
    <w:p w14:paraId="6FB98AFD">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b.</w:t>
      </w:r>
      <w:r>
        <w:rPr>
          <w:rFonts w:hint="eastAsia" w:ascii="Times New Roman" w:hAnsi="Times New Roman" w:eastAsia="仿宋_GB2312"/>
          <w:color w:val="000000" w:themeColor="text1"/>
          <w:kern w:val="0"/>
          <w:szCs w:val="32"/>
          <w14:textFill>
            <w14:solidFill>
              <w14:schemeClr w14:val="tx1"/>
            </w14:solidFill>
          </w14:textFill>
        </w:rPr>
        <w:t>已按照发包人、监理人的要求编制了在缺陷责任期内完成的尾工（甩项）工程和缺陷修补工作清单以及相应施工计划；</w:t>
      </w:r>
    </w:p>
    <w:p w14:paraId="079BCEFA">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c.</w:t>
      </w:r>
      <w:r>
        <w:rPr>
          <w:rFonts w:hint="eastAsia" w:ascii="Times New Roman" w:hAnsi="Times New Roman" w:eastAsia="仿宋_GB2312"/>
          <w:color w:val="000000" w:themeColor="text1"/>
          <w:kern w:val="0"/>
          <w:szCs w:val="32"/>
          <w14:textFill>
            <w14:solidFill>
              <w14:schemeClr w14:val="tx1"/>
            </w14:solidFill>
          </w14:textFill>
        </w:rPr>
        <w:t>已按照当地城建档案馆档案局和发包人、承包人档案规范要求提交了符合要求的竣工资料；</w:t>
      </w:r>
    </w:p>
    <w:p w14:paraId="3D99DA34">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d.</w:t>
      </w:r>
      <w:r>
        <w:rPr>
          <w:rFonts w:hint="eastAsia" w:ascii="Times New Roman" w:hAnsi="Times New Roman" w:eastAsia="仿宋_GB2312"/>
          <w:color w:val="000000" w:themeColor="text1"/>
          <w:kern w:val="0"/>
          <w:szCs w:val="32"/>
          <w14:textFill>
            <w14:solidFill>
              <w14:schemeClr w14:val="tx1"/>
            </w14:solidFill>
          </w14:textFill>
        </w:rPr>
        <w:t>用地范围内的临时设施已拆除；</w:t>
      </w:r>
    </w:p>
    <w:p w14:paraId="394D4C46">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e.</w:t>
      </w:r>
      <w:r>
        <w:rPr>
          <w:rFonts w:hint="eastAsia" w:ascii="Times New Roman" w:hAnsi="Times New Roman" w:eastAsia="仿宋_GB2312"/>
          <w:color w:val="000000" w:themeColor="text1"/>
          <w:kern w:val="0"/>
          <w:szCs w:val="32"/>
          <w14:textFill>
            <w14:solidFill>
              <w14:schemeClr w14:val="tx1"/>
            </w14:solidFill>
          </w14:textFill>
        </w:rPr>
        <w:t>分包人在竣工验收前应完成的其他工作。</w:t>
      </w:r>
    </w:p>
    <w:p w14:paraId="42BB2AC1">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18.3.7</w:t>
      </w:r>
      <w:r>
        <w:rPr>
          <w:rFonts w:hint="eastAsia" w:ascii="Times New Roman" w:hAnsi="Times New Roman" w:eastAsia="仿宋_GB2312"/>
          <w:color w:val="000000" w:themeColor="text1"/>
          <w:kern w:val="0"/>
          <w:szCs w:val="32"/>
          <w14:textFill>
            <w14:solidFill>
              <w14:schemeClr w14:val="tx1"/>
            </w14:solidFill>
          </w14:textFill>
        </w:rPr>
        <w:t>分包人需负责收集、整理本工程所有的竣工资料，包括符合要求的</w:t>
      </w:r>
      <w:r>
        <w:rPr>
          <w:rFonts w:ascii="Times New Roman" w:hAnsi="Times New Roman" w:eastAsia="仿宋_GB2312"/>
          <w:color w:val="000000" w:themeColor="text1"/>
          <w:kern w:val="0"/>
          <w:szCs w:val="32"/>
          <w14:textFill>
            <w14:solidFill>
              <w14:schemeClr w14:val="tx1"/>
            </w14:solidFill>
          </w14:textFill>
        </w:rPr>
        <w:t>BIM</w:t>
      </w:r>
      <w:r>
        <w:rPr>
          <w:rFonts w:hint="eastAsia" w:ascii="Times New Roman" w:hAnsi="Times New Roman" w:eastAsia="仿宋_GB2312"/>
          <w:color w:val="000000" w:themeColor="text1"/>
          <w:kern w:val="0"/>
          <w:szCs w:val="32"/>
          <w14:textFill>
            <w14:solidFill>
              <w14:schemeClr w14:val="tx1"/>
            </w14:solidFill>
          </w14:textFill>
        </w:rPr>
        <w:t>成果文件，分包人的档案员必须持有相关相关上岗证。分包人应明确专人负责收集和积累工程文件，做到工程文件收集、整理、归档与建设工程的进度同步，保障归档文件内容真实、准确，并将档案的收集、整理、归档工作纳入建设的相关工作程序和岗位职责中。</w:t>
      </w:r>
    </w:p>
    <w:p w14:paraId="6031341E">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全部工程具备竣工验收条件后，监理人组织验收前的预检时，分包人应按住建部及当地档案馆的有关规定和承包人的要求编制完成工程竣工资料文件提交给监理人及承包人、发包人审查。竣工资料由发包人、监理人及承包人审核通过后，方具备竣工验收条件。若审核不通过，分包人应按要求整改，在验收时仍不能达到要求而造成工期延误的，分包人应承担工期延误引起的相关责任。</w:t>
      </w:r>
    </w:p>
    <w:p w14:paraId="712A429B">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18.3.11</w:t>
      </w:r>
      <w:r>
        <w:rPr>
          <w:rFonts w:hint="eastAsia" w:ascii="Times New Roman" w:hAnsi="Times New Roman" w:eastAsia="仿宋_GB2312"/>
          <w:color w:val="000000" w:themeColor="text1"/>
          <w:kern w:val="0"/>
          <w:szCs w:val="32"/>
          <w14:textFill>
            <w14:solidFill>
              <w14:schemeClr w14:val="tx1"/>
            </w14:solidFill>
          </w14:textFill>
        </w:rPr>
        <w:t>本工程验收按国家、省、市或行业现行的工程建设质量验收标准执行，经发包人及监理人验收达到合格标准。</w:t>
      </w:r>
    </w:p>
    <w:p w14:paraId="10ACF772">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18.3.12</w:t>
      </w:r>
      <w:r>
        <w:rPr>
          <w:rFonts w:hint="eastAsia" w:ascii="Times New Roman" w:hAnsi="Times New Roman" w:eastAsia="仿宋_GB2312"/>
          <w:color w:val="000000" w:themeColor="text1"/>
          <w:kern w:val="0"/>
          <w:szCs w:val="32"/>
          <w14:textFill>
            <w14:solidFill>
              <w14:schemeClr w14:val="tx1"/>
            </w14:solidFill>
          </w14:textFill>
        </w:rPr>
        <w:t>本工程竣工验收通过后，分包人应协助承包人申报广州市建设工程竣工联合（现场）验收，做好现场检查时的组织工作，并按要求整改检查出的不合格项，整改后由承包人组织参建各方组成验收组进行自检，形成自检报告。</w:t>
      </w:r>
    </w:p>
    <w:p w14:paraId="3FA35944">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工程竣工验收后28日内，分包人按当地城建档案馆有关竣工图及综合资料编制规定要求编制工程竣工资料（包括施工原始记录、照片等资料，完整竣工资料需满足当地档案局、发包人、承包人及监理人要求），向承包人提供完整竣工图5套、竣工资料5套及竣工验收报告和相应的电子文件。若不符合要求，分包人按要求修改合格并承担由自身原因造成修改的费用；分包人应做好竣工相关工作计划报承包人、监理人确认，本工程竣工验收相关工作不得影响项目联合（现场）验收。</w:t>
      </w:r>
    </w:p>
    <w:p w14:paraId="4C8D92C8">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18.3.14</w:t>
      </w:r>
      <w:r>
        <w:rPr>
          <w:rFonts w:hint="eastAsia" w:ascii="Times New Roman" w:hAnsi="Times New Roman" w:eastAsia="仿宋_GB2312"/>
          <w:color w:val="000000" w:themeColor="text1"/>
          <w:kern w:val="0"/>
          <w:szCs w:val="32"/>
          <w14:textFill>
            <w14:solidFill>
              <w14:schemeClr w14:val="tx1"/>
            </w14:solidFill>
          </w14:textFill>
        </w:rPr>
        <w:t>分包人必须按当地城建档案馆的规定整理并移交竣工档案后（包括档案主管部门、发包人及接管单位），凭相关工程档案移交签字单方可办理工程结算支付，报档案馆存档的项目竣工图必须与申报项目竣工结算时提交的竣工图一致。</w:t>
      </w:r>
    </w:p>
    <w:p w14:paraId="324C9761">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18" w:name="_Toc169515571"/>
      <w:bookmarkEnd w:id="818"/>
      <w:r>
        <w:rPr>
          <w:rFonts w:ascii="Times New Roman" w:hAnsi="Times New Roman" w:eastAsia="仿宋_GB2312"/>
          <w:color w:val="000000" w:themeColor="text1"/>
          <w:kern w:val="0"/>
          <w:szCs w:val="32"/>
          <w14:textFill>
            <w14:solidFill>
              <w14:schemeClr w14:val="tx1"/>
            </w14:solidFill>
          </w14:textFill>
        </w:rPr>
        <w:t>18.3.15</w:t>
      </w:r>
      <w:r>
        <w:rPr>
          <w:rFonts w:hint="eastAsia" w:ascii="Times New Roman" w:hAnsi="Times New Roman" w:eastAsia="仿宋_GB2312"/>
          <w:color w:val="000000" w:themeColor="text1"/>
          <w:kern w:val="0"/>
          <w:szCs w:val="32"/>
          <w14:textFill>
            <w14:solidFill>
              <w14:schemeClr w14:val="tx1"/>
            </w14:solidFill>
          </w14:textFill>
        </w:rPr>
        <w:t>竣工验收合格后的移交和清理</w:t>
      </w:r>
    </w:p>
    <w:p w14:paraId="69C981CC">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工程具备工程移交条件后，发包人向承包人签发交接证书，同时办理工程的移交工作。交接证书上应写明本工程的实际竣工日期</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即竣工验收合格之日</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。工程移交后，分包人不再承担对工程的照管责任。分包人应当在颁发工程接收证书后，或合同解除</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终止（无论何原因导致）后</w:t>
      </w:r>
      <w:r>
        <w:rPr>
          <w:rFonts w:ascii="Times New Roman" w:hAnsi="Times New Roman" w:eastAsia="仿宋_GB2312"/>
          <w:color w:val="000000" w:themeColor="text1"/>
          <w:kern w:val="0"/>
          <w:szCs w:val="32"/>
          <w14:textFill>
            <w14:solidFill>
              <w14:schemeClr w14:val="tx1"/>
            </w14:solidFill>
          </w14:textFill>
        </w:rPr>
        <w:t>7</w:t>
      </w:r>
      <w:r>
        <w:rPr>
          <w:rFonts w:hint="eastAsia" w:ascii="Times New Roman" w:hAnsi="Times New Roman" w:eastAsia="仿宋_GB2312"/>
          <w:color w:val="000000" w:themeColor="text1"/>
          <w:kern w:val="0"/>
          <w:szCs w:val="32"/>
          <w14:textFill>
            <w14:solidFill>
              <w14:schemeClr w14:val="tx1"/>
            </w14:solidFill>
          </w14:textFill>
        </w:rPr>
        <w:t>天内完成工程的移交，且不得以承包人未付工程款为由拒绝移交工程，如不按时移交导致的一切后果由分包人承担。</w:t>
      </w:r>
    </w:p>
    <w:p w14:paraId="2B9C1B43">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19" w:name="_Toc169515572"/>
      <w:bookmarkEnd w:id="819"/>
      <w:r>
        <w:rPr>
          <w:rFonts w:ascii="Times New Roman" w:hAnsi="Times New Roman" w:eastAsia="仿宋_GB2312"/>
          <w:color w:val="000000" w:themeColor="text1"/>
          <w:kern w:val="0"/>
          <w:szCs w:val="32"/>
          <w14:textFill>
            <w14:solidFill>
              <w14:schemeClr w14:val="tx1"/>
            </w14:solidFill>
          </w14:textFill>
        </w:rPr>
        <w:t xml:space="preserve">18.3.16 </w:t>
      </w:r>
      <w:r>
        <w:rPr>
          <w:rFonts w:hint="eastAsia" w:ascii="Times New Roman" w:hAnsi="Times New Roman" w:eastAsia="仿宋_GB2312"/>
          <w:color w:val="000000" w:themeColor="text1"/>
          <w:kern w:val="0"/>
          <w:szCs w:val="32"/>
          <w14:textFill>
            <w14:solidFill>
              <w14:schemeClr w14:val="tx1"/>
            </w14:solidFill>
          </w14:textFill>
        </w:rPr>
        <w:t>竣工验收质量不合格和重新验收</w:t>
      </w:r>
    </w:p>
    <w:p w14:paraId="0683EE5F">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w:t>
      </w:r>
      <w:r>
        <w:rPr>
          <w:rFonts w:hint="eastAsia" w:ascii="Times New Roman" w:hAnsi="Times New Roman" w:eastAsia="仿宋_GB2312"/>
          <w:color w:val="000000" w:themeColor="text1"/>
          <w:kern w:val="0"/>
          <w:szCs w:val="32"/>
          <w14:textFill>
            <w14:solidFill>
              <w14:schemeClr w14:val="tx1"/>
            </w14:solidFill>
          </w14:textFill>
        </w:rPr>
        <w:t>如本工程竣工验收质量未达到本合同约定的标准，分包人应承担以下违约责任：</w:t>
      </w:r>
    </w:p>
    <w:p w14:paraId="2BF3B7C9">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若工程质量达不到合同约定的质量标准，分包人承担违约责任，分包人应自费进行修复，直到合格，如分包人在承包人限定期限内未整改至合格，应承担相应违约责任，分包人还应就发生的工期延误按照补充条款规定支付逾期违约金。</w:t>
      </w:r>
    </w:p>
    <w:p w14:paraId="75777EBD">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20" w:name="_Toc169515573"/>
      <w:bookmarkEnd w:id="820"/>
      <w:bookmarkStart w:id="821" w:name="_Toc169515574"/>
      <w:bookmarkEnd w:id="821"/>
      <w:r>
        <w:rPr>
          <w:rFonts w:ascii="Times New Roman" w:hAnsi="Times New Roman" w:eastAsia="仿宋_GB2312"/>
          <w:color w:val="000000" w:themeColor="text1"/>
          <w:kern w:val="0"/>
          <w:szCs w:val="32"/>
          <w14:textFill>
            <w14:solidFill>
              <w14:schemeClr w14:val="tx1"/>
            </w14:solidFill>
          </w14:textFill>
        </w:rPr>
        <w:t xml:space="preserve">18.3.18 </w:t>
      </w:r>
      <w:r>
        <w:rPr>
          <w:rFonts w:hint="eastAsia" w:ascii="Times New Roman" w:hAnsi="Times New Roman" w:eastAsia="仿宋_GB2312"/>
          <w:color w:val="000000" w:themeColor="text1"/>
          <w:kern w:val="0"/>
          <w:szCs w:val="32"/>
          <w14:textFill>
            <w14:solidFill>
              <w14:schemeClr w14:val="tx1"/>
            </w14:solidFill>
          </w14:textFill>
        </w:rPr>
        <w:t>竣工验收工程质量争议处理</w:t>
      </w:r>
    </w:p>
    <w:p w14:paraId="1BBE9C14">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对竣工验收工程质量有争议时，由发包人委托有资质的质量检测机构进行质量鉴定。</w:t>
      </w:r>
    </w:p>
    <w:p w14:paraId="4683F88E">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22" w:name="_Toc169515575"/>
      <w:bookmarkEnd w:id="822"/>
      <w:r>
        <w:rPr>
          <w:rFonts w:ascii="Times New Roman" w:hAnsi="Times New Roman" w:eastAsia="仿宋_GB2312"/>
          <w:color w:val="000000" w:themeColor="text1"/>
          <w:kern w:val="0"/>
          <w:szCs w:val="32"/>
          <w14:textFill>
            <w14:solidFill>
              <w14:schemeClr w14:val="tx1"/>
            </w14:solidFill>
          </w14:textFill>
        </w:rPr>
        <w:t xml:space="preserve">18.3.19 </w:t>
      </w:r>
      <w:r>
        <w:rPr>
          <w:rFonts w:hint="eastAsia" w:ascii="Times New Roman" w:hAnsi="Times New Roman" w:eastAsia="仿宋_GB2312"/>
          <w:color w:val="000000" w:themeColor="text1"/>
          <w:kern w:val="0"/>
          <w:szCs w:val="32"/>
          <w14:textFill>
            <w14:solidFill>
              <w14:schemeClr w14:val="tx1"/>
            </w14:solidFill>
          </w14:textFill>
        </w:rPr>
        <w:t>履约评价与优质优价</w:t>
      </w:r>
    </w:p>
    <w:p w14:paraId="0AC4ADEB">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 xml:space="preserve">(1) </w:t>
      </w:r>
      <w:r>
        <w:rPr>
          <w:rFonts w:hint="eastAsia" w:ascii="Times New Roman" w:hAnsi="Times New Roman" w:eastAsia="仿宋_GB2312"/>
          <w:color w:val="000000" w:themeColor="text1"/>
          <w:kern w:val="0"/>
          <w:szCs w:val="32"/>
          <w14:textFill>
            <w14:solidFill>
              <w14:schemeClr w14:val="tx1"/>
            </w14:solidFill>
          </w14:textFill>
        </w:rPr>
        <w:t>承包人对分包人的履约评价约定</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可另附页</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：本工程签约合同价内</w:t>
      </w:r>
      <w:r>
        <w:rPr>
          <w:rFonts w:ascii="Times New Roman" w:hAnsi="Times New Roman" w:eastAsia="仿宋_GB2312"/>
          <w:color w:val="000000" w:themeColor="text1"/>
          <w:kern w:val="0"/>
          <w:szCs w:val="32"/>
          <w14:textFill>
            <w14:solidFill>
              <w14:schemeClr w14:val="tx1"/>
            </w14:solidFill>
          </w14:textFill>
        </w:rPr>
        <w:t>0.5%</w:t>
      </w:r>
      <w:r>
        <w:rPr>
          <w:rFonts w:hint="eastAsia" w:ascii="Times New Roman" w:hAnsi="Times New Roman" w:eastAsia="仿宋_GB2312"/>
          <w:color w:val="000000" w:themeColor="text1"/>
          <w:kern w:val="0"/>
          <w:szCs w:val="32"/>
          <w14:textFill>
            <w14:solidFill>
              <w14:schemeClr w14:val="tx1"/>
            </w14:solidFill>
          </w14:textFill>
        </w:rPr>
        <w:t>作为履约评价酬金。履约评价按照合同履约评价相关办法执行，有最新规定的，按最新规定执行。</w:t>
      </w:r>
    </w:p>
    <w:p w14:paraId="12FF04D1">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结算时结合合同各阶段的履约评价得出最终总评结果等级，履约评价等级为优秀的，履约评价酬金全额支付；履约评价等级为良好的，履约评价酬金支付</w:t>
      </w:r>
      <w:r>
        <w:rPr>
          <w:rFonts w:ascii="Times New Roman" w:hAnsi="Times New Roman" w:eastAsia="仿宋_GB2312"/>
          <w:color w:val="000000" w:themeColor="text1"/>
          <w:kern w:val="0"/>
          <w:szCs w:val="32"/>
          <w14:textFill>
            <w14:solidFill>
              <w14:schemeClr w14:val="tx1"/>
            </w14:solidFill>
          </w14:textFill>
        </w:rPr>
        <w:t>80%</w:t>
      </w:r>
      <w:r>
        <w:rPr>
          <w:rFonts w:hint="eastAsia" w:ascii="Times New Roman" w:hAnsi="Times New Roman" w:eastAsia="仿宋_GB2312"/>
          <w:color w:val="000000" w:themeColor="text1"/>
          <w:kern w:val="0"/>
          <w:szCs w:val="32"/>
          <w14:textFill>
            <w14:solidFill>
              <w14:schemeClr w14:val="tx1"/>
            </w14:solidFill>
          </w14:textFill>
        </w:rPr>
        <w:t>；履约评价等级为合格的，履约评价酬金支付</w:t>
      </w:r>
      <w:r>
        <w:rPr>
          <w:rFonts w:ascii="Times New Roman" w:hAnsi="Times New Roman" w:eastAsia="仿宋_GB2312"/>
          <w:color w:val="000000" w:themeColor="text1"/>
          <w:kern w:val="0"/>
          <w:szCs w:val="32"/>
          <w14:textFill>
            <w14:solidFill>
              <w14:schemeClr w14:val="tx1"/>
            </w14:solidFill>
          </w14:textFill>
        </w:rPr>
        <w:t>50%</w:t>
      </w:r>
      <w:r>
        <w:rPr>
          <w:rFonts w:hint="eastAsia" w:ascii="Times New Roman" w:hAnsi="Times New Roman" w:eastAsia="仿宋_GB2312"/>
          <w:color w:val="000000" w:themeColor="text1"/>
          <w:kern w:val="0"/>
          <w:szCs w:val="32"/>
          <w14:textFill>
            <w14:solidFill>
              <w14:schemeClr w14:val="tx1"/>
            </w14:solidFill>
          </w14:textFill>
        </w:rPr>
        <w:t>；履约评价等级为不合格的，履约评价酬金全部扣除。</w:t>
      </w:r>
    </w:p>
    <w:p w14:paraId="2A2297B6">
      <w:pPr>
        <w:pStyle w:val="81"/>
        <w:ind w:firstLine="480"/>
        <w:rPr>
          <w:color w:val="000000" w:themeColor="text1"/>
          <w14:textFill>
            <w14:solidFill>
              <w14:schemeClr w14:val="tx1"/>
            </w14:solidFill>
          </w14:textFill>
        </w:rPr>
      </w:pPr>
      <w:bookmarkStart w:id="823" w:name="_Toc44492613"/>
      <w:bookmarkStart w:id="824" w:name="_Toc3516"/>
      <w:bookmarkStart w:id="825" w:name="_Toc27749"/>
      <w:r>
        <w:rPr>
          <w:rFonts w:hint="eastAsia"/>
          <w:color w:val="000000" w:themeColor="text1"/>
          <w14:textFill>
            <w14:solidFill>
              <w14:schemeClr w14:val="tx1"/>
            </w14:solidFill>
          </w14:textFill>
        </w:rPr>
        <w:t>18.4. 施工期运行</w:t>
      </w:r>
      <w:bookmarkEnd w:id="823"/>
      <w:bookmarkEnd w:id="824"/>
      <w:bookmarkEnd w:id="825"/>
    </w:p>
    <w:p w14:paraId="435C85C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18.4.1. 需要施工期运行的单位工程或设备安装工程：</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w:t>
      </w:r>
    </w:p>
    <w:p w14:paraId="1DEF8492">
      <w:pPr>
        <w:pStyle w:val="81"/>
        <w:ind w:firstLine="480"/>
        <w:rPr>
          <w:color w:val="000000" w:themeColor="text1"/>
          <w14:textFill>
            <w14:solidFill>
              <w14:schemeClr w14:val="tx1"/>
            </w14:solidFill>
          </w14:textFill>
        </w:rPr>
      </w:pPr>
      <w:bookmarkStart w:id="826" w:name="_Toc26667"/>
      <w:bookmarkStart w:id="827" w:name="_Toc11828"/>
      <w:bookmarkStart w:id="828" w:name="_Toc44492614"/>
      <w:r>
        <w:rPr>
          <w:rFonts w:hint="eastAsia"/>
          <w:color w:val="000000" w:themeColor="text1"/>
          <w14:textFill>
            <w14:solidFill>
              <w14:schemeClr w14:val="tx1"/>
            </w14:solidFill>
          </w14:textFill>
        </w:rPr>
        <w:t>18.5. 试运行</w:t>
      </w:r>
      <w:bookmarkEnd w:id="826"/>
      <w:bookmarkEnd w:id="827"/>
      <w:bookmarkEnd w:id="828"/>
    </w:p>
    <w:p w14:paraId="17D6CE4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18.5.1. 需要试运行的单位工程或设备安装工程：</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w:t>
      </w:r>
    </w:p>
    <w:p w14:paraId="0F7F243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18.5.3 试运行全部费用（包括但不限于水、电、汽费用，原材料费、人工费、检测费等）已含在合同暂定总价内，由分包人承担。</w:t>
      </w:r>
    </w:p>
    <w:p w14:paraId="5D326A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18.5.4 试运行的内容、范围及试运行时间具体要求：</w:t>
      </w:r>
      <w:r>
        <w:rPr>
          <w:rFonts w:hint="eastAsia"/>
          <w:color w:val="000000" w:themeColor="text1"/>
          <w:u w:val="single"/>
          <w14:textFill>
            <w14:solidFill>
              <w14:schemeClr w14:val="tx1"/>
            </w14:solidFill>
          </w14:textFill>
        </w:rPr>
        <w:t xml:space="preserve">  无。</w:t>
      </w:r>
      <w:r>
        <w:rPr>
          <w:rFonts w:hint="eastAsia"/>
          <w:color w:val="000000" w:themeColor="text1"/>
          <w14:textFill>
            <w14:solidFill>
              <w14:schemeClr w14:val="tx1"/>
            </w14:solidFill>
          </w14:textFill>
        </w:rPr>
        <w:t xml:space="preserve"> </w:t>
      </w:r>
    </w:p>
    <w:p w14:paraId="10B1765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18.5.5. 试运行达不到验收要求的，按下列规定处理： </w:t>
      </w:r>
    </w:p>
    <w:p w14:paraId="3EEBAF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a.由于设计原因，试运行达不到验收要求，发包人应要求设计单位修改设计，分包人按修改后的设计重新安装。发包人承担修改设计、拆除及重新安装的全部费用，工期相应顺延。</w:t>
      </w:r>
    </w:p>
    <w:p w14:paraId="6C2FFF0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由于设备制造质量原因试运行达不到验收要求，由该责任方负责重新购置或修理，分包人负责拆除和重新安装。设备由分包人采购的，由分包人承担修理或重新采购、拆除及重新安装的费用，工期不予顺延；设备由发包人供应的，发包人承担上述各项费用，并列入合同价款，工期相应顺延。</w:t>
      </w:r>
    </w:p>
    <w:p w14:paraId="2A9ABB3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c.由于分包人施工原因试运行达不到验收要求，分包人按监理工程师要求重新安装和试运行，并承担拆除、重新安装和重新试运行的费用，工期不予顺延。</w:t>
      </w:r>
    </w:p>
    <w:p w14:paraId="3582F02F">
      <w:pPr>
        <w:pStyle w:val="81"/>
        <w:ind w:firstLine="480"/>
        <w:rPr>
          <w:color w:val="000000" w:themeColor="text1"/>
          <w14:textFill>
            <w14:solidFill>
              <w14:schemeClr w14:val="tx1"/>
            </w14:solidFill>
          </w14:textFill>
        </w:rPr>
      </w:pPr>
      <w:bookmarkStart w:id="829" w:name="_Toc44492615"/>
      <w:bookmarkStart w:id="830" w:name="_Toc1405"/>
      <w:bookmarkStart w:id="831" w:name="_Toc15553"/>
      <w:r>
        <w:rPr>
          <w:rFonts w:hint="eastAsia"/>
          <w:color w:val="000000" w:themeColor="text1"/>
          <w14:textFill>
            <w14:solidFill>
              <w14:schemeClr w14:val="tx1"/>
            </w14:solidFill>
          </w14:textFill>
        </w:rPr>
        <w:t>18.7. 施工队伍的撤离</w:t>
      </w:r>
      <w:bookmarkEnd w:id="829"/>
      <w:bookmarkEnd w:id="830"/>
      <w:bookmarkEnd w:id="831"/>
    </w:p>
    <w:p w14:paraId="728446A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18.7.1. 分包人全部退场的时间为本工程竣工验收合格且移交后</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5</w:t>
      </w:r>
      <w:r>
        <w:rPr>
          <w:rFonts w:hint="eastAsia"/>
          <w:color w:val="000000" w:themeColor="text1"/>
          <w14:textFill>
            <w14:solidFill>
              <w14:schemeClr w14:val="tx1"/>
            </w14:solidFill>
          </w14:textFill>
        </w:rPr>
        <w:t>天及以内，每迟延一天，分包人应向承包人支付人民币</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5000</w:t>
      </w:r>
      <w:r>
        <w:rPr>
          <w:rFonts w:hint="eastAsia"/>
          <w:color w:val="000000" w:themeColor="text1"/>
          <w14:textFill>
            <w14:solidFill>
              <w14:schemeClr w14:val="tx1"/>
            </w14:solidFill>
          </w14:textFill>
        </w:rPr>
        <w:t>元违约金。</w:t>
      </w:r>
    </w:p>
    <w:p w14:paraId="7416F21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18.7.2.分包人不得因与承包人的工程款纠纷、其他纠纷或其他任何原因占据现场，拒绝撤离，否则按照迟延撤离承担违约责任。</w:t>
      </w:r>
    </w:p>
    <w:p w14:paraId="2015C1AA">
      <w:pPr>
        <w:pStyle w:val="77"/>
        <w:rPr>
          <w:color w:val="000000" w:themeColor="text1"/>
          <w14:textFill>
            <w14:solidFill>
              <w14:schemeClr w14:val="tx1"/>
            </w14:solidFill>
          </w14:textFill>
        </w:rPr>
      </w:pPr>
      <w:bookmarkStart w:id="832" w:name="_Toc38987288"/>
      <w:bookmarkStart w:id="833" w:name="_Toc19809"/>
      <w:bookmarkStart w:id="834" w:name="_Toc44492616"/>
      <w:bookmarkStart w:id="835" w:name="_Toc44228171"/>
      <w:bookmarkStart w:id="836" w:name="_Toc30044"/>
      <w:bookmarkStart w:id="837" w:name="_Toc1433"/>
      <w:bookmarkStart w:id="838" w:name="_Toc91082453"/>
      <w:r>
        <w:rPr>
          <w:rFonts w:hint="eastAsia"/>
          <w:color w:val="000000" w:themeColor="text1"/>
          <w14:textFill>
            <w14:solidFill>
              <w14:schemeClr w14:val="tx1"/>
            </w14:solidFill>
          </w14:textFill>
        </w:rPr>
        <w:t>19.缺陷责任</w:t>
      </w:r>
      <w:bookmarkEnd w:id="832"/>
      <w:bookmarkEnd w:id="833"/>
      <w:bookmarkEnd w:id="834"/>
      <w:bookmarkEnd w:id="835"/>
      <w:bookmarkEnd w:id="836"/>
      <w:bookmarkEnd w:id="837"/>
      <w:bookmarkStart w:id="839" w:name="_Toc15926"/>
      <w:bookmarkStart w:id="840" w:name="_Toc44492617"/>
      <w:bookmarkStart w:id="841" w:name="_Toc9017"/>
      <w:r>
        <w:rPr>
          <w:rFonts w:hint="eastAsia"/>
          <w:color w:val="000000" w:themeColor="text1"/>
          <w14:textFill>
            <w14:solidFill>
              <w14:schemeClr w14:val="tx1"/>
            </w14:solidFill>
          </w14:textFill>
        </w:rPr>
        <w:t>与保修</w:t>
      </w:r>
      <w:bookmarkEnd w:id="838"/>
    </w:p>
    <w:p w14:paraId="6EC006FB">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缺陷责任期</w:t>
      </w:r>
      <w:bookmarkEnd w:id="839"/>
      <w:bookmarkEnd w:id="840"/>
      <w:bookmarkEnd w:id="841"/>
    </w:p>
    <w:p w14:paraId="29FF65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19.2.1. 本合同中的缺陷责任期自本</w:t>
      </w:r>
      <w:r>
        <w:rPr>
          <w:rFonts w:hint="eastAsia"/>
          <w:color w:val="000000" w:themeColor="text1"/>
          <w:lang w:val="en-US" w:eastAsia="zh-CN"/>
          <w14:textFill>
            <w14:solidFill>
              <w14:schemeClr w14:val="tx1"/>
            </w14:solidFill>
          </w14:textFill>
        </w:rPr>
        <w:t>工程</w:t>
      </w:r>
      <w:bookmarkStart w:id="1269" w:name="_GoBack"/>
      <w:bookmarkEnd w:id="1269"/>
      <w:r>
        <w:rPr>
          <w:rFonts w:hint="eastAsia"/>
          <w:color w:val="000000" w:themeColor="text1"/>
          <w:u w:val="single"/>
          <w14:textFill>
            <w14:solidFill>
              <w14:schemeClr w14:val="tx1"/>
            </w14:solidFill>
          </w14:textFill>
        </w:rPr>
        <w:t xml:space="preserve">竣工验收合格之日 </w:t>
      </w:r>
      <w:r>
        <w:rPr>
          <w:rFonts w:hint="eastAsia"/>
          <w:color w:val="000000" w:themeColor="text1"/>
          <w14:textFill>
            <w14:solidFill>
              <w14:schemeClr w14:val="tx1"/>
            </w14:solidFill>
          </w14:textFill>
        </w:rPr>
        <w:t>起计算，缺陷责任</w:t>
      </w:r>
      <w:r>
        <w:rPr>
          <w:color w:val="000000" w:themeColor="text1"/>
          <w14:textFill>
            <w14:solidFill>
              <w14:schemeClr w14:val="tx1"/>
            </w14:solidFill>
          </w14:textFill>
        </w:rPr>
        <w:t>期内，</w:t>
      </w:r>
      <w:r>
        <w:rPr>
          <w:rFonts w:hint="eastAsia"/>
          <w:color w:val="000000" w:themeColor="text1"/>
          <w14:textFill>
            <w14:solidFill>
              <w14:schemeClr w14:val="tx1"/>
            </w14:solidFill>
          </w14:textFill>
        </w:rPr>
        <w:t>由</w:t>
      </w:r>
      <w:r>
        <w:rPr>
          <w:color w:val="000000" w:themeColor="text1"/>
          <w14:textFill>
            <w14:solidFill>
              <w14:schemeClr w14:val="tx1"/>
            </w14:solidFill>
          </w14:textFill>
        </w:rPr>
        <w:t>分包人原因造成的缺陷，</w:t>
      </w:r>
      <w:r>
        <w:rPr>
          <w:rFonts w:hint="eastAsia"/>
          <w:color w:val="000000" w:themeColor="text1"/>
          <w14:textFill>
            <w14:solidFill>
              <w14:schemeClr w14:val="tx1"/>
            </w14:solidFill>
          </w14:textFill>
        </w:rPr>
        <w:t>分包人</w:t>
      </w:r>
      <w:r>
        <w:rPr>
          <w:color w:val="000000" w:themeColor="text1"/>
          <w14:textFill>
            <w14:solidFill>
              <w14:schemeClr w14:val="tx1"/>
            </w14:solidFill>
          </w14:textFill>
        </w:rPr>
        <w:t>应负责维修，并承担鉴定及维修费用</w:t>
      </w:r>
      <w:r>
        <w:rPr>
          <w:rFonts w:hint="eastAsia"/>
          <w:color w:val="000000" w:themeColor="text1"/>
          <w14:textFill>
            <w14:solidFill>
              <w14:schemeClr w14:val="tx1"/>
            </w14:solidFill>
          </w14:textFill>
        </w:rPr>
        <w:t>。如</w:t>
      </w:r>
      <w:r>
        <w:rPr>
          <w:color w:val="000000" w:themeColor="text1"/>
          <w14:textFill>
            <w14:solidFill>
              <w14:schemeClr w14:val="tx1"/>
            </w14:solidFill>
          </w14:textFill>
        </w:rPr>
        <w:t>分包人不维修也不承担费用，</w:t>
      </w:r>
      <w:r>
        <w:rPr>
          <w:rFonts w:hint="eastAsia"/>
          <w:color w:val="000000" w:themeColor="text1"/>
          <w14:textFill>
            <w14:solidFill>
              <w14:schemeClr w14:val="tx1"/>
            </w14:solidFill>
          </w14:textFill>
        </w:rPr>
        <w:t>承包人</w:t>
      </w:r>
      <w:r>
        <w:rPr>
          <w:color w:val="000000" w:themeColor="text1"/>
          <w14:textFill>
            <w14:solidFill>
              <w14:schemeClr w14:val="tx1"/>
            </w14:solidFill>
          </w14:textFill>
        </w:rPr>
        <w:t>可按合同约定从预留的</w:t>
      </w:r>
      <w:r>
        <w:rPr>
          <w:rFonts w:hint="eastAsia"/>
          <w:color w:val="000000" w:themeColor="text1"/>
          <w14:textFill>
            <w14:solidFill>
              <w14:schemeClr w14:val="tx1"/>
            </w14:solidFill>
          </w14:textFill>
        </w:rPr>
        <w:t>质量</w:t>
      </w:r>
      <w:r>
        <w:rPr>
          <w:color w:val="000000" w:themeColor="text1"/>
          <w14:textFill>
            <w14:solidFill>
              <w14:schemeClr w14:val="tx1"/>
            </w14:solidFill>
          </w14:textFill>
        </w:rPr>
        <w:t>保证金中扣除，费用超出保证金额的，</w:t>
      </w:r>
      <w:r>
        <w:rPr>
          <w:rFonts w:hint="eastAsia"/>
          <w:color w:val="000000" w:themeColor="text1"/>
          <w14:textFill>
            <w14:solidFill>
              <w14:schemeClr w14:val="tx1"/>
            </w14:solidFill>
          </w14:textFill>
        </w:rPr>
        <w:t>承包人</w:t>
      </w:r>
      <w:r>
        <w:rPr>
          <w:color w:val="000000" w:themeColor="text1"/>
          <w14:textFill>
            <w14:solidFill>
              <w14:schemeClr w14:val="tx1"/>
            </w14:solidFill>
          </w14:textFill>
        </w:rPr>
        <w:t>或发包人可按合同约定向分包人</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索赔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分包人</w:t>
      </w:r>
      <w:r>
        <w:rPr>
          <w:rFonts w:hint="eastAsia"/>
          <w:color w:val="000000" w:themeColor="text1"/>
          <w14:textFill>
            <w14:solidFill>
              <w14:schemeClr w14:val="tx1"/>
            </w14:solidFill>
          </w14:textFill>
        </w:rPr>
        <w:t>维修</w:t>
      </w:r>
      <w:r>
        <w:rPr>
          <w:color w:val="000000" w:themeColor="text1"/>
          <w14:textFill>
            <w14:solidFill>
              <w14:schemeClr w14:val="tx1"/>
            </w14:solidFill>
          </w14:textFill>
        </w:rPr>
        <w:t>并承担相应费用后，不免除对工程</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损失赔偿责任。工程质量</w:t>
      </w:r>
      <w:r>
        <w:rPr>
          <w:rFonts w:hint="eastAsia"/>
          <w:color w:val="000000" w:themeColor="text1"/>
          <w14:textFill>
            <w14:solidFill>
              <w14:schemeClr w14:val="tx1"/>
            </w14:solidFill>
          </w14:textFill>
        </w:rPr>
        <w:t>保修时间、责任及程序详细约定见附件</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《工程质量保修书》。</w:t>
      </w:r>
    </w:p>
    <w:p w14:paraId="2B3C291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19.3.1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通用条款19.3.1修改为：</w:t>
      </w:r>
    </w:p>
    <w:p w14:paraId="388E1EE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质量保证金的返还</w:t>
      </w:r>
    </w:p>
    <w:p w14:paraId="46A4BF18">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.工程质量保修期满两年，经承包人对工程质量无异议后30天内发包人无息退还除已经支付的质量保修金和扣款外的质量保证金的</w:t>
      </w:r>
      <w:r>
        <w:rPr>
          <w:rFonts w:hint="eastAsia"/>
          <w:color w:val="000000" w:themeColor="text1"/>
          <w:u w:val="single"/>
          <w14:textFill>
            <w14:solidFill>
              <w14:schemeClr w14:val="tx1"/>
            </w14:solidFill>
          </w14:textFill>
        </w:rPr>
        <w:t xml:space="preserve"> 余款</w:t>
      </w:r>
      <w:r>
        <w:rPr>
          <w:rFonts w:hint="eastAsia"/>
          <w:color w:val="000000" w:themeColor="text1"/>
          <w14:textFill>
            <w14:solidFill>
              <w14:schemeClr w14:val="tx1"/>
            </w14:solidFill>
          </w14:textFill>
        </w:rPr>
        <w:t>。</w:t>
      </w:r>
    </w:p>
    <w:p w14:paraId="13A8A496">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.质量保证金不计利息。</w:t>
      </w:r>
    </w:p>
    <w:p w14:paraId="13742D15">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 保修金的支付并不表示分包人保修责任的结束，分包人仍须按照相关法律法规规章及本合同，包括但不限于专用条款的规定继续履行保修责任、质量责任。</w:t>
      </w:r>
    </w:p>
    <w:p w14:paraId="631AEDF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19.4.1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保修责任</w:t>
      </w:r>
    </w:p>
    <w:p w14:paraId="40EFB79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工程保修期及具体分部分项工程的保修期以《工程质量保修书》为准。</w:t>
      </w:r>
    </w:p>
    <w:p w14:paraId="3B70877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19.4.3. 修复通知</w:t>
      </w:r>
    </w:p>
    <w:p w14:paraId="1E44FF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保修期内，发包人在使用过程中，发现已接收的工程存在缺陷或损坏的，应书面通知承包人、分包人予以修复，但情况紧急必须立即修复缺陷或损坏的，发包人可以口头通知承包人、分包人并在口头通知后48小时内书面确认，分包人应在</w:t>
      </w:r>
      <w:r>
        <w:rPr>
          <w:rFonts w:hint="eastAsia"/>
          <w:color w:val="000000" w:themeColor="text1"/>
          <w:u w:val="single"/>
          <w14:textFill>
            <w14:solidFill>
              <w14:schemeClr w14:val="tx1"/>
            </w14:solidFill>
          </w14:textFill>
        </w:rPr>
        <w:t xml:space="preserve"> 《工程质量保修书》约定</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的期限内到达工程现场并修复缺陷或损坏。</w:t>
      </w:r>
    </w:p>
    <w:p w14:paraId="7C63E4B3">
      <w:pPr>
        <w:pStyle w:val="77"/>
        <w:rPr>
          <w:color w:val="000000" w:themeColor="text1"/>
          <w14:textFill>
            <w14:solidFill>
              <w14:schemeClr w14:val="tx1"/>
            </w14:solidFill>
          </w14:textFill>
        </w:rPr>
      </w:pPr>
      <w:bookmarkStart w:id="842" w:name="_Toc15853"/>
      <w:bookmarkStart w:id="843" w:name="_Toc44228172"/>
      <w:bookmarkStart w:id="844" w:name="_Toc38987289"/>
      <w:bookmarkStart w:id="845" w:name="_Toc27986"/>
      <w:bookmarkStart w:id="846" w:name="_Toc91082454"/>
      <w:bookmarkStart w:id="847" w:name="_Toc44492618"/>
      <w:bookmarkStart w:id="848" w:name="_Toc11284"/>
      <w:r>
        <w:rPr>
          <w:rFonts w:hint="eastAsia"/>
          <w:color w:val="000000" w:themeColor="text1"/>
          <w14:textFill>
            <w14:solidFill>
              <w14:schemeClr w14:val="tx1"/>
            </w14:solidFill>
          </w14:textFill>
        </w:rPr>
        <w:t>20.保险</w:t>
      </w:r>
      <w:bookmarkEnd w:id="842"/>
      <w:bookmarkEnd w:id="843"/>
      <w:bookmarkEnd w:id="844"/>
      <w:bookmarkEnd w:id="845"/>
      <w:bookmarkEnd w:id="846"/>
      <w:bookmarkEnd w:id="847"/>
      <w:bookmarkEnd w:id="848"/>
    </w:p>
    <w:p w14:paraId="54DADC28">
      <w:pPr>
        <w:pStyle w:val="81"/>
        <w:ind w:firstLine="480"/>
        <w:rPr>
          <w:color w:val="000000" w:themeColor="text1"/>
          <w14:textFill>
            <w14:solidFill>
              <w14:schemeClr w14:val="tx1"/>
            </w14:solidFill>
          </w14:textFill>
        </w:rPr>
      </w:pPr>
      <w:bookmarkStart w:id="849" w:name="_Toc24049"/>
      <w:bookmarkStart w:id="850" w:name="_Toc44492619"/>
      <w:bookmarkStart w:id="851" w:name="_Toc27339"/>
      <w:r>
        <w:rPr>
          <w:rFonts w:hint="eastAsia"/>
          <w:color w:val="000000" w:themeColor="text1"/>
          <w14:textFill>
            <w14:solidFill>
              <w14:schemeClr w14:val="tx1"/>
            </w14:solidFill>
          </w14:textFill>
        </w:rPr>
        <w:t>20.1. 建筑工程一切险(含第三者责任险）</w:t>
      </w:r>
      <w:bookmarkEnd w:id="849"/>
      <w:bookmarkEnd w:id="850"/>
      <w:bookmarkEnd w:id="851"/>
    </w:p>
    <w:p w14:paraId="4870F32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20.1.1. 通用条款第20.1.1条中“本工程项目应投保的建筑工程一切险（含第三者责任险）的相关费用均已包含在合同总价中”修订为“本工程项目应投保的建筑/安装工程一切险（含第三者责任险）已由发包人委托承包人购买”。</w:t>
      </w:r>
    </w:p>
    <w:p w14:paraId="10846A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1）承包人已为本工程购买了 “建筑/安装工程一切险（含第三者责任险）”，其范围已包括此分包工程，但相应免赔额、保险除外责任部分由分包人自行承担。该保险条款的详细内容分包人可在法定工作时间内到承包人的办公室查阅。对承包人保险条款中的特别除外部分，分包人应以自己的义务考虑加保与否，并承担加保费用。该项保险若因分包人的过失而需延长，因此而增加的保险费由分包人承担。</w:t>
      </w:r>
    </w:p>
    <w:p w14:paraId="5D75577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须负责本工程每次索偿事件的现场保护工作，并及时向承包人提供保险公司所要求提交的有关索偿事件所需要的一切证据和资料，分包人确认上述工作所需要的费用已包括在合同总价内。承包人所购买的工程一切险和第三责任险并不能解除或减少分包人按合同条款应承担的责任。</w:t>
      </w:r>
    </w:p>
    <w:p w14:paraId="3D48EB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无论有关一切险的索偿是否得到理赔，在本工程现场具备复原条件时，分包人须迅速地把损坏的工作复原,把损失或损坏了的未安装物料替换或修补、迁离和处理任何残砾和继续执行和完成本工程。所有由保险得到的应支付给分包人的款项（减去顾问费，如有），并入获保险理赔且承发包双反确认支付额后的最近一期进度款中支付给分包人。除保险所得的款项外，分包人不能对损坏工作的复原、未安装物料的替换和修补、及残砾的迁离和处理，收取其它费用。</w:t>
      </w:r>
    </w:p>
    <w:p w14:paraId="0F33B6E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4）若分包人认为承包人所购买的保险未足以保障其自身的风险时，可自费补充投保。</w:t>
      </w:r>
    </w:p>
    <w:p w14:paraId="34BA7ABB">
      <w:pPr>
        <w:pStyle w:val="81"/>
        <w:ind w:firstLine="480"/>
        <w:rPr>
          <w:color w:val="000000" w:themeColor="text1"/>
          <w14:textFill>
            <w14:solidFill>
              <w14:schemeClr w14:val="tx1"/>
            </w14:solidFill>
          </w14:textFill>
        </w:rPr>
      </w:pPr>
      <w:bookmarkStart w:id="852" w:name="_Toc9779"/>
      <w:bookmarkStart w:id="853" w:name="_Toc367"/>
      <w:bookmarkStart w:id="854" w:name="_Toc44492620"/>
      <w:r>
        <w:rPr>
          <w:rFonts w:hint="eastAsia"/>
          <w:color w:val="000000" w:themeColor="text1"/>
          <w14:textFill>
            <w14:solidFill>
              <w14:schemeClr w14:val="tx1"/>
            </w14:solidFill>
          </w14:textFill>
        </w:rPr>
        <w:t xml:space="preserve">20.3 </w:t>
      </w:r>
      <w:r>
        <w:rPr>
          <w:rFonts w:hint="eastAsia" w:ascii="宋体" w:hAnsi="宋体"/>
          <w:snapToGrid w:val="0"/>
          <w:color w:val="000000" w:themeColor="text1"/>
          <w:kern w:val="0"/>
          <w:szCs w:val="20"/>
          <w14:textFill>
            <w14:solidFill>
              <w14:schemeClr w14:val="tx1"/>
            </w14:solidFill>
          </w14:textFill>
        </w:rPr>
        <w:t>雇员赔偿保险</w:t>
      </w:r>
      <w:r>
        <w:rPr>
          <w:rFonts w:hint="eastAsia"/>
          <w:color w:val="000000" w:themeColor="text1"/>
          <w14:textFill>
            <w14:solidFill>
              <w14:schemeClr w14:val="tx1"/>
            </w14:solidFill>
          </w14:textFill>
        </w:rPr>
        <w:t>：</w:t>
      </w:r>
      <w:bookmarkEnd w:id="852"/>
      <w:bookmarkEnd w:id="853"/>
      <w:bookmarkEnd w:id="854"/>
    </w:p>
    <w:p w14:paraId="63DDA73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20.3.2.通用条款第20.3.2内容修订为：发包人、承包人对任何分包人的雇员、代理人、劳务人员或其他人的意外或伤亡，不论该人是受雇于分包人或分包人的再分包单位，皆不负任何法律上的赔偿责任。分包人须保障发包人免负任何有关的索偿、要求、诉讼、成本、费用和支出。若发包人、承包人因有关法律规定或司法行政决定或和解协议需要先行承担责任或承担连带责任的，分包人应予赔偿。</w:t>
      </w:r>
    </w:p>
    <w:p w14:paraId="55FC316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20.3.4.假若有任何受雇于本工程或与本合同有关的雇员或其他人士，受到损伤，不论有无索偿，分包人须马上以书面形式将该损伤通知分包人、发包人。</w:t>
      </w:r>
    </w:p>
    <w:p w14:paraId="680C4C4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20.3.5.分包人必须为其服务于本工程的雇佣员工购买人身意外保险</w:t>
      </w:r>
    </w:p>
    <w:p w14:paraId="1674758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在工程施工开始直至缺陷责任期完结期间对所有其雇用的工作人员进行此类保险并持续这种保险。但对于分包人的任何分包人雇用任何人员，如果分包人已经对上述雇员进行了保险，则本条款前述的分包人保险义务即得到履行，但在必要时，分包人应要求其分包单位向发包人提交有关的保险单及本期保险金的支付收据。一旦发生人员伤亡事故，分包人须立即通知承包人、发包人，并以书面形式提供详细经过。</w:t>
      </w:r>
    </w:p>
    <w:p w14:paraId="3B82061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须对其雇员的意外或伤亡负全责。分包人须与受雇者签订劳动合同，并与参与本工程的所有有关人员包括其自身的施工人员、管理人员及分包人（不论是否发包人指定的）的施工及管理人员等，投保其认为必要的人身意外保险。发包人对于任何雇员的意外或伤亡，不论该人是受雇于分包人还是其分包方（不论是否发包人指定的），都不负任何法律上的赔偿责任，分包人须保障发包人免负任何有关的索偿、要求、诉讼、成本、费用和支出。</w:t>
      </w:r>
    </w:p>
    <w:p w14:paraId="1FF8BC96">
      <w:pPr>
        <w:pStyle w:val="56"/>
        <w:ind w:firstLine="480"/>
        <w:rPr>
          <w:color w:val="000000" w:themeColor="text1"/>
          <w14:textFill>
            <w14:solidFill>
              <w14:schemeClr w14:val="tx1"/>
            </w14:solidFill>
          </w14:textFill>
        </w:rPr>
      </w:pPr>
      <w:r>
        <w:rPr>
          <w:rFonts w:hint="eastAsia" w:eastAsia="黑体"/>
          <w:bCs/>
          <w:color w:val="000000" w:themeColor="text1"/>
          <w:kern w:val="2"/>
          <w14:textFill>
            <w14:solidFill>
              <w14:schemeClr w14:val="tx1"/>
            </w14:solidFill>
          </w14:textFill>
        </w:rPr>
        <w:t>20.4 其他保险</w:t>
      </w:r>
    </w:p>
    <w:p w14:paraId="51BBD34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分包人应为本工程自费购买其认为所需的但不包含在承包人保险范围内的其他保险。分包人不得以任何借口对其未保险事项或不能向其保险公司收回的金额向承包人提出索赔。</w:t>
      </w:r>
    </w:p>
    <w:p w14:paraId="2A2A222F">
      <w:pPr>
        <w:pStyle w:val="56"/>
        <w:ind w:firstLine="480"/>
        <w:rPr>
          <w:color w:val="000000" w:themeColor="text1"/>
          <w14:textFill>
            <w14:solidFill>
              <w14:schemeClr w14:val="tx1"/>
            </w14:solidFill>
          </w14:textFill>
        </w:rPr>
      </w:pPr>
      <w:r>
        <w:rPr>
          <w:rFonts w:hint="eastAsia" w:eastAsia="黑体"/>
          <w:bCs/>
          <w:color w:val="000000" w:themeColor="text1"/>
          <w:kern w:val="2"/>
          <w14:textFill>
            <w14:solidFill>
              <w14:schemeClr w14:val="tx1"/>
            </w14:solidFill>
          </w14:textFill>
        </w:rPr>
        <w:t>20.5 对各项保险的一般要求</w:t>
      </w:r>
    </w:p>
    <w:p w14:paraId="51A279E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20.5.7.分包人不得在其投保合同条款中加入“其保险人有权或可以向发包人的保险人提出索赔”的条款。</w:t>
      </w:r>
    </w:p>
    <w:p w14:paraId="4BA058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20.5.8.分包人应在工程开工前向承包人及发包人提供根据合同要求的保险投保证明，并在分包人所需保险的工作开始前提前7天以上向承包人及发包人提交有效的保险单，保险单应与合同的条款一致，分包人投保的保险公司应经承包人、发包人批准。</w:t>
      </w:r>
    </w:p>
    <w:p w14:paraId="26219F9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20.5.9.分包人应在施工进度、范围、性质发生变化时通知其保险人，以确保根据合同条款在所有时间内有完备的保险，由此所发生的费用，由分包人自行承担。</w:t>
      </w:r>
    </w:p>
    <w:p w14:paraId="3744578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20.5.10.如果分包人未使或未保证任何合同规定的保险生效，或未按规定的时间向承包人、发包人提供保险单，承包人、发包人在任何这种情况发生时，有权使任何这些保险生效并支付保险金，并随时从支付给或应支付给分包人的款项中扣回，或视同到期债务从分包人扣回。</w:t>
      </w:r>
    </w:p>
    <w:p w14:paraId="56491EE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20.5.11.分包人或承包人或发包人未能遵循根据合同生效的保险单条款给对方造成损失的，责任一方应赔偿另一方由此而造成的全部损失。但分包人投保的保险合同投保前未经承包人、发包人确认，或使承包人、发包人承担责任或费用的除外。</w:t>
      </w:r>
    </w:p>
    <w:p w14:paraId="40BC3F5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20.5.12若分包人未能按规定购买和维持该等保险，承包人可代为投保，保险费在支付的工程款中抵扣。</w:t>
      </w:r>
    </w:p>
    <w:p w14:paraId="503DC069">
      <w:pPr>
        <w:pStyle w:val="77"/>
        <w:rPr>
          <w:color w:val="000000" w:themeColor="text1"/>
          <w14:textFill>
            <w14:solidFill>
              <w14:schemeClr w14:val="tx1"/>
            </w14:solidFill>
          </w14:textFill>
        </w:rPr>
      </w:pPr>
      <w:bookmarkStart w:id="855" w:name="_Toc32518"/>
      <w:bookmarkStart w:id="856" w:name="_Toc10582"/>
      <w:bookmarkStart w:id="857" w:name="_Toc44228173"/>
      <w:bookmarkStart w:id="858" w:name="_Toc91082455"/>
      <w:bookmarkStart w:id="859" w:name="_Toc17186"/>
      <w:bookmarkStart w:id="860" w:name="_Toc38987290"/>
      <w:bookmarkStart w:id="861" w:name="_Toc44492621"/>
      <w:r>
        <w:rPr>
          <w:rFonts w:hint="eastAsia"/>
          <w:color w:val="000000" w:themeColor="text1"/>
          <w14:textFill>
            <w14:solidFill>
              <w14:schemeClr w14:val="tx1"/>
            </w14:solidFill>
          </w14:textFill>
        </w:rPr>
        <w:t>21.不可抗力</w:t>
      </w:r>
      <w:bookmarkEnd w:id="855"/>
      <w:bookmarkEnd w:id="856"/>
      <w:bookmarkEnd w:id="857"/>
      <w:bookmarkEnd w:id="858"/>
      <w:bookmarkEnd w:id="859"/>
      <w:bookmarkEnd w:id="860"/>
      <w:bookmarkEnd w:id="861"/>
    </w:p>
    <w:p w14:paraId="0B095B66">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通用条款第</w:t>
      </w:r>
      <w:r>
        <w:rPr>
          <w:color w:val="000000" w:themeColor="text1"/>
          <w:u w:val="single"/>
          <w14:textFill>
            <w14:solidFill>
              <w14:schemeClr w14:val="tx1"/>
            </w14:solidFill>
          </w14:textFill>
        </w:rPr>
        <w:t>21</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增加以下内容：</w:t>
      </w:r>
    </w:p>
    <w:p w14:paraId="6E58F3B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 暴雨红色预警信号、高温红色预警信号、雷雨黄色预警信号及台风黄色预警信号及其以上的恶劣气候，直接影响本工程无法正常施工的情形；</w:t>
      </w:r>
    </w:p>
    <w:p w14:paraId="17B1537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 当地地震部门规定可列入不可抗力的情形；</w:t>
      </w:r>
    </w:p>
    <w:p w14:paraId="25A4180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当地卫生部门规定可列入不可抗力、直接影响本工程无法正常施工的情形； </w:t>
      </w:r>
    </w:p>
    <w:p w14:paraId="423F4E8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 当地建设行政主管部门要求的区域性停工(由承包人引起的除外)。</w:t>
      </w:r>
    </w:p>
    <w:p w14:paraId="767B9B9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分包人主张不可抗力的特别约定：在满足合同约定不可抗力情形的前提下，分包人向有关主管部门索取有关的资料或报告，连同施工日志、施工现场照片办理证据保存完整，方可认定为是不可抗力。</w:t>
      </w:r>
    </w:p>
    <w:p w14:paraId="2A7283BE">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21.3.2.不可抗力后果及其处理的其他约定：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p>
    <w:p w14:paraId="717A63E4">
      <w:pPr>
        <w:pStyle w:val="77"/>
        <w:rPr>
          <w:color w:val="000000" w:themeColor="text1"/>
          <w14:textFill>
            <w14:solidFill>
              <w14:schemeClr w14:val="tx1"/>
            </w14:solidFill>
          </w14:textFill>
        </w:rPr>
      </w:pPr>
      <w:bookmarkStart w:id="862" w:name="_Toc9988"/>
      <w:bookmarkStart w:id="863" w:name="_Toc44228174"/>
      <w:bookmarkStart w:id="864" w:name="_Toc91082456"/>
      <w:bookmarkStart w:id="865" w:name="_Toc38987291"/>
      <w:bookmarkStart w:id="866" w:name="_Toc20588"/>
      <w:bookmarkStart w:id="867" w:name="_Toc8129"/>
      <w:bookmarkStart w:id="868" w:name="_Toc44492622"/>
      <w:r>
        <w:rPr>
          <w:rFonts w:hint="eastAsia"/>
          <w:color w:val="000000" w:themeColor="text1"/>
          <w14:textFill>
            <w14:solidFill>
              <w14:schemeClr w14:val="tx1"/>
            </w14:solidFill>
          </w14:textFill>
        </w:rPr>
        <w:t>22.违约</w:t>
      </w:r>
      <w:bookmarkEnd w:id="862"/>
      <w:bookmarkEnd w:id="863"/>
      <w:bookmarkEnd w:id="864"/>
      <w:bookmarkEnd w:id="865"/>
      <w:bookmarkEnd w:id="866"/>
      <w:bookmarkEnd w:id="867"/>
      <w:bookmarkEnd w:id="868"/>
      <w:bookmarkStart w:id="869" w:name="_Toc13732"/>
      <w:bookmarkStart w:id="870" w:name="_Toc44492623"/>
      <w:bookmarkStart w:id="871" w:name="_Toc20484"/>
    </w:p>
    <w:p w14:paraId="66A93B72">
      <w:pPr>
        <w:pStyle w:val="56"/>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22.1 分包人违约</w:t>
      </w:r>
      <w:bookmarkEnd w:id="869"/>
      <w:bookmarkEnd w:id="870"/>
      <w:bookmarkEnd w:id="871"/>
      <w:bookmarkStart w:id="872" w:name="_Toc44492624"/>
    </w:p>
    <w:bookmarkEnd w:id="872"/>
    <w:p w14:paraId="18DDA2F0">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22.1.1 通用</w:t>
      </w:r>
      <w:r>
        <w:rPr>
          <w:rFonts w:ascii="Times New Roman" w:hAnsi="Times New Roman" w:eastAsia="仿宋_GB2312"/>
          <w:color w:val="000000" w:themeColor="text1"/>
          <w:kern w:val="0"/>
          <w:szCs w:val="32"/>
          <w14:textFill>
            <w14:solidFill>
              <w14:schemeClr w14:val="tx1"/>
            </w14:solidFill>
          </w14:textFill>
        </w:rPr>
        <w:t>条款</w:t>
      </w:r>
      <w:r>
        <w:rPr>
          <w:rFonts w:hint="eastAsia" w:ascii="Times New Roman" w:hAnsi="Times New Roman" w:eastAsia="仿宋_GB2312"/>
          <w:color w:val="000000" w:themeColor="text1"/>
          <w:kern w:val="0"/>
          <w:szCs w:val="32"/>
          <w14:textFill>
            <w14:solidFill>
              <w14:schemeClr w14:val="tx1"/>
            </w14:solidFill>
          </w14:textFill>
        </w:rPr>
        <w:t>22.1.1修订</w:t>
      </w:r>
      <w:r>
        <w:rPr>
          <w:rFonts w:ascii="Times New Roman" w:hAnsi="Times New Roman" w:eastAsia="仿宋_GB2312"/>
          <w:color w:val="000000" w:themeColor="text1"/>
          <w:kern w:val="0"/>
          <w:szCs w:val="32"/>
          <w14:textFill>
            <w14:solidFill>
              <w14:schemeClr w14:val="tx1"/>
            </w14:solidFill>
          </w14:textFill>
        </w:rPr>
        <w:t>为：</w:t>
      </w:r>
      <w:r>
        <w:rPr>
          <w:rFonts w:hint="eastAsia" w:ascii="Times New Roman" w:hAnsi="Times New Roman" w:eastAsia="仿宋_GB2312"/>
          <w:color w:val="000000" w:themeColor="text1"/>
          <w:kern w:val="0"/>
          <w:szCs w:val="32"/>
          <w14:textFill>
            <w14:solidFill>
              <w14:schemeClr w14:val="tx1"/>
            </w14:solidFill>
          </w14:textFill>
        </w:rPr>
        <w:t>分包人有任何违反本合同责任和义务的行为均构成违约，包括但不限于在履行合同过程中发生的下列情况：</w:t>
      </w:r>
    </w:p>
    <w:p w14:paraId="336BB5D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分包人私自将合同的全部或部分权利转让给其他人，或私自将合同的全部或部分义务转移给其他人；</w:t>
      </w:r>
    </w:p>
    <w:p w14:paraId="5E105A6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分包人未经监理人批准，私自将已按合同约定进入施工场地的施工设备、临时设施或材料撤离施工场地；</w:t>
      </w:r>
    </w:p>
    <w:p w14:paraId="0EA4829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分包人使用了不合格材料或工程设备，工程质量达不到标准要求，又拒绝清除不合格工程；</w:t>
      </w:r>
    </w:p>
    <w:p w14:paraId="5C6CBDF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分包人未能按合同进度计划及时完成合同约定的工作，已造成或预期造成工期延误；</w:t>
      </w:r>
    </w:p>
    <w:p w14:paraId="7E4E298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分包人无法继续履行或明确表示不履行或实质上已停止履行合同；</w:t>
      </w:r>
    </w:p>
    <w:p w14:paraId="57A2FD6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分包人不按合同约定履行义务的其他情况。</w:t>
      </w:r>
    </w:p>
    <w:p w14:paraId="6BD8421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通用条款22.1.3的第1）~3）条不适用本合同，修订</w:t>
      </w:r>
      <w:r>
        <w:rPr>
          <w:color w:val="000000" w:themeColor="text1"/>
          <w14:textFill>
            <w14:solidFill>
              <w14:schemeClr w14:val="tx1"/>
            </w14:solidFill>
          </w14:textFill>
        </w:rPr>
        <w:t>为：</w:t>
      </w:r>
    </w:p>
    <w:p w14:paraId="1A474F4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分包人发生第22.1.1第5）约定的违约情况时，承包人可通知分包人立即解除合同，并按有关法律处理。</w:t>
      </w:r>
    </w:p>
    <w:p w14:paraId="27C29DB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分包人发生除第22.1.1第5）约定以外的其他违约情况时，除另有约定外，监理人可向承包人、分包人发出整改通知，要求其在指定的期限内改正。分包人应承担其违约所引起的费用增加和（或）工期延误。</w:t>
      </w:r>
    </w:p>
    <w:p w14:paraId="6F97508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监理人要求分包人停工整改的,经检查证明分包人已采取了有效措施纠正违约行为，具备复工条件的，可由监理人在取得发包人同意的情况下向承包人签发复工通知复工。</w:t>
      </w:r>
    </w:p>
    <w:p w14:paraId="09A0800E">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73" w:name="_Toc44492625"/>
      <w:r>
        <w:rPr>
          <w:rFonts w:hint="eastAsia" w:ascii="Times New Roman" w:hAnsi="Times New Roman" w:eastAsia="仿宋_GB2312"/>
          <w:color w:val="000000" w:themeColor="text1"/>
          <w:kern w:val="0"/>
          <w:szCs w:val="32"/>
          <w14:textFill>
            <w14:solidFill>
              <w14:schemeClr w14:val="tx1"/>
            </w14:solidFill>
          </w14:textFill>
        </w:rPr>
        <w:t>22.1.</w:t>
      </w:r>
      <w:r>
        <w:rPr>
          <w:rFonts w:ascii="Times New Roman" w:hAnsi="Times New Roman" w:eastAsia="仿宋_GB2312"/>
          <w:color w:val="000000" w:themeColor="text1"/>
          <w:kern w:val="0"/>
          <w:szCs w:val="32"/>
          <w14:textFill>
            <w14:solidFill>
              <w14:schemeClr w14:val="tx1"/>
            </w14:solidFill>
          </w14:textFill>
        </w:rPr>
        <w:t xml:space="preserve">9.1 </w:t>
      </w:r>
      <w:r>
        <w:rPr>
          <w:rFonts w:hint="eastAsia" w:ascii="Times New Roman" w:hAnsi="Times New Roman" w:eastAsia="仿宋_GB2312"/>
          <w:color w:val="000000" w:themeColor="text1"/>
          <w:kern w:val="0"/>
          <w:szCs w:val="32"/>
          <w14:textFill>
            <w14:solidFill>
              <w14:schemeClr w14:val="tx1"/>
            </w14:solidFill>
          </w14:textFill>
        </w:rPr>
        <w:t>分包人其它</w:t>
      </w:r>
      <w:r>
        <w:rPr>
          <w:rFonts w:ascii="Times New Roman" w:hAnsi="Times New Roman" w:eastAsia="仿宋_GB2312"/>
          <w:color w:val="000000" w:themeColor="text1"/>
          <w:kern w:val="0"/>
          <w:szCs w:val="32"/>
          <w14:textFill>
            <w14:solidFill>
              <w14:schemeClr w14:val="tx1"/>
            </w14:solidFill>
          </w14:textFill>
        </w:rPr>
        <w:t>违约情况</w:t>
      </w:r>
      <w:bookmarkEnd w:id="873"/>
      <w:r>
        <w:rPr>
          <w:rFonts w:hint="eastAsia" w:ascii="Times New Roman" w:hAnsi="Times New Roman" w:eastAsia="仿宋_GB2312"/>
          <w:color w:val="000000" w:themeColor="text1"/>
          <w:kern w:val="0"/>
          <w:szCs w:val="32"/>
          <w14:textFill>
            <w14:solidFill>
              <w14:schemeClr w14:val="tx1"/>
            </w14:solidFill>
          </w14:textFill>
        </w:rPr>
        <w:t>：详见补充条款</w:t>
      </w:r>
    </w:p>
    <w:p w14:paraId="06A91E9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22.1.9.2 除本合同另有约定外，分包人违约造成</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发包人损失的，除应支付本合同约定的违约金外，还应赔偿</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发包人的损失，分包人承担违约赔偿责任的范围包括但不限于</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发包人的直接经济损失、向第三方承担的违约责任以及发生的诉讼费、仲裁费、律师费等费用支出。</w:t>
      </w:r>
    </w:p>
    <w:p w14:paraId="23F9B96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color w:val="000000" w:themeColor="text1"/>
          <w14:textFill>
            <w14:solidFill>
              <w14:schemeClr w14:val="tx1"/>
            </w14:solidFill>
          </w14:textFill>
        </w:rPr>
        <w:t xml:space="preserve">9.3 </w:t>
      </w:r>
      <w:r>
        <w:rPr>
          <w:rFonts w:hint="eastAsia"/>
          <w:color w:val="000000" w:themeColor="text1"/>
          <w14:textFill>
            <w14:solidFill>
              <w14:schemeClr w14:val="tx1"/>
            </w14:solidFill>
          </w14:textFill>
        </w:rPr>
        <w:t>若因分包人原因使得承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或发包人为其垫付有关费用的，自垫付之日起，分包人应按中国人民银行同期同类存款基准利率向承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或发包人支付利息，直至垫付费用及利息被发包人在当期应支付的进度款中抵扣完毕或分包人直接向承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或发包人偿还该垫付费用及利息为止。同时，除本合同另有约定外，每发生一次垫付行为，承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有权要求分包人按垫付金额的</w:t>
      </w:r>
      <w:r>
        <w:rPr>
          <w:rFonts w:hint="eastAsia"/>
          <w:color w:val="000000" w:themeColor="text1"/>
          <w:u w:val="single"/>
          <w14:textFill>
            <w14:solidFill>
              <w14:schemeClr w14:val="tx1"/>
            </w14:solidFill>
          </w14:textFill>
        </w:rPr>
        <w:t>20％</w:t>
      </w:r>
      <w:r>
        <w:rPr>
          <w:rFonts w:hint="eastAsia"/>
          <w:color w:val="000000" w:themeColor="text1"/>
          <w14:textFill>
            <w14:solidFill>
              <w14:schemeClr w14:val="tx1"/>
            </w14:solidFill>
          </w14:textFill>
        </w:rPr>
        <w:t>向发包人支付违约金。</w:t>
      </w:r>
    </w:p>
    <w:p w14:paraId="365183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color w:val="000000" w:themeColor="text1"/>
          <w14:textFill>
            <w14:solidFill>
              <w14:schemeClr w14:val="tx1"/>
            </w14:solidFill>
          </w14:textFill>
        </w:rPr>
        <w:t>9.4</w:t>
      </w:r>
      <w:r>
        <w:rPr>
          <w:rFonts w:hint="eastAsia"/>
          <w:color w:val="000000" w:themeColor="text1"/>
          <w14:textFill>
            <w14:solidFill>
              <w14:schemeClr w14:val="tx1"/>
            </w14:solidFill>
          </w14:textFill>
        </w:rPr>
        <w:t xml:space="preserve"> 分包人发生重大诉讼或仲裁、经营状况严重恶化、资质吊销或降级、重大不利报道、银行账户被冻结及其他对本合同继续履行构成重大不利情形，或进入破产、重整、解散或清算程序的，或者因分包人自身债务问题造成发包人被法院要求协助诉讼保全、协助执行（法院的法律文书形式包括但不限于协助执行通知、履行到期债务通知等协助执行函件），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、分包人在发包人通知后14日内不能妥善解决的，经发包人书面确认，承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有权通知分包人解除本合同，分包人应按暂定合同总价的</w:t>
      </w:r>
      <w:r>
        <w:rPr>
          <w:rFonts w:hint="eastAsia"/>
          <w:color w:val="000000" w:themeColor="text1"/>
          <w:u w:val="single"/>
          <w14:textFill>
            <w14:solidFill>
              <w14:schemeClr w14:val="tx1"/>
            </w14:solidFill>
          </w14:textFill>
        </w:rPr>
        <w:t>1%向</w:t>
      </w:r>
      <w:r>
        <w:rPr>
          <w:rFonts w:hint="eastAsia"/>
          <w:color w:val="000000" w:themeColor="text1"/>
          <w14:textFill>
            <w14:solidFill>
              <w14:schemeClr w14:val="tx1"/>
            </w14:solidFill>
          </w14:textFill>
        </w:rPr>
        <w:t>发包人支付违约金，并在约定或承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指示的期限内完成清场和撤离.</w:t>
      </w:r>
    </w:p>
    <w:p w14:paraId="030490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 xml:space="preserve"> 合同解除不免除分包人履行合同项下的清理和结算责任。分包人应将解除合同时的工程现状及经其签署盖章的施工资料全部妥善、清楚地移交予承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和发包人并经发包人审核确认，分包人须配合发包人另行发包或完成工程善后事宜及向政府部门申报或办理相关手续直至工程完工及验收，并按发包人要求清理和撤离现场，否则承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有权不支付合同价款并要求分包人承担损失赔偿责任。</w:t>
      </w:r>
    </w:p>
    <w:p w14:paraId="2C5F98D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22.1.9.6 根据本合同的约定，分包人违约须向承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支付违约金或赔偿金时，承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有权从应支付给分包人的工程款中直接抵扣；抵扣款项计入工程累计进度款，结算时不予退还（除合同另有约定除外），分包人不得有异议；发包人根据抵扣后的工程款金额向承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支付本分包工程进度款。</w:t>
      </w:r>
    </w:p>
    <w:p w14:paraId="4D61811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color w:val="000000" w:themeColor="text1"/>
          <w14:textFill>
            <w14:solidFill>
              <w14:schemeClr w14:val="tx1"/>
            </w14:solidFill>
          </w14:textFill>
        </w:rPr>
        <w:t>9.7</w:t>
      </w:r>
      <w:r>
        <w:rPr>
          <w:rFonts w:hint="eastAsia"/>
          <w:color w:val="000000" w:themeColor="text1"/>
          <w14:textFill>
            <w14:solidFill>
              <w14:schemeClr w14:val="tx1"/>
            </w14:solidFill>
          </w14:textFill>
        </w:rPr>
        <w:t xml:space="preserve"> 本合同条款约定的违约责任与其他合同文件或附件约定不一致的，以较严格的责任为准。</w:t>
      </w:r>
    </w:p>
    <w:p w14:paraId="35E1AE71">
      <w:pPr>
        <w:pStyle w:val="77"/>
        <w:numPr>
          <w:ilvl w:val="0"/>
          <w:numId w:val="5"/>
        </w:numPr>
        <w:rPr>
          <w:color w:val="000000" w:themeColor="text1"/>
          <w14:textFill>
            <w14:solidFill>
              <w14:schemeClr w14:val="tx1"/>
            </w14:solidFill>
          </w14:textFill>
        </w:rPr>
      </w:pPr>
      <w:bookmarkStart w:id="874" w:name="_Toc31945"/>
      <w:bookmarkStart w:id="875" w:name="_Toc91082457"/>
      <w:bookmarkStart w:id="876" w:name="_Toc44492626"/>
      <w:bookmarkStart w:id="877" w:name="_Toc44228175"/>
      <w:bookmarkStart w:id="878" w:name="_Toc12456"/>
      <w:bookmarkStart w:id="879" w:name="_Toc11470"/>
      <w:bookmarkStart w:id="880" w:name="_Toc38987292"/>
      <w:r>
        <w:rPr>
          <w:rFonts w:hint="eastAsia"/>
          <w:color w:val="000000" w:themeColor="text1"/>
          <w14:textFill>
            <w14:solidFill>
              <w14:schemeClr w14:val="tx1"/>
            </w14:solidFill>
          </w14:textFill>
        </w:rPr>
        <w:t>争议的解决</w:t>
      </w:r>
      <w:bookmarkEnd w:id="874"/>
      <w:bookmarkEnd w:id="875"/>
      <w:bookmarkEnd w:id="876"/>
      <w:bookmarkEnd w:id="877"/>
    </w:p>
    <w:p w14:paraId="0344FB06">
      <w:pPr>
        <w:keepNext/>
        <w:keepLines/>
        <w:spacing w:before="120" w:after="120"/>
        <w:ind w:firstLine="480" w:firstLineChars="200"/>
        <w:outlineLvl w:val="2"/>
        <w:rPr>
          <w:rFonts w:ascii="Times New Roman" w:hAnsi="Times New Roman" w:eastAsia="黑体"/>
          <w:bCs/>
          <w:color w:val="000000" w:themeColor="text1"/>
          <w:szCs w:val="32"/>
          <w14:textFill>
            <w14:solidFill>
              <w14:schemeClr w14:val="tx1"/>
            </w14:solidFill>
          </w14:textFill>
        </w:rPr>
      </w:pPr>
      <w:r>
        <w:rPr>
          <w:rFonts w:hint="eastAsia" w:ascii="Times New Roman" w:hAnsi="Times New Roman" w:eastAsia="黑体"/>
          <w:bCs/>
          <w:color w:val="000000" w:themeColor="text1"/>
          <w:szCs w:val="32"/>
          <w14:textFill>
            <w14:solidFill>
              <w14:schemeClr w14:val="tx1"/>
            </w14:solidFill>
          </w14:textFill>
        </w:rPr>
        <w:t>2</w:t>
      </w:r>
      <w:r>
        <w:rPr>
          <w:rFonts w:ascii="Times New Roman" w:hAnsi="Times New Roman" w:eastAsia="黑体"/>
          <w:bCs/>
          <w:color w:val="000000" w:themeColor="text1"/>
          <w:szCs w:val="32"/>
          <w14:textFill>
            <w14:solidFill>
              <w14:schemeClr w14:val="tx1"/>
            </w14:solidFill>
          </w14:textFill>
        </w:rPr>
        <w:t>3</w:t>
      </w:r>
      <w:r>
        <w:rPr>
          <w:rFonts w:hint="eastAsia" w:ascii="Times New Roman" w:hAnsi="Times New Roman" w:eastAsia="黑体"/>
          <w:bCs/>
          <w:color w:val="000000" w:themeColor="text1"/>
          <w:szCs w:val="32"/>
          <w14:textFill>
            <w14:solidFill>
              <w14:schemeClr w14:val="tx1"/>
            </w14:solidFill>
          </w14:textFill>
        </w:rPr>
        <w:t>.1 争议的解决方式</w:t>
      </w:r>
    </w:p>
    <w:p w14:paraId="2260CF3C">
      <w:pPr>
        <w:autoSpaceDE w:val="0"/>
        <w:autoSpaceDN w:val="0"/>
        <w:adjustRightInd w:val="0"/>
        <w:ind w:firstLine="480" w:firstLineChars="200"/>
        <w:jc w:val="left"/>
        <w:rPr>
          <w:color w:val="000000" w:themeColor="text1"/>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通用条款2</w:t>
      </w:r>
      <w:r>
        <w:rPr>
          <w:rFonts w:ascii="Times New Roman" w:hAnsi="Times New Roman" w:eastAsia="仿宋_GB2312"/>
          <w:color w:val="000000" w:themeColor="text1"/>
          <w:kern w:val="0"/>
          <w:szCs w:val="32"/>
          <w14:textFill>
            <w14:solidFill>
              <w14:schemeClr w14:val="tx1"/>
            </w14:solidFill>
          </w14:textFill>
        </w:rPr>
        <w:t>3.1.1</w:t>
      </w:r>
      <w:r>
        <w:rPr>
          <w:rFonts w:hint="eastAsia" w:ascii="Times New Roman" w:hAnsi="Times New Roman" w:eastAsia="仿宋_GB2312"/>
          <w:color w:val="000000" w:themeColor="text1"/>
          <w:kern w:val="0"/>
          <w:szCs w:val="32"/>
          <w14:textFill>
            <w14:solidFill>
              <w14:schemeClr w14:val="tx1"/>
            </w14:solidFill>
          </w14:textFill>
        </w:rPr>
        <w:t>条修改为：凡因本合同以及与本合同有关事项发生争议的，当事人不愿和解、调解或者和解、调解不成的，各方应将争议提交中国国际经济贸易仲裁委员会华南分会，仲裁地为深圳，按照申请仲裁时该会现行有效的仲裁规则进行仲裁。仲裁裁决是终局的，对各方均有约束力。</w:t>
      </w:r>
    </w:p>
    <w:p w14:paraId="531B17A4">
      <w:pPr>
        <w:pStyle w:val="77"/>
        <w:numPr>
          <w:ilvl w:val="0"/>
          <w:numId w:val="5"/>
        </w:numPr>
        <w:rPr>
          <w:color w:val="000000" w:themeColor="text1"/>
          <w14:textFill>
            <w14:solidFill>
              <w14:schemeClr w14:val="tx1"/>
            </w14:solidFill>
          </w14:textFill>
        </w:rPr>
      </w:pPr>
      <w:bookmarkStart w:id="881" w:name="_Toc91082458"/>
      <w:bookmarkStart w:id="882" w:name="_Toc15830"/>
      <w:bookmarkStart w:id="883" w:name="_Toc44228176"/>
      <w:bookmarkStart w:id="884" w:name="_Toc44492627"/>
      <w:r>
        <w:rPr>
          <w:rFonts w:hint="eastAsia"/>
          <w:color w:val="000000" w:themeColor="text1"/>
          <w14:textFill>
            <w14:solidFill>
              <w14:schemeClr w14:val="tx1"/>
            </w14:solidFill>
          </w14:textFill>
        </w:rPr>
        <w:t>合同的解除</w:t>
      </w:r>
      <w:bookmarkEnd w:id="881"/>
      <w:bookmarkEnd w:id="882"/>
      <w:bookmarkEnd w:id="883"/>
      <w:bookmarkEnd w:id="884"/>
    </w:p>
    <w:p w14:paraId="35CFCE67">
      <w:pPr>
        <w:wordWrap w:val="0"/>
        <w:rPr>
          <w:rFonts w:eastAsia="仿宋_GB2312"/>
          <w:color w:val="000000" w:themeColor="text1"/>
          <w:kern w:val="0"/>
          <w:szCs w:val="21"/>
          <w14:textFill>
            <w14:solidFill>
              <w14:schemeClr w14:val="tx1"/>
            </w14:solidFill>
          </w14:textFill>
        </w:rPr>
      </w:pPr>
      <w:r>
        <w:rPr>
          <w:rFonts w:eastAsia="黑体"/>
          <w:bCs/>
          <w:color w:val="000000" w:themeColor="text1"/>
          <w:szCs w:val="32"/>
          <w14:textFill>
            <w14:solidFill>
              <w14:schemeClr w14:val="tx1"/>
            </w14:solidFill>
          </w14:textFill>
        </w:rPr>
        <w:t>24.1</w:t>
      </w:r>
      <w:r>
        <w:rPr>
          <w:rFonts w:eastAsia="仿宋_GB2312"/>
          <w:color w:val="000000" w:themeColor="text1"/>
          <w:kern w:val="0"/>
          <w:szCs w:val="21"/>
          <w14:textFill>
            <w14:solidFill>
              <w14:schemeClr w14:val="tx1"/>
            </w14:solidFill>
          </w14:textFill>
        </w:rPr>
        <w:t xml:space="preserve"> </w:t>
      </w:r>
      <w:r>
        <w:rPr>
          <w:rFonts w:hint="eastAsia" w:eastAsia="黑体"/>
          <w:bCs/>
          <w:color w:val="000000" w:themeColor="text1"/>
          <w:szCs w:val="32"/>
          <w14:textFill>
            <w14:solidFill>
              <w14:schemeClr w14:val="tx1"/>
            </w14:solidFill>
          </w14:textFill>
        </w:rPr>
        <w:t>由于发包人、承包人原因解除本合同</w:t>
      </w:r>
    </w:p>
    <w:p w14:paraId="7A489C9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发包人、承包人根据市场需要，工程停建、缓建或工程设计修改后相应承包工程项目不存在时，有权单方面解除本合同或解除本合同的部分工作，并向分包人发出解除本合同通知。发包人、承包人解除本合同并不影响其根据本合同约定享有的任何其他权利。</w:t>
      </w:r>
    </w:p>
    <w:p w14:paraId="099DC66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（2）合同解除的处理</w:t>
      </w:r>
    </w:p>
    <w:p w14:paraId="48B883D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应妥善做好已完工程和已购材料、设备的保护和移交工作，并按要求将自有机械设备和人员撤出施工场地。承包人为分包人撤出提供必要条件，已完工程价款在分包人按要求完全撤离施工场地后办理结算手续后支付。</w:t>
      </w:r>
    </w:p>
    <w:p w14:paraId="6058E24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2）分包人所有人员、设备必须在收到解除本合同书面通知后【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天内撤离施工场地，并向发包人、承包人移交所有工程资料和使用的材料/设备/设施/配件、工具或其他物品。否则，分包人留在现场的设备的安全与发包人、承包人无关，并且发包人、承包人可在本合同解除之后安排其他单位进场施工。</w:t>
      </w:r>
    </w:p>
    <w:p w14:paraId="06AB468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3）已经根据本工程需要订货的材料、设备由订货方负责退货或解除订货合同，不能退还的货款和因退货、解除订货合同发生的费用及由此造成对方的损失由责任方承担，因未及时退货造成的损失由责任方承担。</w:t>
      </w:r>
    </w:p>
    <w:p w14:paraId="2179A91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4）各方仍应遵循诚实信用原则，按本合同的约定履行通知、协助、保密等义务，并且各方在本合同中约定的工程质量、结算、清理、违约与索赔条款等全部相关内容仍然有效。</w:t>
      </w:r>
    </w:p>
    <w:p w14:paraId="1C176E0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解除本合同后的结算方式：根据分包人实际完成合格工程量及本合同相关条款各方协商确定。结算经各方确认后，结算款项应分期支付，第一期用于支付分包人应付的工人工资，第二期在分包人已全部顺利退场、所有相关资料已全部移交发包人、承包人且半年内无因合同解除、退场、移交而发生干扰、滋事情形影响后续项目正常施工或营业时支付，每期付款需扣除应扣款项，且分包人应提供有效增值税发票（参见本合同专用条款第17条相关约定）。</w:t>
      </w:r>
    </w:p>
    <w:p w14:paraId="5E925E97">
      <w:pPr>
        <w:wordWrap w:val="0"/>
        <w:rPr>
          <w:rFonts w:eastAsia="仿宋_GB2312"/>
          <w:color w:val="000000" w:themeColor="text1"/>
          <w:kern w:val="0"/>
          <w:szCs w:val="21"/>
          <w14:textFill>
            <w14:solidFill>
              <w14:schemeClr w14:val="tx1"/>
            </w14:solidFill>
          </w14:textFill>
        </w:rPr>
      </w:pPr>
      <w:r>
        <w:rPr>
          <w:rFonts w:eastAsia="黑体"/>
          <w:bCs/>
          <w:color w:val="000000" w:themeColor="text1"/>
          <w:szCs w:val="32"/>
          <w14:textFill>
            <w14:solidFill>
              <w14:schemeClr w14:val="tx1"/>
            </w14:solidFill>
          </w14:textFill>
        </w:rPr>
        <w:t>24.2</w:t>
      </w:r>
      <w:r>
        <w:rPr>
          <w:rFonts w:eastAsia="仿宋_GB2312"/>
          <w:color w:val="000000" w:themeColor="text1"/>
          <w:kern w:val="0"/>
          <w:szCs w:val="21"/>
          <w14:textFill>
            <w14:solidFill>
              <w14:schemeClr w14:val="tx1"/>
            </w14:solidFill>
          </w14:textFill>
        </w:rPr>
        <w:t xml:space="preserve"> </w:t>
      </w:r>
      <w:r>
        <w:rPr>
          <w:rFonts w:hint="eastAsia" w:eastAsia="黑体"/>
          <w:bCs/>
          <w:color w:val="000000" w:themeColor="text1"/>
          <w:szCs w:val="32"/>
          <w14:textFill>
            <w14:solidFill>
              <w14:schemeClr w14:val="tx1"/>
            </w14:solidFill>
          </w14:textFill>
        </w:rPr>
        <w:t>由于分包人原因解除本合同</w:t>
      </w:r>
    </w:p>
    <w:p w14:paraId="0C7E688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（1）基于下列原因，经发包人书面确认，承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有权书面通知分包人解除本合同或解除本合同的部分工作：</w:t>
      </w:r>
    </w:p>
    <w:p w14:paraId="706735C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1）分包人破产、重整、解散或清算的，但为机构重组或联合的目的除外。</w:t>
      </w:r>
    </w:p>
    <w:p w14:paraId="0EB0B91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2）分包人明确表示或以自己的行为表明不履行本合同约定主要义务的。</w:t>
      </w:r>
    </w:p>
    <w:p w14:paraId="7B4866D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3）分包人在订立或履行本合同期间有欺诈行为的。</w:t>
      </w:r>
    </w:p>
    <w:p w14:paraId="28FD5C7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4）分包人发生严重违约行为的。</w:t>
      </w:r>
    </w:p>
    <w:p w14:paraId="46E95AB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5）分包人通过挂靠方式承包本工程或将本工程非法转包、违法分包的。</w:t>
      </w:r>
    </w:p>
    <w:p w14:paraId="10AEC5E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lang w:bidi="ar"/>
          <w14:textFill>
            <w14:solidFill>
              <w14:schemeClr w14:val="tx1"/>
            </w14:solidFill>
          </w14:textFill>
        </w:rPr>
        <w:t>合同约定的期限内没有完工，且在承包人催告的合理期限内仍未完工的</w:t>
      </w:r>
      <w:r>
        <w:rPr>
          <w:rFonts w:hint="eastAsia"/>
          <w:color w:val="000000" w:themeColor="text1"/>
          <w14:textFill>
            <w14:solidFill>
              <w14:schemeClr w14:val="tx1"/>
            </w14:solidFill>
          </w14:textFill>
        </w:rPr>
        <w:t>。</w:t>
      </w:r>
    </w:p>
    <w:p w14:paraId="29711DFB">
      <w:pPr>
        <w:pStyle w:val="56"/>
        <w:ind w:firstLine="480"/>
        <w:rPr>
          <w:color w:val="000000" w:themeColor="text1"/>
          <w:lang w:bidi="ar"/>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bidi="ar"/>
          <w14:textFill>
            <w14:solidFill>
              <w14:schemeClr w14:val="tx1"/>
            </w14:solidFill>
          </w14:textFill>
        </w:rPr>
        <w:t>已经完成的建设工程质量不合格，并拒绝修复的。</w:t>
      </w:r>
    </w:p>
    <w:p w14:paraId="04584AC3">
      <w:pPr>
        <w:pStyle w:val="56"/>
        <w:ind w:firstLine="480"/>
        <w:rPr>
          <w:color w:val="000000" w:themeColor="text1"/>
          <w:lang w:bidi="ar"/>
          <w14:textFill>
            <w14:solidFill>
              <w14:schemeClr w14:val="tx1"/>
            </w14:solidFill>
          </w14:textFill>
        </w:rPr>
      </w:pPr>
      <w:r>
        <w:rPr>
          <w:rFonts w:hint="eastAsia"/>
          <w:color w:val="000000" w:themeColor="text1"/>
          <w14:textFill>
            <w14:solidFill>
              <w14:schemeClr w14:val="tx1"/>
            </w14:solidFill>
          </w14:textFill>
        </w:rPr>
        <w:t>8）分包人进入破产、重整、解散或清算程序。</w:t>
      </w:r>
    </w:p>
    <w:p w14:paraId="5FD1691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9）因分包人自身债务问题造成承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或发包人被法院要求协助诉讼保全、协助执行（法院的法律文书形式包括但不限于协助执行通知、履行到期债务通知等协助执行函件），分包人在发包人通知后14日内不能妥善解决的。</w:t>
      </w:r>
    </w:p>
    <w:p w14:paraId="244DC8F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10）本合同或法律法规规定的因分包人违约承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有权解除本合同的情形。</w:t>
      </w:r>
    </w:p>
    <w:p w14:paraId="07987D2A">
      <w:pPr>
        <w:pStyle w:val="56"/>
        <w:ind w:firstLine="480"/>
        <w:rPr>
          <w:color w:val="000000" w:themeColor="text1"/>
          <w14:textFill>
            <w14:solidFill>
              <w14:schemeClr w14:val="tx1"/>
            </w14:solidFill>
          </w14:textFill>
        </w:rPr>
      </w:pPr>
      <w:r>
        <w:rPr>
          <w:rFonts w:hint="eastAsia"/>
          <w:color w:val="000000" w:themeColor="text1"/>
          <w:lang w:bidi="ar"/>
          <w14:textFill>
            <w14:solidFill>
              <w14:schemeClr w14:val="tx1"/>
            </w14:solidFill>
          </w14:textFill>
        </w:rPr>
        <w:t>因分包人出现以上严重违约情形，经发包人书面确认，</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lang w:bidi="ar"/>
          <w14:textFill>
            <w14:solidFill>
              <w14:schemeClr w14:val="tx1"/>
            </w14:solidFill>
          </w14:textFill>
        </w:rPr>
        <w:t>确定要立即解除合同的，</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lang w:bidi="ar"/>
          <w14:textFill>
            <w14:solidFill>
              <w14:schemeClr w14:val="tx1"/>
            </w14:solidFill>
          </w14:textFill>
        </w:rPr>
        <w:t>应立即向分包人发出正式解除通知，通知送达有效。</w:t>
      </w:r>
    </w:p>
    <w:p w14:paraId="5004DF1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（2）合同解除的处理：</w:t>
      </w:r>
    </w:p>
    <w:p w14:paraId="33523E0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1）分包人按相关条款的约定承担违约责任。</w:t>
      </w:r>
    </w:p>
    <w:p w14:paraId="13C17E4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2）分包人必须在收到解除本合同书面通知后【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5】天内完成退场，不得提出异议。经发包人书面确认，承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有权决定是否接收属于专业分包人在现场的一切设施、设备、材料使用于本工程，并有进一步要求向分包人索赔的权利。本合同解除后，分包人拒绝撤场的，承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可以雇请第三方代为撤场，发生的费用全部由分包人承担；分包人拒绝撤场导致损失扩大的，即便承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是解除合同的过错方，承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亦无需承担此部分扩大的损失。</w:t>
      </w:r>
    </w:p>
    <w:p w14:paraId="07562EA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即可以进驻现场和接管本工程或另行雇用专业分包替代方（其他分包人），通知解除分包人在本合同项下的承包，但不因此免除本合同约定的分包人的任何义务和责任，也不影响本合同赋予承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的各种权利和权限，承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可自行完成该工程，或雇用其他专业承包替代方完成该工程。承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或上述其他专业分包人了完成本工程，可以使用他们认为合适数量的分包人装备、临时工程和材料。</w:t>
      </w:r>
    </w:p>
    <w:p w14:paraId="45A0EAF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解除本合同之后，承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、发包人、监理人应通过协商和调查之后，尽快地确定并认证：</w:t>
      </w:r>
    </w:p>
    <w:p w14:paraId="1F821F0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解除本合同时，分包人根据本合同已实际完成的合格工程量、承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已付与应付的款额（如有应付）、分包人已收与应收合同价款总额（为其截至合同解除日已实际完成的合格工程量所对应应计的价款，扣除依合同分包人违约责任金额、应承担费用等后的余额）等。但分包人不得以该等款额待收取或待确定而不予退场。</w:t>
      </w:r>
    </w:p>
    <w:p w14:paraId="3D5C6DE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（B）未使用或部分使用过的材料、分包人装备、临时工程的价值及其它分包人因本工程承包发生的费用，承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概不负责。</w:t>
      </w:r>
    </w:p>
    <w:p w14:paraId="067D90D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（C）在承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解除本合同后，承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、发包人有权要求分包人在收到承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书面通知的【7】天内提供为本合同工程已经签订的提供任何货物或材料、劳务、服务、合同（协议），将在该等合同（协议）和（或）本合同中任何工程的施工协议的利益无偿转让给承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w:t>
      </w:r>
    </w:p>
    <w:p w14:paraId="3A511CA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（D）承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将暂停向分包人支付任何款额；在本工程质量缺陷责任期满之后，再由承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、发包人核清分包人实施和完成本工程质量保修期内应结算的费用，承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有权从其中扣除分包人应支付的违约金、赔偿金以及已实际支付给分包人的各项费用。</w:t>
      </w:r>
    </w:p>
    <w:p w14:paraId="6BA8910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、发包人的核查、确认后，承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和发包人就分包人已完成的合格工程量进行结算，并扣除上述应扣款额之后的余额，分包人不得要求任何补偿。如果应扣款额超过分包人应得的款额，此超出部分款额应被视为分包人所欠债务，承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或发包人有权向分包人追偿。</w:t>
      </w:r>
    </w:p>
    <w:p w14:paraId="2CCEC2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6）分包人应在收到解除本合同的通知后，立即妥善做好已完工程和已购材料、设备的保护和移交工作，</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5天内无条件将施工人员全部撤离施工现场并将已完工程向承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移交完毕(包括但不限于工作面移交，施工机械设备清场，施工剩余材料及建筑垃圾清运，施工人员的退场，临时设施的拆除清场，施工临时用水用电移交等)。现场工程材料、设备及施工机具装备、临时设施等由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决定是由分包人转交其他分包人继续使用(分包人同意承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全权处置上述工程材料、设备及施工机具设备、临时设施的数量和价格并做好配合工作)还是由分包人撤离现场。若承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决定由分包人将分包人上述工程材料、设备及施工机具设备、临时设施等撤离现场的，分包人应当严格按时处理。否则，分包人留在现场的设备设施及任何其他物品视为放弃（丢弃），承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可将其清理、处置，有关费用由分包人承担并且承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可在本合同解除、终止之后安排其他单位进场施工。</w:t>
      </w:r>
    </w:p>
    <w:p w14:paraId="2365881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7）分包人必须在收到解除本合同书面通知后【7】天内向承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、发包人移交所有工程资料和发包人、业主交予分包人使用的图纸资料、材料/设备/设施/配件、工具或其他物品，否则承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或发包人有权不支付任何款项，因分包人延长移交上述工程资料及设备设施造成承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或发包人损失的，应承担全部赔偿责任。</w:t>
      </w:r>
    </w:p>
    <w:p w14:paraId="4D83517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8）合同解除后，承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委托第三方进场施工的，分包人必须配合承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（及第三方）办理相关报建的变更手续，如分包人在承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要求的时限内未积极配合办理的，承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或发包人有权不予支付任何款项，且每延迟一天，分包人应向承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承担5</w:t>
      </w:r>
      <w:r>
        <w:rPr>
          <w:color w:val="000000" w:themeColor="text1"/>
          <w14:textFill>
            <w14:solidFill>
              <w14:schemeClr w14:val="tx1"/>
            </w14:solidFill>
          </w14:textFill>
        </w:rPr>
        <w:t>万</w:t>
      </w:r>
      <w:r>
        <w:rPr>
          <w:rFonts w:hint="eastAsia"/>
          <w:color w:val="000000" w:themeColor="text1"/>
          <w14:textFill>
            <w14:solidFill>
              <w14:schemeClr w14:val="tx1"/>
            </w14:solidFill>
          </w14:textFill>
        </w:rPr>
        <w:t>元的违约金，如违约金不足以弥补承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或发包人损失的，承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或发包人还有权向分包人追偿。</w:t>
      </w:r>
    </w:p>
    <w:p w14:paraId="6E0E5759">
      <w:pPr>
        <w:pStyle w:val="56"/>
        <w:ind w:firstLine="480"/>
        <w:rPr>
          <w:color w:val="000000" w:themeColor="text1"/>
          <w14:textFill>
            <w14:solidFill>
              <w14:schemeClr w14:val="tx1"/>
            </w14:solidFill>
          </w14:textFill>
        </w:rPr>
      </w:pPr>
      <w:r>
        <w:rPr>
          <w:rFonts w:eastAsia="黑体"/>
          <w:bCs/>
          <w:color w:val="000000" w:themeColor="text1"/>
          <w:kern w:val="2"/>
          <w14:textFill>
            <w14:solidFill>
              <w14:schemeClr w14:val="tx1"/>
            </w14:solidFill>
          </w14:textFill>
        </w:rPr>
        <w:t xml:space="preserve">24.3 </w:t>
      </w:r>
      <w:r>
        <w:rPr>
          <w:rFonts w:hint="eastAsia" w:eastAsia="黑体"/>
          <w:bCs/>
          <w:color w:val="000000" w:themeColor="text1"/>
          <w:kern w:val="2"/>
          <w14:textFill>
            <w14:solidFill>
              <w14:schemeClr w14:val="tx1"/>
            </w14:solidFill>
          </w14:textFill>
        </w:rPr>
        <w:t>合同解除的其它条件：</w:t>
      </w:r>
    </w:p>
    <w:p w14:paraId="46120AC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在与分包人签订本合同前，承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发现分包人的投标文件中存在不符合招标文件资格审查要求的，投标文件中有弄虚作假的，或则投标文件中带有附加性条件等未完全响应招标文件实质性内容的情形的，发包人有权取消分包人的中标资格，不予退还投标担保金；在签订本合同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或发包人发现分包人存在前述情形的，经发包人书面确认，承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有权单方解除本合同、不予退还履约担保，并要求分包人赔偿因此给承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或发包人造成的损失（包括但不限于重新招标选择施工单位的费用损失及工期延误的损失等）。</w:t>
      </w:r>
    </w:p>
    <w:p w14:paraId="766182A6">
      <w:pPr>
        <w:pStyle w:val="56"/>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2）本合同签订后发现分包人被列入失信被执行人名单且无法在14日内解决并提供有效执行证明的，发包人、承包人有权单方解除合同。分包人因上述原因解除合同的，无权要求任何补偿或者赔偿，且分包人应当赔偿由此给发包人、承包人造成的损失。</w:t>
      </w:r>
      <w:bookmarkEnd w:id="549"/>
      <w:bookmarkEnd w:id="878"/>
      <w:bookmarkEnd w:id="879"/>
      <w:bookmarkEnd w:id="880"/>
      <w:bookmarkStart w:id="885" w:name="_Toc402450479"/>
    </w:p>
    <w:p w14:paraId="63036E96">
      <w:pPr>
        <w:pStyle w:val="3"/>
        <w:spacing w:before="0" w:after="0" w:line="240" w:lineRule="auto"/>
        <w:rPr>
          <w:rFonts w:ascii="仿宋" w:hAnsi="仿宋" w:eastAsia="仿宋" w:cs="宋体"/>
          <w:color w:val="000000" w:themeColor="text1"/>
          <w:sz w:val="36"/>
          <w:szCs w:val="28"/>
          <w14:textFill>
            <w14:solidFill>
              <w14:schemeClr w14:val="tx1"/>
            </w14:solidFill>
          </w14:textFill>
        </w:rPr>
      </w:pPr>
      <w:bookmarkStart w:id="886" w:name="_Toc32655"/>
      <w:bookmarkStart w:id="887" w:name="_Toc12240"/>
      <w:r>
        <w:rPr>
          <w:rFonts w:hint="eastAsia" w:ascii="仿宋" w:hAnsi="仿宋" w:eastAsia="仿宋" w:cs="宋体"/>
          <w:color w:val="000000" w:themeColor="text1"/>
          <w:sz w:val="36"/>
          <w:szCs w:val="28"/>
          <w14:textFill>
            <w14:solidFill>
              <w14:schemeClr w14:val="tx1"/>
            </w14:solidFill>
          </w14:textFill>
        </w:rPr>
        <w:t>附件</w:t>
      </w:r>
      <w:bookmarkEnd w:id="885"/>
      <w:bookmarkEnd w:id="886"/>
      <w:bookmarkEnd w:id="887"/>
    </w:p>
    <w:p w14:paraId="621579FB">
      <w:pPr>
        <w:pStyle w:val="56"/>
        <w:ind w:firstLine="0" w:firstLineChars="0"/>
        <w:rPr>
          <w:color w:val="000000" w:themeColor="text1"/>
          <w14:textFill>
            <w14:solidFill>
              <w14:schemeClr w14:val="tx1"/>
            </w14:solidFill>
          </w14:textFill>
        </w:rPr>
      </w:pPr>
      <w:bookmarkStart w:id="888" w:name="_Toc40186514"/>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工程质量保修书</w:t>
      </w:r>
      <w:bookmarkEnd w:id="888"/>
    </w:p>
    <w:p w14:paraId="297E8721">
      <w:pPr>
        <w:pStyle w:val="56"/>
        <w:ind w:firstLine="0" w:firstLineChars="0"/>
        <w:rPr>
          <w:color w:val="000000" w:themeColor="text1"/>
          <w14:textFill>
            <w14:solidFill>
              <w14:schemeClr w14:val="tx1"/>
            </w14:solidFill>
          </w14:textFill>
        </w:rPr>
      </w:pPr>
      <w:bookmarkStart w:id="889" w:name="_Toc40186515"/>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 xml:space="preserve">幕墙工作界面划分表    </w:t>
      </w:r>
      <w:bookmarkEnd w:id="889"/>
    </w:p>
    <w:p w14:paraId="14884505">
      <w:pPr>
        <w:pStyle w:val="56"/>
        <w:ind w:firstLine="0" w:firstLineChars="0"/>
        <w:rPr>
          <w:color w:val="000000" w:themeColor="text1"/>
          <w14:textFill>
            <w14:solidFill>
              <w14:schemeClr w14:val="tx1"/>
            </w14:solidFill>
          </w14:textFill>
        </w:rPr>
      </w:pPr>
      <w:bookmarkStart w:id="890" w:name="_Toc40186516"/>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 xml:space="preserve">施工技术要求（另册）     </w:t>
      </w:r>
      <w:bookmarkEnd w:id="890"/>
    </w:p>
    <w:p w14:paraId="0F7EA7C2">
      <w:pPr>
        <w:pStyle w:val="56"/>
        <w:ind w:firstLine="0" w:firstLineChars="0"/>
        <w:rPr>
          <w:color w:val="000000" w:themeColor="text1"/>
          <w14:textFill>
            <w14:solidFill>
              <w14:schemeClr w14:val="tx1"/>
            </w14:solidFill>
          </w14:textFill>
        </w:rPr>
      </w:pPr>
      <w:bookmarkStart w:id="891" w:name="_Toc40186517"/>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 xml:space="preserve">材料设备品牌推荐表（另册）   </w:t>
      </w:r>
      <w:bookmarkEnd w:id="891"/>
    </w:p>
    <w:p w14:paraId="0E44C3AB">
      <w:pPr>
        <w:pStyle w:val="56"/>
        <w:ind w:firstLine="0" w:firstLineChars="0"/>
        <w:rPr>
          <w:color w:val="000000" w:themeColor="text1"/>
          <w14:textFill>
            <w14:solidFill>
              <w14:schemeClr w14:val="tx1"/>
            </w14:solidFill>
          </w14:textFill>
        </w:rPr>
      </w:pPr>
      <w:bookmarkStart w:id="892" w:name="_Toc40186519"/>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工程建设项目廉政合同书</w:t>
      </w:r>
      <w:bookmarkEnd w:id="892"/>
    </w:p>
    <w:p w14:paraId="2D5A4830">
      <w:pPr>
        <w:pStyle w:val="56"/>
        <w:ind w:firstLine="0" w:firstLineChars="0"/>
        <w:rPr>
          <w:color w:val="000000" w:themeColor="text1"/>
          <w14:textFill>
            <w14:solidFill>
              <w14:schemeClr w14:val="tx1"/>
            </w14:solidFill>
          </w14:textFill>
        </w:rPr>
      </w:pPr>
      <w:bookmarkStart w:id="893" w:name="_Toc40186520"/>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施工总承包管理配合协议（另册） </w:t>
      </w:r>
      <w:bookmarkEnd w:id="893"/>
    </w:p>
    <w:p w14:paraId="5C5B25AF">
      <w:pPr>
        <w:pStyle w:val="56"/>
        <w:ind w:firstLine="0" w:firstLineChars="0"/>
        <w:rPr>
          <w:color w:val="000000" w:themeColor="text1"/>
          <w14:textFill>
            <w14:solidFill>
              <w14:schemeClr w14:val="tx1"/>
            </w14:solidFill>
          </w14:textFill>
        </w:rPr>
      </w:pPr>
      <w:bookmarkStart w:id="894" w:name="_Toc40186521"/>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施工现场安全生产协议书</w:t>
      </w:r>
      <w:bookmarkEnd w:id="894"/>
    </w:p>
    <w:p w14:paraId="65898724">
      <w:pPr>
        <w:pStyle w:val="56"/>
        <w:ind w:firstLine="0" w:firstLineChars="0"/>
        <w:rPr>
          <w:color w:val="000000" w:themeColor="text1"/>
          <w14:textFill>
            <w14:solidFill>
              <w14:schemeClr w14:val="tx1"/>
            </w14:solidFill>
          </w14:textFill>
        </w:rPr>
      </w:pPr>
      <w:bookmarkStart w:id="895" w:name="_Toc40186522"/>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项目管理班子及其他管理人员配备情况表</w:t>
      </w:r>
      <w:bookmarkEnd w:id="895"/>
    </w:p>
    <w:p w14:paraId="0AF09714">
      <w:pPr>
        <w:pStyle w:val="56"/>
        <w:ind w:firstLine="0" w:firstLineChars="0"/>
        <w:rPr>
          <w:color w:val="000000" w:themeColor="text1"/>
          <w14:textFill>
            <w14:solidFill>
              <w14:schemeClr w14:val="tx1"/>
            </w14:solidFill>
          </w14:textFill>
        </w:rPr>
      </w:pPr>
      <w:bookmarkStart w:id="896" w:name="_Toc40186524"/>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9</w:t>
      </w:r>
      <w:bookmarkEnd w:id="896"/>
      <w:r>
        <w:rPr>
          <w:rFonts w:hint="eastAsia"/>
          <w:color w:val="000000" w:themeColor="text1"/>
          <w14:textFill>
            <w14:solidFill>
              <w14:schemeClr w14:val="tx1"/>
            </w14:solidFill>
          </w14:textFill>
        </w:rPr>
        <w:t xml:space="preserve"> 主要施工机械设备表</w:t>
      </w:r>
    </w:p>
    <w:p w14:paraId="512238E3">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 履约评价办法</w:t>
      </w:r>
    </w:p>
    <w:p w14:paraId="728EFFE5">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 答疑补遗纪要</w:t>
      </w:r>
    </w:p>
    <w:p w14:paraId="3292C8E5">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 保密协议</w:t>
      </w:r>
    </w:p>
    <w:p w14:paraId="46C53A6F">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3 工程质量专项管理协议</w:t>
      </w:r>
    </w:p>
    <w:p w14:paraId="553A41B9">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 农民工工资委托支付协议</w:t>
      </w:r>
    </w:p>
    <w:p w14:paraId="087A2A8A">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 施工现场消防安全管理协议</w:t>
      </w:r>
    </w:p>
    <w:p w14:paraId="2026949F">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6 施工现场临时用电安全管理协议</w:t>
      </w:r>
    </w:p>
    <w:p w14:paraId="1806DCD7">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7 承诺书</w:t>
      </w:r>
    </w:p>
    <w:p w14:paraId="58860AE3">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897" w:name="_Toc5442"/>
      <w:bookmarkStart w:id="898" w:name="_Toc44227951"/>
      <w:bookmarkStart w:id="899" w:name="_Toc44492628"/>
      <w:bookmarkStart w:id="900" w:name="_Toc27297"/>
      <w:bookmarkStart w:id="901" w:name="_Toc10027"/>
    </w:p>
    <w:p w14:paraId="409C8C26">
      <w:pPr>
        <w:pStyle w:val="72"/>
        <w:rPr>
          <w:color w:val="000000" w:themeColor="text1"/>
          <w14:textFill>
            <w14:solidFill>
              <w14:schemeClr w14:val="tx1"/>
            </w14:solidFill>
          </w14:textFill>
        </w:rPr>
      </w:pPr>
      <w:bookmarkStart w:id="902" w:name="_Toc18217"/>
      <w:bookmarkStart w:id="903" w:name="_Toc169515612"/>
      <w:bookmarkStart w:id="904" w:name="_Toc19215"/>
      <w:r>
        <w:rPr>
          <w:rFonts w:hint="eastAsia"/>
          <w:color w:val="000000" w:themeColor="text1"/>
          <w14:textFill>
            <w14:solidFill>
              <w14:schemeClr w14:val="tx1"/>
            </w14:solidFill>
          </w14:textFill>
        </w:rPr>
        <w:t>第四部分 补充条款</w:t>
      </w:r>
      <w:bookmarkEnd w:id="902"/>
      <w:bookmarkEnd w:id="903"/>
      <w:bookmarkEnd w:id="904"/>
    </w:p>
    <w:bookmarkEnd w:id="897"/>
    <w:p w14:paraId="1D0E5936">
      <w:pPr>
        <w:pStyle w:val="3"/>
        <w:spacing w:before="0" w:after="0" w:line="240" w:lineRule="auto"/>
        <w:rPr>
          <w:rFonts w:ascii="仿宋" w:hAnsi="仿宋" w:eastAsia="仿宋" w:cs="宋体"/>
          <w:color w:val="000000" w:themeColor="text1"/>
          <w:sz w:val="36"/>
          <w:szCs w:val="28"/>
          <w14:textFill>
            <w14:solidFill>
              <w14:schemeClr w14:val="tx1"/>
            </w14:solidFill>
          </w14:textFill>
        </w:rPr>
      </w:pPr>
      <w:bookmarkStart w:id="905" w:name="_Toc18563"/>
      <w:bookmarkStart w:id="906" w:name="_Toc173944816"/>
      <w:bookmarkStart w:id="907" w:name="_Toc4912"/>
      <w:r>
        <w:rPr>
          <w:rFonts w:hint="eastAsia" w:ascii="仿宋" w:hAnsi="仿宋" w:eastAsia="仿宋" w:cs="宋体"/>
          <w:color w:val="000000" w:themeColor="text1"/>
          <w:sz w:val="36"/>
          <w:szCs w:val="28"/>
          <w14:textFill>
            <w14:solidFill>
              <w14:schemeClr w14:val="tx1"/>
            </w14:solidFill>
          </w14:textFill>
        </w:rPr>
        <w:t>一 发包人管理要求</w:t>
      </w:r>
      <w:bookmarkEnd w:id="905"/>
      <w:bookmarkEnd w:id="906"/>
      <w:bookmarkEnd w:id="907"/>
    </w:p>
    <w:p w14:paraId="5DB4E2E9">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（一）高品质管理要求</w:t>
      </w:r>
    </w:p>
    <w:p w14:paraId="13C92200">
      <w:pPr>
        <w:pStyle w:val="56"/>
        <w:ind w:firstLine="480"/>
        <w:rPr>
          <w:rFonts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珠江新城A3-3（B）地块项目作为广州市重点项目，承包人、分包人应秉持秉持精益求精、一丝不苟的工匠精神，坚持“质量为本、安全第一、科学合理”高起点规划、高质量建设、高品质管理，努力打造精品工程。</w:t>
      </w:r>
    </w:p>
    <w:p w14:paraId="5BA7559E">
      <w:pPr>
        <w:pStyle w:val="56"/>
        <w:ind w:firstLine="480"/>
        <w:rPr>
          <w:rFonts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分包人应充分掌握通过建筑设计、幕墙设计图纸工程技术说明和BIM模型等工程信息。针对幕墙工程特点，结合本项目质量、安全、进度、施工组织、光伏幕墙应用等重难点问题，提出高品质工程管理要求，并在进场后编制《高质量高品质建造专篇》，设置高位协调配置资源机制，建立项目各阶段验收标准，执行策划先行和样板先行准则，确保实现远观质量上乘，近观工艺考究，工作性能优异的幕墙工程，同时满足本工程各类建设目标，本工程目标为：</w:t>
      </w:r>
    </w:p>
    <w:p w14:paraId="7A650DA7">
      <w:pPr>
        <w:pStyle w:val="56"/>
        <w:ind w:firstLine="480"/>
        <w:rPr>
          <w:rFonts w:asciiTheme="minorEastAsia" w:hAnsiTheme="minorEastAsia" w:eastAsiaTheme="minorEastAsia"/>
          <w:color w:val="000000" w:themeColor="text1"/>
          <w:kern w:val="2"/>
          <w:szCs w:val="22"/>
          <w14:textFill>
            <w14:solidFill>
              <w14:schemeClr w14:val="tx1"/>
            </w14:solidFill>
          </w14:textFill>
        </w:rPr>
      </w:pPr>
      <w:r>
        <w:rPr>
          <w:rFonts w:asciiTheme="minorEastAsia" w:hAnsiTheme="minorEastAsia" w:eastAsiaTheme="minorEastAsia"/>
          <w:color w:val="000000" w:themeColor="text1"/>
          <w:kern w:val="2"/>
          <w:szCs w:val="22"/>
          <w14:textFill>
            <w14:solidFill>
              <w14:schemeClr w14:val="tx1"/>
            </w14:solidFill>
          </w14:textFill>
        </w:rPr>
        <w:t>1.</w:t>
      </w:r>
      <w:r>
        <w:rPr>
          <w:rFonts w:hint="eastAsia" w:asciiTheme="minorEastAsia" w:hAnsiTheme="minorEastAsia" w:eastAsiaTheme="minorEastAsia"/>
          <w:color w:val="000000" w:themeColor="text1"/>
          <w:kern w:val="2"/>
          <w:szCs w:val="22"/>
          <w14:textFill>
            <w14:solidFill>
              <w14:schemeClr w14:val="tx1"/>
            </w14:solidFill>
          </w14:textFill>
        </w:rPr>
        <w:t>安全目标：配合获得广东省安全文明双优工地。</w:t>
      </w:r>
    </w:p>
    <w:p w14:paraId="3F4B0F36">
      <w:pPr>
        <w:pStyle w:val="56"/>
        <w:ind w:firstLine="480"/>
        <w:rPr>
          <w:rFonts w:asciiTheme="minorEastAsia" w:hAnsiTheme="minorEastAsia" w:eastAsiaTheme="minorEastAsia"/>
          <w:color w:val="000000" w:themeColor="text1"/>
          <w:kern w:val="2"/>
          <w:szCs w:val="22"/>
          <w14:textFill>
            <w14:solidFill>
              <w14:schemeClr w14:val="tx1"/>
            </w14:solidFill>
          </w14:textFill>
        </w:rPr>
      </w:pPr>
      <w:r>
        <w:rPr>
          <w:rFonts w:asciiTheme="minorEastAsia" w:hAnsiTheme="minorEastAsia" w:eastAsiaTheme="minorEastAsia"/>
          <w:color w:val="000000" w:themeColor="text1"/>
          <w:kern w:val="2"/>
          <w:szCs w:val="22"/>
          <w14:textFill>
            <w14:solidFill>
              <w14:schemeClr w14:val="tx1"/>
            </w14:solidFill>
          </w14:textFill>
        </w:rPr>
        <w:t>2.</w:t>
      </w:r>
      <w:r>
        <w:rPr>
          <w:rFonts w:hint="eastAsia" w:asciiTheme="minorEastAsia" w:hAnsiTheme="minorEastAsia" w:eastAsiaTheme="minorEastAsia"/>
          <w:color w:val="000000" w:themeColor="text1"/>
          <w:kern w:val="2"/>
          <w:szCs w:val="22"/>
          <w14:textFill>
            <w14:solidFill>
              <w14:schemeClr w14:val="tx1"/>
            </w14:solidFill>
          </w14:textFill>
        </w:rPr>
        <w:t>质量目标：合格。</w:t>
      </w:r>
    </w:p>
    <w:p w14:paraId="55654507">
      <w:pPr>
        <w:pStyle w:val="56"/>
        <w:ind w:firstLine="480"/>
        <w:rPr>
          <w:rFonts w:asciiTheme="minorEastAsia" w:hAnsiTheme="minorEastAsia" w:eastAsiaTheme="minorEastAsia"/>
          <w:color w:val="auto"/>
          <w:kern w:val="2"/>
          <w:szCs w:val="22"/>
        </w:rPr>
      </w:pPr>
      <w:r>
        <w:rPr>
          <w:rFonts w:asciiTheme="minorEastAsia" w:hAnsiTheme="minorEastAsia" w:eastAsiaTheme="minorEastAsia"/>
          <w:color w:val="000000" w:themeColor="text1"/>
          <w:kern w:val="2"/>
          <w:szCs w:val="22"/>
          <w14:textFill>
            <w14:solidFill>
              <w14:schemeClr w14:val="tx1"/>
            </w14:solidFill>
          </w14:textFill>
        </w:rPr>
        <w:t>3.</w:t>
      </w:r>
      <w:r>
        <w:rPr>
          <w:rFonts w:hint="eastAsia" w:asciiTheme="minorEastAsia" w:hAnsiTheme="minorEastAsia" w:eastAsiaTheme="minorEastAsia"/>
          <w:color w:val="000000" w:themeColor="text1"/>
          <w:kern w:val="2"/>
          <w:szCs w:val="22"/>
          <w14:textFill>
            <w14:solidFill>
              <w14:schemeClr w14:val="tx1"/>
            </w14:solidFill>
          </w14:textFill>
        </w:rPr>
        <w:t>创优目标：</w:t>
      </w:r>
      <w:r>
        <w:rPr>
          <w:rFonts w:hint="eastAsia" w:asciiTheme="minorEastAsia" w:hAnsiTheme="minorEastAsia" w:eastAsiaTheme="minorEastAsia"/>
          <w:color w:val="auto"/>
          <w:kern w:val="2"/>
          <w:szCs w:val="22"/>
        </w:rPr>
        <w:t>获得广东省优秀建筑装饰工程奖，配合获得广东省建设工程金匠奖。</w:t>
      </w:r>
    </w:p>
    <w:p w14:paraId="4D09532A">
      <w:pPr>
        <w:pStyle w:val="56"/>
        <w:ind w:firstLine="480"/>
        <w:rPr>
          <w:rFonts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4</w:t>
      </w:r>
      <w:r>
        <w:rPr>
          <w:rFonts w:asciiTheme="minorEastAsia" w:hAnsiTheme="minorEastAsia" w:eastAsiaTheme="minorEastAsia"/>
          <w:color w:val="000000" w:themeColor="text1"/>
          <w:kern w:val="2"/>
          <w:szCs w:val="22"/>
          <w14:textFill>
            <w14:solidFill>
              <w14:schemeClr w14:val="tx1"/>
            </w14:solidFill>
          </w14:textFill>
        </w:rPr>
        <w:t>.</w:t>
      </w:r>
      <w:r>
        <w:rPr>
          <w:rFonts w:hint="eastAsia" w:asciiTheme="minorEastAsia" w:hAnsiTheme="minorEastAsia" w:eastAsiaTheme="minorEastAsia"/>
          <w:color w:val="000000" w:themeColor="text1"/>
          <w:kern w:val="2"/>
          <w:szCs w:val="22"/>
          <w14:textFill>
            <w14:solidFill>
              <w14:schemeClr w14:val="tx1"/>
            </w14:solidFill>
          </w14:textFill>
        </w:rPr>
        <w:t>移交目标：联合验收至移交运营管理公司50天内完成。</w:t>
      </w:r>
    </w:p>
    <w:p w14:paraId="3AD0560B">
      <w:pPr>
        <w:pStyle w:val="56"/>
        <w:ind w:firstLine="480"/>
        <w:rPr>
          <w:rFonts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5</w:t>
      </w:r>
      <w:r>
        <w:rPr>
          <w:rFonts w:asciiTheme="minorEastAsia" w:hAnsiTheme="minorEastAsia" w:eastAsiaTheme="minorEastAsia"/>
          <w:color w:val="000000" w:themeColor="text1"/>
          <w:kern w:val="2"/>
          <w:szCs w:val="22"/>
          <w14:textFill>
            <w14:solidFill>
              <w14:schemeClr w14:val="tx1"/>
            </w14:solidFill>
          </w14:textFill>
        </w:rPr>
        <w:t>.</w:t>
      </w:r>
      <w:r>
        <w:rPr>
          <w:rFonts w:hint="eastAsia" w:asciiTheme="minorEastAsia" w:hAnsiTheme="minorEastAsia" w:eastAsiaTheme="minorEastAsia"/>
          <w:color w:val="000000" w:themeColor="text1"/>
          <w:kern w:val="2"/>
          <w:szCs w:val="22"/>
          <w14:textFill>
            <w14:solidFill>
              <w14:schemeClr w14:val="tx1"/>
            </w14:solidFill>
          </w14:textFill>
        </w:rPr>
        <w:t>其他建设目标：配合获得国标绿色建筑二星级评价标识。</w:t>
      </w:r>
    </w:p>
    <w:p w14:paraId="6F5A8D34">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（二）项目团队与人员要求</w:t>
      </w:r>
    </w:p>
    <w:p w14:paraId="2354D96A">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.1</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现场组织架构要求</w:t>
      </w:r>
    </w:p>
    <w:p w14:paraId="0184603A">
      <w:pPr>
        <w:pStyle w:val="56"/>
        <w:ind w:firstLine="480"/>
        <w:rPr>
          <w:rFonts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分包人需对本项目成立专门的领导小组和技术小组，领导小组需由分包人的公司领导任组长、技术小组由分包人的总工或副总工任组长。分包人所提供的施工图纸审核意见、深化图纸、施工组织方案、安全文明措施方案需由技术小组审批后方能通过分包人审核后提供给承包人、发包人；领导小组负责有关项目重大事宜的协调工作（含安全事故、进度滞后、质量事故等）；分包人进场后一个月内需向承包人、监理人、发包人提交加盖公章的领导小组及技术小组名单（包含联系方式）。</w:t>
      </w:r>
    </w:p>
    <w:p w14:paraId="22048DB0">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分包人须按合同要求组建项目管理团队及人员，分包人拟派的项目负责人及技术负责人应具有以项目负责人和技术负责人身份承担的类似工程业绩，并需经发包人、承包人及监理人面试后确认，分包人项目组织架构团队人员数量及专业应满足本工程施工工作需要，并根据工程进度及时调整组织架构团队人员数量。</w:t>
      </w:r>
    </w:p>
    <w:p w14:paraId="67C0757D">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分包人项目组织架构人员须配置齐全，均应具备良好的职业道德和严谨的工作作风。分包人项目负责人、技术负责人其他主要施工管理人员应保证在施工阶段常驻现场，并按发包人、承包人及监理人要求进行打卡考勤，否则分包人需按项目管理人员缺勤违约条款支付违约金。</w:t>
      </w:r>
    </w:p>
    <w:p w14:paraId="219B6903">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分包人项目组织架构团队人员不得兼任其它项目。发包人和承包人有权对不满足项目要求的分包人项目团队人员向分包人提出更换，分包人收到发包人、承包人书面通知后14天内更换相应人员，并通过发包人面试，逾期未完成更换的，应按违约条款支付违约金。</w:t>
      </w:r>
    </w:p>
    <w:p w14:paraId="5B9A39FD">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 xml:space="preserve">3.2 </w:t>
      </w:r>
      <w:r>
        <w:rPr>
          <w:rFonts w:hint="eastAsia"/>
          <w:color w:val="000000" w:themeColor="text1"/>
          <w:sz w:val="24"/>
          <w:szCs w:val="21"/>
          <w14:textFill>
            <w14:solidFill>
              <w14:schemeClr w14:val="tx1"/>
            </w14:solidFill>
          </w14:textFill>
        </w:rPr>
        <w:t>人员配置要求</w:t>
      </w:r>
    </w:p>
    <w:p w14:paraId="07275E6B">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分包人主要施工管理人员需参照《各阶段主要施工管理人员最低配置要求表》的要求配置，表中人员需求为最低配置，分包人不得低于上述表格标准的要求配备项目主要管理人员，如项目团队人员数量、人员能力无法满足项目建设需要，发包人、承包人有权根据工程建设实际需要，要求分包人提高配置人员资格要求及数量，分包人在投标报价中应综合考虑，不得以此向发包人提出费用补偿；表格中要求的分包人设计人员指常驻现场的设计人员，除此之外，公司后台应配备足够的设计人员、B</w:t>
      </w:r>
      <w:r>
        <w:rPr>
          <w:color w:val="000000" w:themeColor="text1"/>
          <w14:textFill>
            <w14:solidFill>
              <w14:schemeClr w14:val="tx1"/>
            </w14:solidFill>
          </w14:textFill>
        </w:rPr>
        <w:t>IM人员</w:t>
      </w:r>
      <w:r>
        <w:rPr>
          <w:rFonts w:hint="eastAsia"/>
          <w:color w:val="000000" w:themeColor="text1"/>
          <w14:textFill>
            <w14:solidFill>
              <w14:schemeClr w14:val="tx1"/>
            </w14:solidFill>
          </w14:textFill>
        </w:rPr>
        <w:t>开展深化设计、技术支持等工作以满足项目需求；在生产加工阶段，分包人须按工程需求派驻工厂监造人员；</w:t>
      </w:r>
    </w:p>
    <w:p w14:paraId="452A7526">
      <w:pPr>
        <w:ind w:firstLine="480"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各阶段主要施工管理人员最低配置要求表</w:t>
      </w:r>
    </w:p>
    <w:tbl>
      <w:tblPr>
        <w:tblStyle w:val="41"/>
        <w:tblW w:w="5588" w:type="pct"/>
        <w:jc w:val="center"/>
        <w:tblLayout w:type="autofit"/>
        <w:tblCellMar>
          <w:top w:w="0" w:type="dxa"/>
          <w:left w:w="108" w:type="dxa"/>
          <w:bottom w:w="0" w:type="dxa"/>
          <w:right w:w="108" w:type="dxa"/>
        </w:tblCellMar>
      </w:tblPr>
      <w:tblGrid>
        <w:gridCol w:w="511"/>
        <w:gridCol w:w="1232"/>
        <w:gridCol w:w="3639"/>
        <w:gridCol w:w="1193"/>
        <w:gridCol w:w="982"/>
        <w:gridCol w:w="982"/>
        <w:gridCol w:w="1206"/>
      </w:tblGrid>
      <w:tr w14:paraId="3E169C1A">
        <w:tblPrEx>
          <w:tblCellMar>
            <w:top w:w="0" w:type="dxa"/>
            <w:left w:w="108" w:type="dxa"/>
            <w:bottom w:w="0" w:type="dxa"/>
            <w:right w:w="108" w:type="dxa"/>
          </w:tblCellMar>
        </w:tblPrEx>
        <w:trPr>
          <w:trHeight w:val="543"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78F1B5A6">
            <w:pPr>
              <w:jc w:val="center"/>
              <w:rPr>
                <w:rFonts w:ascii="宋体" w:hAnsi="宋体" w:cs="宋体"/>
                <w:bCs/>
                <w:color w:val="000000"/>
                <w:kern w:val="0"/>
                <w:sz w:val="18"/>
                <w:szCs w:val="16"/>
              </w:rPr>
            </w:pPr>
            <w:r>
              <w:rPr>
                <w:rFonts w:hint="eastAsia" w:ascii="宋体" w:hAnsi="宋体" w:cs="宋体"/>
                <w:bCs/>
                <w:color w:val="000000"/>
                <w:kern w:val="0"/>
                <w:sz w:val="18"/>
                <w:szCs w:val="16"/>
              </w:rPr>
              <w:t>序号</w:t>
            </w:r>
          </w:p>
        </w:tc>
        <w:tc>
          <w:tcPr>
            <w:tcW w:w="632" w:type="pct"/>
            <w:tcBorders>
              <w:top w:val="single" w:color="auto" w:sz="4" w:space="0"/>
              <w:left w:val="nil"/>
              <w:bottom w:val="single" w:color="auto" w:sz="4" w:space="0"/>
              <w:right w:val="single" w:color="auto" w:sz="4" w:space="0"/>
            </w:tcBorders>
            <w:vAlign w:val="center"/>
          </w:tcPr>
          <w:p w14:paraId="1C588EC0">
            <w:pPr>
              <w:jc w:val="center"/>
              <w:rPr>
                <w:rFonts w:ascii="宋体" w:hAnsi="宋体" w:cs="宋体"/>
                <w:bCs/>
                <w:color w:val="000000"/>
                <w:kern w:val="0"/>
                <w:sz w:val="18"/>
                <w:szCs w:val="16"/>
              </w:rPr>
            </w:pPr>
            <w:r>
              <w:rPr>
                <w:rFonts w:hint="eastAsia" w:ascii="宋体" w:hAnsi="宋体" w:cs="宋体"/>
                <w:bCs/>
                <w:color w:val="000000"/>
                <w:kern w:val="0"/>
                <w:sz w:val="18"/>
                <w:szCs w:val="16"/>
              </w:rPr>
              <w:t>职位名称</w:t>
            </w:r>
          </w:p>
        </w:tc>
        <w:tc>
          <w:tcPr>
            <w:tcW w:w="1867" w:type="pct"/>
            <w:tcBorders>
              <w:top w:val="single" w:color="auto" w:sz="4" w:space="0"/>
              <w:left w:val="nil"/>
              <w:bottom w:val="single" w:color="auto" w:sz="4" w:space="0"/>
              <w:right w:val="single" w:color="auto" w:sz="4" w:space="0"/>
            </w:tcBorders>
            <w:vAlign w:val="center"/>
          </w:tcPr>
          <w:p w14:paraId="281301C6">
            <w:pPr>
              <w:jc w:val="center"/>
              <w:rPr>
                <w:rFonts w:ascii="宋体" w:hAnsi="宋体" w:cs="宋体"/>
                <w:bCs/>
                <w:color w:val="000000"/>
                <w:kern w:val="0"/>
                <w:sz w:val="18"/>
                <w:szCs w:val="16"/>
              </w:rPr>
            </w:pPr>
            <w:r>
              <w:rPr>
                <w:rFonts w:hint="eastAsia" w:ascii="宋体" w:hAnsi="宋体" w:cs="宋体"/>
                <w:bCs/>
                <w:color w:val="000000"/>
                <w:kern w:val="0"/>
                <w:sz w:val="18"/>
                <w:szCs w:val="16"/>
              </w:rPr>
              <w:t>资格要求</w:t>
            </w:r>
          </w:p>
        </w:tc>
        <w:tc>
          <w:tcPr>
            <w:tcW w:w="612" w:type="pct"/>
            <w:tcBorders>
              <w:top w:val="single" w:color="auto" w:sz="4" w:space="0"/>
              <w:left w:val="nil"/>
              <w:bottom w:val="single" w:color="auto" w:sz="4" w:space="0"/>
              <w:right w:val="single" w:color="auto" w:sz="4" w:space="0"/>
            </w:tcBorders>
            <w:vAlign w:val="center"/>
          </w:tcPr>
          <w:p w14:paraId="469EC61B">
            <w:pPr>
              <w:jc w:val="center"/>
              <w:rPr>
                <w:rFonts w:ascii="宋体" w:hAnsi="宋体" w:cs="宋体"/>
                <w:b/>
                <w:bCs/>
                <w:kern w:val="0"/>
                <w:sz w:val="18"/>
                <w:szCs w:val="16"/>
              </w:rPr>
            </w:pPr>
            <w:r>
              <w:rPr>
                <w:rFonts w:hint="eastAsia" w:ascii="宋体" w:hAnsi="宋体" w:cs="宋体"/>
                <w:bCs/>
                <w:color w:val="000000"/>
                <w:kern w:val="0"/>
                <w:sz w:val="18"/>
                <w:szCs w:val="16"/>
              </w:rPr>
              <w:t>幕墙深化准备阶段</w:t>
            </w:r>
          </w:p>
        </w:tc>
        <w:tc>
          <w:tcPr>
            <w:tcW w:w="504" w:type="pct"/>
            <w:tcBorders>
              <w:top w:val="single" w:color="auto" w:sz="4" w:space="0"/>
              <w:left w:val="nil"/>
              <w:bottom w:val="single" w:color="auto" w:sz="4" w:space="0"/>
              <w:right w:val="single" w:color="auto" w:sz="4" w:space="0"/>
            </w:tcBorders>
            <w:vAlign w:val="center"/>
          </w:tcPr>
          <w:p w14:paraId="3F1206D4">
            <w:pPr>
              <w:jc w:val="center"/>
              <w:rPr>
                <w:rFonts w:ascii="宋体" w:hAnsi="宋体" w:cs="宋体"/>
                <w:b/>
                <w:bCs/>
                <w:kern w:val="0"/>
                <w:sz w:val="18"/>
                <w:szCs w:val="16"/>
              </w:rPr>
            </w:pPr>
            <w:r>
              <w:rPr>
                <w:rFonts w:hint="eastAsia" w:ascii="宋体" w:hAnsi="宋体" w:cs="宋体"/>
                <w:bCs/>
                <w:color w:val="000000"/>
                <w:kern w:val="0"/>
                <w:sz w:val="18"/>
                <w:szCs w:val="16"/>
              </w:rPr>
              <w:t>幕墙施工安装阶段</w:t>
            </w:r>
          </w:p>
        </w:tc>
        <w:tc>
          <w:tcPr>
            <w:tcW w:w="504" w:type="pct"/>
            <w:tcBorders>
              <w:top w:val="single" w:color="auto" w:sz="4" w:space="0"/>
              <w:left w:val="single" w:color="auto" w:sz="4" w:space="0"/>
              <w:bottom w:val="single" w:color="auto" w:sz="4" w:space="0"/>
              <w:right w:val="single" w:color="auto" w:sz="4" w:space="0"/>
            </w:tcBorders>
            <w:vAlign w:val="center"/>
          </w:tcPr>
          <w:p w14:paraId="4F677065">
            <w:pPr>
              <w:jc w:val="center"/>
              <w:rPr>
                <w:rFonts w:ascii="宋体" w:hAnsi="宋体" w:cs="宋体"/>
                <w:b/>
                <w:bCs/>
                <w:kern w:val="0"/>
                <w:sz w:val="18"/>
                <w:szCs w:val="16"/>
              </w:rPr>
            </w:pPr>
            <w:r>
              <w:rPr>
                <w:rFonts w:hint="eastAsia" w:ascii="宋体" w:hAnsi="宋体" w:cs="宋体"/>
                <w:bCs/>
                <w:color w:val="000000"/>
                <w:kern w:val="0"/>
                <w:sz w:val="18"/>
                <w:szCs w:val="16"/>
              </w:rPr>
              <w:t>维保阶段</w:t>
            </w:r>
          </w:p>
        </w:tc>
        <w:tc>
          <w:tcPr>
            <w:tcW w:w="619" w:type="pct"/>
            <w:tcBorders>
              <w:top w:val="single" w:color="auto" w:sz="4" w:space="0"/>
              <w:left w:val="single" w:color="auto" w:sz="4" w:space="0"/>
              <w:bottom w:val="single" w:color="auto" w:sz="4" w:space="0"/>
              <w:right w:val="single" w:color="auto" w:sz="4" w:space="0"/>
            </w:tcBorders>
            <w:vAlign w:val="center"/>
          </w:tcPr>
          <w:p w14:paraId="7099585A">
            <w:pPr>
              <w:rPr>
                <w:rFonts w:ascii="宋体" w:hAnsi="宋体" w:cs="宋体"/>
                <w:b/>
                <w:bCs/>
                <w:kern w:val="0"/>
                <w:sz w:val="18"/>
                <w:szCs w:val="16"/>
              </w:rPr>
            </w:pPr>
            <w:r>
              <w:rPr>
                <w:rFonts w:hint="eastAsia" w:ascii="宋体" w:hAnsi="宋体" w:cs="宋体"/>
                <w:b/>
                <w:bCs/>
                <w:kern w:val="0"/>
                <w:sz w:val="18"/>
                <w:szCs w:val="16"/>
              </w:rPr>
              <w:t>备注</w:t>
            </w:r>
          </w:p>
        </w:tc>
      </w:tr>
      <w:tr w14:paraId="595F3AF9">
        <w:tblPrEx>
          <w:tblCellMar>
            <w:top w:w="0" w:type="dxa"/>
            <w:left w:w="108" w:type="dxa"/>
            <w:bottom w:w="0" w:type="dxa"/>
            <w:right w:w="108" w:type="dxa"/>
          </w:tblCellMar>
        </w:tblPrEx>
        <w:trPr>
          <w:trHeight w:val="55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3A64E4E3">
            <w:pPr>
              <w:jc w:val="center"/>
              <w:rPr>
                <w:rFonts w:ascii="宋体" w:hAnsi="宋体" w:cs="宋体"/>
                <w:b/>
                <w:bCs/>
                <w:kern w:val="0"/>
                <w:sz w:val="18"/>
                <w:szCs w:val="16"/>
              </w:rPr>
            </w:pPr>
            <w:r>
              <w:rPr>
                <w:rFonts w:hint="eastAsia" w:ascii="宋体" w:hAnsi="宋体" w:cs="宋体"/>
                <w:bCs/>
                <w:color w:val="000000"/>
                <w:kern w:val="0"/>
                <w:sz w:val="18"/>
                <w:szCs w:val="16"/>
              </w:rPr>
              <w:t>主要施工管理人员</w:t>
            </w:r>
          </w:p>
        </w:tc>
      </w:tr>
      <w:tr w14:paraId="2F219D7F">
        <w:tblPrEx>
          <w:tblCellMar>
            <w:top w:w="0" w:type="dxa"/>
            <w:left w:w="108" w:type="dxa"/>
            <w:bottom w:w="0" w:type="dxa"/>
            <w:right w:w="108" w:type="dxa"/>
          </w:tblCellMar>
        </w:tblPrEx>
        <w:trPr>
          <w:trHeight w:val="42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242DDBDB">
            <w:pPr>
              <w:widowControl/>
              <w:jc w:val="center"/>
              <w:rPr>
                <w:sz w:val="18"/>
                <w:szCs w:val="16"/>
              </w:rPr>
            </w:pPr>
            <w:r>
              <w:rPr>
                <w:sz w:val="18"/>
                <w:szCs w:val="16"/>
              </w:rPr>
              <w:t>1</w:t>
            </w:r>
          </w:p>
        </w:tc>
        <w:tc>
          <w:tcPr>
            <w:tcW w:w="632" w:type="pct"/>
            <w:tcBorders>
              <w:top w:val="single" w:color="auto" w:sz="4" w:space="0"/>
              <w:left w:val="nil"/>
              <w:bottom w:val="single" w:color="auto" w:sz="4" w:space="0"/>
              <w:right w:val="single" w:color="auto" w:sz="4" w:space="0"/>
            </w:tcBorders>
            <w:vAlign w:val="center"/>
          </w:tcPr>
          <w:p w14:paraId="6624961E">
            <w:pPr>
              <w:widowControl/>
              <w:jc w:val="left"/>
              <w:rPr>
                <w:sz w:val="18"/>
                <w:szCs w:val="16"/>
              </w:rPr>
            </w:pPr>
            <w:r>
              <w:rPr>
                <w:rFonts w:hint="eastAsia"/>
                <w:sz w:val="18"/>
                <w:szCs w:val="16"/>
              </w:rPr>
              <w:t>项目负责人</w:t>
            </w:r>
          </w:p>
        </w:tc>
        <w:tc>
          <w:tcPr>
            <w:tcW w:w="3639" w:type="dxa"/>
            <w:tcBorders>
              <w:top w:val="single" w:color="auto" w:sz="4" w:space="0"/>
              <w:left w:val="nil"/>
              <w:bottom w:val="single" w:color="auto" w:sz="4" w:space="0"/>
              <w:right w:val="single" w:color="auto" w:sz="4" w:space="0"/>
            </w:tcBorders>
            <w:vAlign w:val="center"/>
          </w:tcPr>
          <w:p w14:paraId="07B4FC53">
            <w:pPr>
              <w:widowControl/>
              <w:jc w:val="left"/>
              <w:rPr>
                <w:sz w:val="18"/>
                <w:szCs w:val="16"/>
              </w:rPr>
            </w:pPr>
            <w:r>
              <w:rPr>
                <w:rFonts w:hint="eastAsia"/>
                <w:sz w:val="18"/>
                <w:szCs w:val="16"/>
              </w:rPr>
              <w:t>一级注册建造师（建筑工程专业）</w:t>
            </w:r>
          </w:p>
        </w:tc>
        <w:tc>
          <w:tcPr>
            <w:tcW w:w="612" w:type="pct"/>
            <w:tcBorders>
              <w:top w:val="single" w:color="auto" w:sz="4" w:space="0"/>
              <w:left w:val="nil"/>
              <w:bottom w:val="single" w:color="auto" w:sz="4" w:space="0"/>
              <w:right w:val="single" w:color="auto" w:sz="4" w:space="0"/>
            </w:tcBorders>
            <w:vAlign w:val="center"/>
          </w:tcPr>
          <w:p w14:paraId="7486B564">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08F40D28">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144FB2F6">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12E5420B">
            <w:pPr>
              <w:jc w:val="left"/>
              <w:rPr>
                <w:sz w:val="18"/>
                <w:szCs w:val="16"/>
              </w:rPr>
            </w:pPr>
            <w:r>
              <w:rPr>
                <w:rFonts w:hint="eastAsia"/>
                <w:sz w:val="18"/>
                <w:szCs w:val="16"/>
              </w:rPr>
              <w:t>　</w:t>
            </w:r>
          </w:p>
        </w:tc>
      </w:tr>
      <w:tr w14:paraId="1198D3DC">
        <w:tblPrEx>
          <w:tblCellMar>
            <w:top w:w="0" w:type="dxa"/>
            <w:left w:w="108" w:type="dxa"/>
            <w:bottom w:w="0" w:type="dxa"/>
            <w:right w:w="108" w:type="dxa"/>
          </w:tblCellMar>
        </w:tblPrEx>
        <w:trPr>
          <w:trHeight w:val="42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1C049B34">
            <w:pPr>
              <w:widowControl/>
              <w:jc w:val="center"/>
              <w:rPr>
                <w:sz w:val="18"/>
                <w:szCs w:val="16"/>
              </w:rPr>
            </w:pPr>
            <w:r>
              <w:rPr>
                <w:sz w:val="18"/>
                <w:szCs w:val="16"/>
              </w:rPr>
              <w:t>2</w:t>
            </w:r>
          </w:p>
        </w:tc>
        <w:tc>
          <w:tcPr>
            <w:tcW w:w="632" w:type="pct"/>
            <w:tcBorders>
              <w:top w:val="single" w:color="auto" w:sz="4" w:space="0"/>
              <w:left w:val="nil"/>
              <w:bottom w:val="single" w:color="auto" w:sz="4" w:space="0"/>
              <w:right w:val="single" w:color="auto" w:sz="4" w:space="0"/>
            </w:tcBorders>
            <w:vAlign w:val="center"/>
          </w:tcPr>
          <w:p w14:paraId="2B4386A4">
            <w:pPr>
              <w:widowControl/>
              <w:jc w:val="left"/>
              <w:rPr>
                <w:sz w:val="18"/>
                <w:szCs w:val="16"/>
              </w:rPr>
            </w:pPr>
            <w:r>
              <w:rPr>
                <w:rFonts w:hint="eastAsia"/>
                <w:sz w:val="18"/>
                <w:szCs w:val="16"/>
              </w:rPr>
              <w:t>技术负责人</w:t>
            </w:r>
          </w:p>
        </w:tc>
        <w:tc>
          <w:tcPr>
            <w:tcW w:w="3639" w:type="dxa"/>
            <w:tcBorders>
              <w:top w:val="single" w:color="auto" w:sz="4" w:space="0"/>
              <w:left w:val="nil"/>
              <w:bottom w:val="single" w:color="auto" w:sz="4" w:space="0"/>
              <w:right w:val="single" w:color="auto" w:sz="4" w:space="0"/>
            </w:tcBorders>
            <w:vAlign w:val="center"/>
          </w:tcPr>
          <w:p w14:paraId="66CB1378">
            <w:pPr>
              <w:widowControl/>
              <w:jc w:val="left"/>
              <w:rPr>
                <w:sz w:val="18"/>
                <w:szCs w:val="16"/>
              </w:rPr>
            </w:pPr>
            <w:r>
              <w:rPr>
                <w:rFonts w:hint="eastAsia"/>
                <w:sz w:val="18"/>
                <w:szCs w:val="16"/>
              </w:rPr>
              <w:t>建筑工程相关专业高级工程师或以上职称</w:t>
            </w:r>
          </w:p>
        </w:tc>
        <w:tc>
          <w:tcPr>
            <w:tcW w:w="612" w:type="pct"/>
            <w:tcBorders>
              <w:top w:val="single" w:color="auto" w:sz="4" w:space="0"/>
              <w:left w:val="nil"/>
              <w:bottom w:val="single" w:color="auto" w:sz="4" w:space="0"/>
              <w:right w:val="single" w:color="auto" w:sz="4" w:space="0"/>
            </w:tcBorders>
            <w:vAlign w:val="center"/>
          </w:tcPr>
          <w:p w14:paraId="6A109C93">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47680FAB">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746DA014">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7E45FE57">
            <w:pPr>
              <w:jc w:val="left"/>
              <w:rPr>
                <w:sz w:val="18"/>
                <w:szCs w:val="16"/>
              </w:rPr>
            </w:pPr>
          </w:p>
        </w:tc>
      </w:tr>
      <w:tr w14:paraId="3A48EB21">
        <w:tblPrEx>
          <w:tblCellMar>
            <w:top w:w="0" w:type="dxa"/>
            <w:left w:w="108" w:type="dxa"/>
            <w:bottom w:w="0" w:type="dxa"/>
            <w:right w:w="108" w:type="dxa"/>
          </w:tblCellMar>
        </w:tblPrEx>
        <w:trPr>
          <w:trHeight w:val="42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22EAECAF">
            <w:pPr>
              <w:widowControl/>
              <w:jc w:val="center"/>
              <w:rPr>
                <w:sz w:val="18"/>
                <w:szCs w:val="16"/>
              </w:rPr>
            </w:pPr>
            <w:r>
              <w:rPr>
                <w:rFonts w:hint="eastAsia"/>
                <w:sz w:val="18"/>
                <w:szCs w:val="16"/>
              </w:rPr>
              <w:t>3</w:t>
            </w:r>
          </w:p>
        </w:tc>
        <w:tc>
          <w:tcPr>
            <w:tcW w:w="632" w:type="pct"/>
            <w:tcBorders>
              <w:top w:val="single" w:color="auto" w:sz="4" w:space="0"/>
              <w:left w:val="nil"/>
              <w:bottom w:val="single" w:color="auto" w:sz="4" w:space="0"/>
              <w:right w:val="single" w:color="auto" w:sz="4" w:space="0"/>
            </w:tcBorders>
            <w:vAlign w:val="center"/>
          </w:tcPr>
          <w:p w14:paraId="45BBA9F5">
            <w:pPr>
              <w:widowControl/>
              <w:jc w:val="left"/>
              <w:rPr>
                <w:sz w:val="18"/>
                <w:szCs w:val="16"/>
              </w:rPr>
            </w:pPr>
            <w:r>
              <w:rPr>
                <w:rFonts w:hint="eastAsia"/>
                <w:sz w:val="18"/>
                <w:szCs w:val="16"/>
              </w:rPr>
              <w:t>项目副经理</w:t>
            </w:r>
          </w:p>
        </w:tc>
        <w:tc>
          <w:tcPr>
            <w:tcW w:w="3639" w:type="dxa"/>
            <w:tcBorders>
              <w:top w:val="single" w:color="auto" w:sz="4" w:space="0"/>
              <w:left w:val="nil"/>
              <w:bottom w:val="single" w:color="auto" w:sz="4" w:space="0"/>
              <w:right w:val="single" w:color="auto" w:sz="4" w:space="0"/>
            </w:tcBorders>
            <w:vAlign w:val="center"/>
          </w:tcPr>
          <w:p w14:paraId="568EFA51">
            <w:pPr>
              <w:widowControl/>
              <w:jc w:val="left"/>
              <w:rPr>
                <w:sz w:val="18"/>
                <w:szCs w:val="16"/>
              </w:rPr>
            </w:pPr>
            <w:r>
              <w:rPr>
                <w:rFonts w:hint="eastAsia"/>
                <w:sz w:val="18"/>
                <w:szCs w:val="16"/>
              </w:rPr>
              <w:t>工程师或以上职称</w:t>
            </w:r>
          </w:p>
        </w:tc>
        <w:tc>
          <w:tcPr>
            <w:tcW w:w="612" w:type="pct"/>
            <w:tcBorders>
              <w:top w:val="single" w:color="auto" w:sz="4" w:space="0"/>
              <w:left w:val="nil"/>
              <w:bottom w:val="single" w:color="auto" w:sz="4" w:space="0"/>
              <w:right w:val="single" w:color="auto" w:sz="4" w:space="0"/>
            </w:tcBorders>
            <w:vAlign w:val="center"/>
          </w:tcPr>
          <w:p w14:paraId="7140E399">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4C32112E">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03D4C929">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5AEE84B3">
            <w:pPr>
              <w:jc w:val="left"/>
              <w:rPr>
                <w:sz w:val="18"/>
                <w:szCs w:val="16"/>
              </w:rPr>
            </w:pPr>
            <w:r>
              <w:rPr>
                <w:rFonts w:hint="eastAsia"/>
                <w:sz w:val="18"/>
                <w:szCs w:val="16"/>
              </w:rPr>
              <w:t>负责统筹现场生产管理工作、本工程计划管理</w:t>
            </w:r>
          </w:p>
        </w:tc>
      </w:tr>
      <w:tr w14:paraId="4258A335">
        <w:tblPrEx>
          <w:tblCellMar>
            <w:top w:w="0" w:type="dxa"/>
            <w:left w:w="108" w:type="dxa"/>
            <w:bottom w:w="0" w:type="dxa"/>
            <w:right w:w="108" w:type="dxa"/>
          </w:tblCellMar>
        </w:tblPrEx>
        <w:trPr>
          <w:trHeight w:val="42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446932DF">
            <w:pPr>
              <w:widowControl/>
              <w:jc w:val="center"/>
              <w:rPr>
                <w:sz w:val="18"/>
                <w:szCs w:val="16"/>
              </w:rPr>
            </w:pPr>
            <w:r>
              <w:rPr>
                <w:rFonts w:hint="eastAsia"/>
                <w:sz w:val="18"/>
                <w:szCs w:val="16"/>
              </w:rPr>
              <w:t>4</w:t>
            </w:r>
          </w:p>
        </w:tc>
        <w:tc>
          <w:tcPr>
            <w:tcW w:w="632" w:type="pct"/>
            <w:tcBorders>
              <w:top w:val="single" w:color="auto" w:sz="4" w:space="0"/>
              <w:left w:val="nil"/>
              <w:bottom w:val="single" w:color="auto" w:sz="4" w:space="0"/>
              <w:right w:val="single" w:color="auto" w:sz="4" w:space="0"/>
            </w:tcBorders>
            <w:vAlign w:val="center"/>
          </w:tcPr>
          <w:p w14:paraId="3B10EF9A">
            <w:pPr>
              <w:widowControl/>
              <w:jc w:val="left"/>
              <w:rPr>
                <w:sz w:val="18"/>
                <w:szCs w:val="16"/>
              </w:rPr>
            </w:pPr>
            <w:r>
              <w:rPr>
                <w:rFonts w:hint="eastAsia"/>
                <w:sz w:val="18"/>
                <w:szCs w:val="16"/>
              </w:rPr>
              <w:t>深化设计负责人</w:t>
            </w:r>
          </w:p>
        </w:tc>
        <w:tc>
          <w:tcPr>
            <w:tcW w:w="3639" w:type="dxa"/>
            <w:tcBorders>
              <w:top w:val="single" w:color="auto" w:sz="4" w:space="0"/>
              <w:left w:val="nil"/>
              <w:bottom w:val="single" w:color="auto" w:sz="4" w:space="0"/>
              <w:right w:val="single" w:color="auto" w:sz="4" w:space="0"/>
            </w:tcBorders>
            <w:vAlign w:val="center"/>
          </w:tcPr>
          <w:p w14:paraId="64FFEEEE">
            <w:pPr>
              <w:widowControl/>
              <w:jc w:val="left"/>
              <w:rPr>
                <w:sz w:val="18"/>
                <w:szCs w:val="16"/>
              </w:rPr>
            </w:pPr>
            <w:r>
              <w:rPr>
                <w:rFonts w:hint="eastAsia"/>
                <w:sz w:val="18"/>
                <w:szCs w:val="16"/>
              </w:rPr>
              <w:t>工程师或以上职称</w:t>
            </w:r>
          </w:p>
        </w:tc>
        <w:tc>
          <w:tcPr>
            <w:tcW w:w="612" w:type="pct"/>
            <w:tcBorders>
              <w:top w:val="single" w:color="auto" w:sz="4" w:space="0"/>
              <w:left w:val="nil"/>
              <w:bottom w:val="single" w:color="auto" w:sz="4" w:space="0"/>
              <w:right w:val="single" w:color="auto" w:sz="4" w:space="0"/>
            </w:tcBorders>
            <w:vAlign w:val="center"/>
          </w:tcPr>
          <w:p w14:paraId="5D25D322">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2B357CA1">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43085A1D">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2FF2925A">
            <w:pPr>
              <w:jc w:val="left"/>
              <w:rPr>
                <w:sz w:val="18"/>
                <w:szCs w:val="16"/>
              </w:rPr>
            </w:pPr>
            <w:r>
              <w:rPr>
                <w:rFonts w:hint="eastAsia"/>
                <w:sz w:val="18"/>
                <w:szCs w:val="16"/>
              </w:rPr>
              <w:t>统筹设计工作</w:t>
            </w:r>
          </w:p>
        </w:tc>
      </w:tr>
      <w:tr w14:paraId="1E559C04">
        <w:tblPrEx>
          <w:tblCellMar>
            <w:top w:w="0" w:type="dxa"/>
            <w:left w:w="108" w:type="dxa"/>
            <w:bottom w:w="0" w:type="dxa"/>
            <w:right w:w="108" w:type="dxa"/>
          </w:tblCellMar>
        </w:tblPrEx>
        <w:trPr>
          <w:trHeight w:val="84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23EB39E8">
            <w:pPr>
              <w:widowControl/>
              <w:jc w:val="center"/>
              <w:rPr>
                <w:sz w:val="18"/>
                <w:szCs w:val="16"/>
              </w:rPr>
            </w:pPr>
            <w:r>
              <w:rPr>
                <w:sz w:val="18"/>
                <w:szCs w:val="16"/>
              </w:rPr>
              <w:t>5</w:t>
            </w:r>
          </w:p>
        </w:tc>
        <w:tc>
          <w:tcPr>
            <w:tcW w:w="632" w:type="pct"/>
            <w:tcBorders>
              <w:top w:val="single" w:color="auto" w:sz="4" w:space="0"/>
              <w:left w:val="nil"/>
              <w:bottom w:val="single" w:color="auto" w:sz="4" w:space="0"/>
              <w:right w:val="single" w:color="auto" w:sz="4" w:space="0"/>
            </w:tcBorders>
            <w:vAlign w:val="center"/>
          </w:tcPr>
          <w:p w14:paraId="55F91040">
            <w:pPr>
              <w:widowControl/>
              <w:jc w:val="left"/>
              <w:rPr>
                <w:sz w:val="18"/>
                <w:szCs w:val="16"/>
              </w:rPr>
            </w:pPr>
            <w:r>
              <w:rPr>
                <w:rFonts w:hint="eastAsia"/>
                <w:sz w:val="18"/>
                <w:szCs w:val="16"/>
              </w:rPr>
              <w:t>质量总监</w:t>
            </w:r>
          </w:p>
        </w:tc>
        <w:tc>
          <w:tcPr>
            <w:tcW w:w="3639" w:type="dxa"/>
            <w:tcBorders>
              <w:top w:val="single" w:color="auto" w:sz="4" w:space="0"/>
              <w:left w:val="nil"/>
              <w:bottom w:val="single" w:color="auto" w:sz="4" w:space="0"/>
              <w:right w:val="single" w:color="auto" w:sz="4" w:space="0"/>
            </w:tcBorders>
            <w:vAlign w:val="center"/>
          </w:tcPr>
          <w:p w14:paraId="4F6D69CE">
            <w:pPr>
              <w:widowControl/>
              <w:jc w:val="left"/>
              <w:rPr>
                <w:sz w:val="18"/>
                <w:szCs w:val="16"/>
              </w:rPr>
            </w:pPr>
            <w:r>
              <w:rPr>
                <w:rFonts w:hint="eastAsia"/>
                <w:sz w:val="18"/>
                <w:szCs w:val="16"/>
              </w:rPr>
              <w:t>工程师或以上职称</w:t>
            </w:r>
          </w:p>
        </w:tc>
        <w:tc>
          <w:tcPr>
            <w:tcW w:w="612" w:type="pct"/>
            <w:tcBorders>
              <w:top w:val="single" w:color="auto" w:sz="4" w:space="0"/>
              <w:left w:val="nil"/>
              <w:bottom w:val="single" w:color="auto" w:sz="4" w:space="0"/>
              <w:right w:val="single" w:color="auto" w:sz="4" w:space="0"/>
            </w:tcBorders>
            <w:vAlign w:val="center"/>
          </w:tcPr>
          <w:p w14:paraId="55DC9B24">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31AF5C4A">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15ECDF3E">
            <w:pPr>
              <w:jc w:val="center"/>
              <w:rPr>
                <w:sz w:val="18"/>
                <w:szCs w:val="16"/>
              </w:rPr>
            </w:pPr>
            <w:r>
              <w:rPr>
                <w:sz w:val="18"/>
                <w:szCs w:val="16"/>
              </w:rPr>
              <w:t>1</w:t>
            </w:r>
          </w:p>
        </w:tc>
        <w:tc>
          <w:tcPr>
            <w:tcW w:w="619" w:type="pct"/>
            <w:tcBorders>
              <w:top w:val="single" w:color="auto" w:sz="4" w:space="0"/>
              <w:left w:val="single" w:color="auto" w:sz="4" w:space="0"/>
              <w:bottom w:val="single" w:color="auto" w:sz="4" w:space="0"/>
              <w:right w:val="single" w:color="auto" w:sz="4" w:space="0"/>
            </w:tcBorders>
            <w:vAlign w:val="center"/>
          </w:tcPr>
          <w:p w14:paraId="23B5E4D9">
            <w:pPr>
              <w:jc w:val="left"/>
              <w:rPr>
                <w:sz w:val="18"/>
                <w:szCs w:val="16"/>
              </w:rPr>
            </w:pPr>
            <w:r>
              <w:rPr>
                <w:rFonts w:hint="eastAsia"/>
                <w:sz w:val="18"/>
                <w:szCs w:val="16"/>
              </w:rPr>
              <w:t>统筹材料、施工质量等管理</w:t>
            </w:r>
          </w:p>
        </w:tc>
      </w:tr>
      <w:tr w14:paraId="11EF9ACE">
        <w:tblPrEx>
          <w:tblCellMar>
            <w:top w:w="0" w:type="dxa"/>
            <w:left w:w="108" w:type="dxa"/>
            <w:bottom w:w="0" w:type="dxa"/>
            <w:right w:w="108" w:type="dxa"/>
          </w:tblCellMar>
        </w:tblPrEx>
        <w:trPr>
          <w:trHeight w:val="488"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23C2FB3E">
            <w:pPr>
              <w:widowControl/>
              <w:jc w:val="center"/>
              <w:rPr>
                <w:sz w:val="18"/>
                <w:szCs w:val="16"/>
              </w:rPr>
            </w:pPr>
            <w:r>
              <w:rPr>
                <w:sz w:val="18"/>
                <w:szCs w:val="16"/>
              </w:rPr>
              <w:t>6</w:t>
            </w:r>
          </w:p>
        </w:tc>
        <w:tc>
          <w:tcPr>
            <w:tcW w:w="632" w:type="pct"/>
            <w:tcBorders>
              <w:top w:val="single" w:color="auto" w:sz="4" w:space="0"/>
              <w:left w:val="nil"/>
              <w:bottom w:val="single" w:color="auto" w:sz="4" w:space="0"/>
              <w:right w:val="single" w:color="auto" w:sz="4" w:space="0"/>
            </w:tcBorders>
            <w:vAlign w:val="center"/>
          </w:tcPr>
          <w:p w14:paraId="4501CE5E">
            <w:pPr>
              <w:widowControl/>
              <w:jc w:val="left"/>
              <w:rPr>
                <w:sz w:val="18"/>
                <w:szCs w:val="16"/>
              </w:rPr>
            </w:pPr>
            <w:r>
              <w:rPr>
                <w:rFonts w:hint="eastAsia"/>
                <w:sz w:val="18"/>
                <w:szCs w:val="16"/>
              </w:rPr>
              <w:t>安全总监</w:t>
            </w:r>
          </w:p>
        </w:tc>
        <w:tc>
          <w:tcPr>
            <w:tcW w:w="3639" w:type="dxa"/>
            <w:tcBorders>
              <w:top w:val="single" w:color="auto" w:sz="4" w:space="0"/>
              <w:left w:val="nil"/>
              <w:bottom w:val="single" w:color="auto" w:sz="4" w:space="0"/>
              <w:right w:val="single" w:color="auto" w:sz="4" w:space="0"/>
            </w:tcBorders>
            <w:vAlign w:val="center"/>
          </w:tcPr>
          <w:p w14:paraId="3F8D11C4">
            <w:pPr>
              <w:widowControl/>
              <w:jc w:val="left"/>
              <w:rPr>
                <w:sz w:val="18"/>
                <w:szCs w:val="16"/>
              </w:rPr>
            </w:pPr>
            <w:r>
              <w:rPr>
                <w:rFonts w:hint="eastAsia"/>
                <w:sz w:val="18"/>
                <w:szCs w:val="16"/>
              </w:rPr>
              <w:t>工程师或以上职称，具有安全生产考核合格证（C类）或建筑施工企业专职安全生产管理人员安全生产考核合格证书（C3类）</w:t>
            </w:r>
          </w:p>
        </w:tc>
        <w:tc>
          <w:tcPr>
            <w:tcW w:w="612" w:type="pct"/>
            <w:tcBorders>
              <w:top w:val="single" w:color="auto" w:sz="4" w:space="0"/>
              <w:left w:val="nil"/>
              <w:bottom w:val="single" w:color="auto" w:sz="4" w:space="0"/>
              <w:right w:val="single" w:color="auto" w:sz="4" w:space="0"/>
            </w:tcBorders>
            <w:vAlign w:val="center"/>
          </w:tcPr>
          <w:p w14:paraId="1A5B6565">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45AB2A27">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52CAAE98">
            <w:pPr>
              <w:jc w:val="center"/>
              <w:rPr>
                <w:sz w:val="18"/>
                <w:szCs w:val="16"/>
              </w:rPr>
            </w:pPr>
            <w:r>
              <w:rPr>
                <w:sz w:val="18"/>
                <w:szCs w:val="16"/>
              </w:rPr>
              <w:t>1</w:t>
            </w:r>
          </w:p>
        </w:tc>
        <w:tc>
          <w:tcPr>
            <w:tcW w:w="619" w:type="pct"/>
            <w:tcBorders>
              <w:top w:val="single" w:color="auto" w:sz="4" w:space="0"/>
              <w:left w:val="single" w:color="auto" w:sz="4" w:space="0"/>
              <w:bottom w:val="single" w:color="auto" w:sz="4" w:space="0"/>
              <w:right w:val="single" w:color="auto" w:sz="4" w:space="0"/>
            </w:tcBorders>
            <w:vAlign w:val="center"/>
          </w:tcPr>
          <w:p w14:paraId="60B7E3F2">
            <w:pPr>
              <w:jc w:val="left"/>
              <w:rPr>
                <w:sz w:val="18"/>
                <w:szCs w:val="16"/>
              </w:rPr>
            </w:pPr>
          </w:p>
        </w:tc>
      </w:tr>
      <w:tr w14:paraId="03B54607">
        <w:tblPrEx>
          <w:tblCellMar>
            <w:top w:w="0" w:type="dxa"/>
            <w:left w:w="108" w:type="dxa"/>
            <w:bottom w:w="0" w:type="dxa"/>
            <w:right w:w="108" w:type="dxa"/>
          </w:tblCellMar>
        </w:tblPrEx>
        <w:trPr>
          <w:trHeight w:val="633"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1AD237ED">
            <w:pPr>
              <w:widowControl/>
              <w:jc w:val="center"/>
              <w:rPr>
                <w:sz w:val="18"/>
                <w:szCs w:val="16"/>
              </w:rPr>
            </w:pPr>
            <w:r>
              <w:rPr>
                <w:sz w:val="18"/>
                <w:szCs w:val="16"/>
              </w:rPr>
              <w:t>7</w:t>
            </w:r>
          </w:p>
        </w:tc>
        <w:tc>
          <w:tcPr>
            <w:tcW w:w="632" w:type="pct"/>
            <w:tcBorders>
              <w:top w:val="single" w:color="auto" w:sz="4" w:space="0"/>
              <w:left w:val="nil"/>
              <w:bottom w:val="single" w:color="auto" w:sz="4" w:space="0"/>
              <w:right w:val="single" w:color="auto" w:sz="4" w:space="0"/>
            </w:tcBorders>
            <w:vAlign w:val="center"/>
          </w:tcPr>
          <w:p w14:paraId="414BC8A2">
            <w:pPr>
              <w:widowControl/>
              <w:jc w:val="left"/>
              <w:rPr>
                <w:sz w:val="18"/>
                <w:szCs w:val="16"/>
              </w:rPr>
            </w:pPr>
            <w:r>
              <w:rPr>
                <w:rFonts w:hint="eastAsia"/>
                <w:sz w:val="18"/>
                <w:szCs w:val="16"/>
              </w:rPr>
              <w:t>商务经理</w:t>
            </w:r>
          </w:p>
        </w:tc>
        <w:tc>
          <w:tcPr>
            <w:tcW w:w="3639" w:type="dxa"/>
            <w:tcBorders>
              <w:top w:val="single" w:color="auto" w:sz="4" w:space="0"/>
              <w:left w:val="nil"/>
              <w:bottom w:val="single" w:color="auto" w:sz="4" w:space="0"/>
              <w:right w:val="single" w:color="auto" w:sz="4" w:space="0"/>
            </w:tcBorders>
            <w:vAlign w:val="center"/>
          </w:tcPr>
          <w:p w14:paraId="4A7E93E0">
            <w:pPr>
              <w:widowControl/>
              <w:jc w:val="left"/>
              <w:rPr>
                <w:sz w:val="18"/>
                <w:szCs w:val="16"/>
              </w:rPr>
            </w:pPr>
            <w:r>
              <w:rPr>
                <w:rFonts w:hint="eastAsia"/>
                <w:sz w:val="18"/>
                <w:szCs w:val="16"/>
              </w:rPr>
              <w:t>工程师或以上职称，一级注册造价工程师</w:t>
            </w:r>
          </w:p>
        </w:tc>
        <w:tc>
          <w:tcPr>
            <w:tcW w:w="612" w:type="pct"/>
            <w:tcBorders>
              <w:top w:val="single" w:color="auto" w:sz="4" w:space="0"/>
              <w:left w:val="nil"/>
              <w:bottom w:val="single" w:color="auto" w:sz="4" w:space="0"/>
              <w:right w:val="single" w:color="auto" w:sz="4" w:space="0"/>
            </w:tcBorders>
            <w:vAlign w:val="center"/>
          </w:tcPr>
          <w:p w14:paraId="3D4832A1">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025A1C92">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767E7400">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6DAB598D">
            <w:pPr>
              <w:jc w:val="left"/>
              <w:rPr>
                <w:sz w:val="18"/>
                <w:szCs w:val="16"/>
              </w:rPr>
            </w:pPr>
          </w:p>
        </w:tc>
      </w:tr>
      <w:tr w14:paraId="05D34939">
        <w:tblPrEx>
          <w:tblCellMar>
            <w:top w:w="0" w:type="dxa"/>
            <w:left w:w="108" w:type="dxa"/>
            <w:bottom w:w="0" w:type="dxa"/>
            <w:right w:w="108" w:type="dxa"/>
          </w:tblCellMar>
        </w:tblPrEx>
        <w:trPr>
          <w:trHeight w:val="633" w:hRule="atLeast"/>
          <w:jc w:val="center"/>
        </w:trPr>
        <w:tc>
          <w:tcPr>
            <w:tcW w:w="2761" w:type="pct"/>
            <w:gridSpan w:val="3"/>
            <w:tcBorders>
              <w:top w:val="single" w:color="auto" w:sz="4" w:space="0"/>
              <w:left w:val="single" w:color="auto" w:sz="4" w:space="0"/>
              <w:bottom w:val="single" w:color="auto" w:sz="4" w:space="0"/>
              <w:right w:val="single" w:color="auto" w:sz="4" w:space="0"/>
            </w:tcBorders>
            <w:vAlign w:val="center"/>
          </w:tcPr>
          <w:p w14:paraId="27F12A18">
            <w:pPr>
              <w:widowControl/>
              <w:jc w:val="center"/>
              <w:rPr>
                <w:sz w:val="18"/>
                <w:szCs w:val="16"/>
              </w:rPr>
            </w:pPr>
            <w:r>
              <w:rPr>
                <w:rFonts w:hint="eastAsia"/>
                <w:sz w:val="18"/>
                <w:szCs w:val="16"/>
              </w:rPr>
              <w:t>合计</w:t>
            </w:r>
          </w:p>
        </w:tc>
        <w:tc>
          <w:tcPr>
            <w:tcW w:w="612" w:type="pct"/>
            <w:tcBorders>
              <w:top w:val="single" w:color="auto" w:sz="4" w:space="0"/>
              <w:left w:val="nil"/>
              <w:bottom w:val="single" w:color="auto" w:sz="4" w:space="0"/>
              <w:right w:val="single" w:color="auto" w:sz="4" w:space="0"/>
            </w:tcBorders>
            <w:vAlign w:val="center"/>
          </w:tcPr>
          <w:p w14:paraId="33B6F699">
            <w:pPr>
              <w:widowControl/>
              <w:jc w:val="center"/>
              <w:rPr>
                <w:sz w:val="18"/>
                <w:szCs w:val="16"/>
              </w:rPr>
            </w:pPr>
            <w:r>
              <w:rPr>
                <w:sz w:val="18"/>
                <w:szCs w:val="16"/>
              </w:rPr>
              <w:t>7</w:t>
            </w:r>
          </w:p>
        </w:tc>
        <w:tc>
          <w:tcPr>
            <w:tcW w:w="504" w:type="pct"/>
            <w:tcBorders>
              <w:top w:val="single" w:color="auto" w:sz="4" w:space="0"/>
              <w:left w:val="nil"/>
              <w:bottom w:val="single" w:color="auto" w:sz="4" w:space="0"/>
              <w:right w:val="single" w:color="auto" w:sz="4" w:space="0"/>
            </w:tcBorders>
            <w:vAlign w:val="center"/>
          </w:tcPr>
          <w:p w14:paraId="278AEF64">
            <w:pPr>
              <w:jc w:val="center"/>
              <w:rPr>
                <w:sz w:val="18"/>
                <w:szCs w:val="16"/>
              </w:rPr>
            </w:pPr>
            <w:r>
              <w:rPr>
                <w:sz w:val="18"/>
                <w:szCs w:val="16"/>
              </w:rPr>
              <w:t>7</w:t>
            </w:r>
          </w:p>
        </w:tc>
        <w:tc>
          <w:tcPr>
            <w:tcW w:w="504" w:type="pct"/>
            <w:tcBorders>
              <w:top w:val="single" w:color="auto" w:sz="4" w:space="0"/>
              <w:left w:val="single" w:color="auto" w:sz="4" w:space="0"/>
              <w:bottom w:val="single" w:color="auto" w:sz="4" w:space="0"/>
              <w:right w:val="single" w:color="auto" w:sz="4" w:space="0"/>
            </w:tcBorders>
            <w:vAlign w:val="center"/>
          </w:tcPr>
          <w:p w14:paraId="31045AFA">
            <w:pPr>
              <w:jc w:val="center"/>
              <w:rPr>
                <w:sz w:val="18"/>
                <w:szCs w:val="16"/>
              </w:rPr>
            </w:pPr>
            <w:r>
              <w:rPr>
                <w:sz w:val="18"/>
                <w:szCs w:val="16"/>
              </w:rPr>
              <w:t>2</w:t>
            </w:r>
          </w:p>
        </w:tc>
        <w:tc>
          <w:tcPr>
            <w:tcW w:w="619" w:type="pct"/>
            <w:tcBorders>
              <w:top w:val="single" w:color="auto" w:sz="4" w:space="0"/>
              <w:left w:val="single" w:color="auto" w:sz="4" w:space="0"/>
              <w:bottom w:val="single" w:color="auto" w:sz="4" w:space="0"/>
              <w:right w:val="single" w:color="auto" w:sz="4" w:space="0"/>
            </w:tcBorders>
            <w:vAlign w:val="center"/>
          </w:tcPr>
          <w:p w14:paraId="70D1359D">
            <w:pPr>
              <w:jc w:val="left"/>
              <w:rPr>
                <w:sz w:val="18"/>
                <w:szCs w:val="16"/>
              </w:rPr>
            </w:pPr>
          </w:p>
        </w:tc>
      </w:tr>
    </w:tbl>
    <w:p w14:paraId="3FCA7FE7">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注：主要施工管理人员的工作经验要求</w:t>
      </w:r>
    </w:p>
    <w:p w14:paraId="3F12A949">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①项目负责人：具有至少1个100米以上建成的高层幕墙工程项目负责人管理经验，十年及以上工程管理工作经验。</w:t>
      </w:r>
    </w:p>
    <w:p w14:paraId="6504CC13">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②技术负责人：至少具有十年内（含十年）1个100米以上高层幕墙工程技术负责人管理经验，十年以上施工或技术管理工作经验。</w:t>
      </w:r>
    </w:p>
    <w:p w14:paraId="55CCE062">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③项目副经理：至少具有1个100米以上高层幕墙项目副经理等类似生产管理岗位经验，八年以上工程管理经验。</w:t>
      </w:r>
    </w:p>
    <w:p w14:paraId="3179BC9A">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④深化设计负责人：至少具有1个100米以上高层幕墙项目幕墙深化设计统筹管理经验，八年以上幕墙设计经验。</w:t>
      </w:r>
    </w:p>
    <w:p w14:paraId="007ABB1B">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⑤质量总监：至少具有1个100米以上高层幕墙项目质量总监工作经验，六年及以上工程管理经验。</w:t>
      </w:r>
    </w:p>
    <w:p w14:paraId="6214D664">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⑥安全总监：至少具有1个100米以上高层幕墙项目安全总监工作经验，六年及以上工程管理经验。</w:t>
      </w:r>
    </w:p>
    <w:p w14:paraId="7AADB6DB">
      <w:pPr>
        <w:ind w:firstLine="480" w:firstLineChars="200"/>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⑦商务经理：至少具有1个100米以上高层幕墙项目商务经理经验，八年及以上工程商务管理经验。</w:t>
      </w:r>
    </w:p>
    <w:p w14:paraId="5A91EFBD">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.3 人员选用</w:t>
      </w:r>
    </w:p>
    <w:p w14:paraId="35504197">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1、分包人需向发包人、承包人、监理人提供主要施工管理人员职称证书、执业证书、业绩证明等证件复印件（加盖公章，验原件收复印件）。</w:t>
      </w:r>
    </w:p>
    <w:p w14:paraId="1B396CAA">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分包人项目管理团队进场前，发包人、承包人将组织对分包人主要施工管理人员的面试会，对未达到要求的成员，要求分包人进行更换并重新面试。面试后由分包人向发包人、承包人以书面形式报送组织架构申请，面试合格的人员，经现场1个月的考核期审查后，正式批准生效。</w:t>
      </w:r>
    </w:p>
    <w:p w14:paraId="64C41A70">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项目负责人的要求：项目负责人在授权范围内对分包人项目部进行全面管理，是项目经营、施工和管理的第一责任人，应具备对项目工期、质量、安全、进度、成本、采购、人员组织、文明施工、沟通协调等全面管理及领导的能力。项目负责人应能正确处理和协调与发包人、承包人、项目相关各方之间的关系。</w:t>
      </w:r>
    </w:p>
    <w:p w14:paraId="0C6181A7">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技术负责人的要求：技术负责人应具备跨专业工程技术管理经验，具备综合协调土建、钢结构、机电工程、泛光工程、精装修工程、景观工程等多工种多专业工程技术协调能力。技术负责人是施工技术总负责人，具备深化设计与施工工艺协调经验。</w:t>
      </w:r>
    </w:p>
    <w:p w14:paraId="731393F4">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.4 人员更换</w:t>
      </w:r>
    </w:p>
    <w:p w14:paraId="57A47947">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1、分包人无正当理由不得擅自更换已批准通过后的项目组织架构人员，否则分包人应承担违约责任，发包人有权发公函递送分包人公司总部。</w:t>
      </w:r>
    </w:p>
    <w:p w14:paraId="3FCB0BE2">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分包人主要施工管理人员履约能力不足、未按发包人、承包人要求撤换、与合同招标文件要求不符、主要施工管理人员不到位、进场缓慢、人员频繁更换、擅自更换主要施工管理人员而未通知发包人的，分包人应承担相应违约责任。</w:t>
      </w:r>
    </w:p>
    <w:p w14:paraId="3AACE191">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发包人、承包人有权根据分包人项目组织架构人员的表现提出建议或意见。如果分包人管理人员存在以下情况之一，发包人、承包人有权要求分包人立刻更换该人员，在收到承包人书面撤换要求后，分包人必须执行，并按合同约定支付违约金。</w:t>
      </w:r>
    </w:p>
    <w:p w14:paraId="6FF9BCBE">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（1）严重过失行为；</w:t>
      </w:r>
    </w:p>
    <w:p w14:paraId="0EA0EE28">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（2）违法或涉嫌犯罪；</w:t>
      </w:r>
    </w:p>
    <w:p w14:paraId="4B235653">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（3）不能胜任所担任的岗位要求；</w:t>
      </w:r>
    </w:p>
    <w:p w14:paraId="030D190F">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（4）不负责任或工作不力；</w:t>
      </w:r>
    </w:p>
    <w:p w14:paraId="2A6FB80C">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（5）违反职业道德；</w:t>
      </w:r>
    </w:p>
    <w:p w14:paraId="22203104">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（6）在发包人组织的人员考核中连续两次不及格。</w:t>
      </w:r>
    </w:p>
    <w:p w14:paraId="5494E8DD">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4、分包人在接到书面通知后14个日历天内予以更换同等技能的人员，经承包人面试通过批准后进入试用期（一个月），试用期合格后可正式上岗。</w:t>
      </w:r>
    </w:p>
    <w:p w14:paraId="222CE2EC">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.5人员考核</w:t>
      </w:r>
    </w:p>
    <w:p w14:paraId="40DEC424">
      <w:pPr>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发包人、承包人及监理人有权对分包人项目组织架构主要人员工作能力、态度、工作完成情况、配合度、履职情况等定期开展考核，具体考核标准由监理人与承包人、发包人在分包人进场后确定，分包人须无条件配合开展人员考核工作。</w:t>
      </w:r>
    </w:p>
    <w:p w14:paraId="0E58EF81">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（三）进度管理要求</w:t>
      </w:r>
    </w:p>
    <w:p w14:paraId="15A01A9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分包人应依据发包人、</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承包人提供的工程施工进度计划编制幕墙工程进度计划，把工程施工准备至竣工验收、移交物业为止期间的，本工程实施范围以及与分包人管理相关的所有工作以计划的形式合理地组织起来。分包人以此为依据进行幕墙工程施工、及时检查项目施工进度、分析计划执行的偏差并进行调整或修正，并服从发包人、承包人的进度要求以及管理安排，以保证实现合同约定的进度目标。</w:t>
      </w:r>
    </w:p>
    <w:p w14:paraId="6EFCE742">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r>
        <w:rPr>
          <w:rFonts w:hint="eastAsia"/>
          <w:color w:val="000000" w:themeColor="text1"/>
          <w:sz w:val="24"/>
          <w:szCs w:val="21"/>
          <w14:textFill>
            <w14:solidFill>
              <w14:schemeClr w14:val="tx1"/>
            </w14:solidFill>
          </w14:textFill>
        </w:rPr>
        <w:t>.1 组织架构要求</w:t>
      </w:r>
    </w:p>
    <w:p w14:paraId="611246F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组建以项目负责人为第一责任人，项目副经理全面统筹的幕墙工程计划管理组织，负责项目年、月份及周施工计划的编制和上报，按要求落实项目计划的编制、执行、检查、预警、纠偏、调整和监控等工作。</w:t>
      </w:r>
    </w:p>
    <w:p w14:paraId="6D2BEEDE">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r>
        <w:rPr>
          <w:rFonts w:hint="eastAsia"/>
          <w:color w:val="000000" w:themeColor="text1"/>
          <w:sz w:val="24"/>
          <w:szCs w:val="21"/>
          <w14:textFill>
            <w14:solidFill>
              <w14:schemeClr w14:val="tx1"/>
            </w14:solidFill>
          </w14:textFill>
        </w:rPr>
        <w:t>.2 进度计划管理</w:t>
      </w:r>
    </w:p>
    <w:p w14:paraId="712EB60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（1）总进度计划编制要求</w:t>
      </w:r>
    </w:p>
    <w:p w14:paraId="40D7DD5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1）总进度计划中应体现关键工期节点、关键线路的逻辑关系、任务项工期、重要性、资源情况、各工序穿插时间、深化设计、施工准备工作等，以及计划中无逻辑连接时的相应说明。</w:t>
      </w:r>
    </w:p>
    <w:p w14:paraId="08F5D4A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工程总进度计划应深入至幕墙承包施工界面内的具体工序的组织，时间刻度不应大于每月，应包括补充条款工期要求的所有关键工期节点，以及深化设计、施工样板、首批板块上墙、多专业穿插施工安排、样板计划、塔吊和施工电梯口收口计划、收尾及清晰时间安排，并根据项目具体情况编制幕墙验收、竣工验收及备案、移交计划。</w:t>
      </w:r>
    </w:p>
    <w:p w14:paraId="320EF7B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3）分包人随总进度计划一同上报自行采购主要材料、设备的加工、排产及分阶段进场详细计划，需预留材料品牌/厂家考察、调研、报审时间，该计划与施工进度计划分部分项工程计划须相符，保证及时供应。</w:t>
      </w:r>
    </w:p>
    <w:p w14:paraId="44EB86B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4）分包人应根据关键工期节点及各工程阶段需要编制总进度计划对应的劳动力进场计划，应细化到工种及劳务来源地及承包形式。</w:t>
      </w:r>
    </w:p>
    <w:p w14:paraId="670175E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5）总进度计划应充分考虑施工工艺、周边环境、季节影响、中高考、传统节日、政府相关要求等因素的影响。</w:t>
      </w:r>
    </w:p>
    <w:p w14:paraId="694723B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6）分包人应根据现场实际进度每季度修正一次总进度计划，分包人应按承包人、发包人及监理人建议采取相应改进措施，提交一份修订的进度计划，经监理人与发包人确认后执行。</w:t>
      </w:r>
    </w:p>
    <w:p w14:paraId="11C19B1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（2）专项计划编制要求</w:t>
      </w:r>
    </w:p>
    <w:p w14:paraId="33C65DD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应根据工程进度，按发包人、承包人及监理人要求编制项目专项计划，报监理人及发包人审核后执行，包括各分部分项工程专项施工计划、深化设计计划、施工工艺样板计划、材料样品送审及进场计划、验收计划、移交计划等，要求专项计划时间刻度不大于每天。</w:t>
      </w:r>
    </w:p>
    <w:p w14:paraId="45A1F298">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2）分包人应及时将已通过审批的专项计划按要求上传至发包人指定平台，并按每周为周期进行计划反馈。</w:t>
      </w:r>
    </w:p>
    <w:p w14:paraId="45DB345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专项计划要求明确所有资源配置及具体投入时间，包括人（劳动力）、机械设备、材料的投入；也应体现专项计划施工的重点和难点及对应工期保障措施；专项计划开工、完工节点不得突破总进度计划要求节点。</w:t>
      </w:r>
    </w:p>
    <w:p w14:paraId="3BB97A6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（3）工程总进度计划编制的协调</w:t>
      </w:r>
    </w:p>
    <w:p w14:paraId="14EE7E78">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1）承包人工程总进度计划是本工程总进度计划编制的主要依据，其它专业计划及专项计划应配合项目总进度计划编制，通过不同专业之间的协调保证项目施工进度计划的任务其它专业任务搭接合理。</w:t>
      </w:r>
    </w:p>
    <w:p w14:paraId="193B1E6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在编制总进度计划时应充分协调各专业工程计划，按发包人、承包人要求审查其他专业工程分包人的工程进度计划，分包人应在实施过程中跟踪其他专业工程分包人计划落实情况，如发现有影响本工程计划实施的风险事项应及时向承包人、监理人、发包人报告。</w:t>
      </w:r>
    </w:p>
    <w:p w14:paraId="7B5AD70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（4）工程进度计划的编制依据</w:t>
      </w:r>
    </w:p>
    <w:p w14:paraId="71F9045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1）本工程施工合约，包括不限于招标文件、施工合同、补充协议。 </w:t>
      </w:r>
    </w:p>
    <w:p w14:paraId="7340DD1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2）本工程技术文件，包括但不限于设计图纸、技术要求、施工组织设计以及处于关键线路的重要分部分项工程的施工方案。</w:t>
      </w:r>
    </w:p>
    <w:p w14:paraId="6DFEAFF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3）承包人工程总施工进度计划、各专业工程施工进度计划。</w:t>
      </w:r>
    </w:p>
    <w:p w14:paraId="3ECB32C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4）往来函件及会议纪要。 </w:t>
      </w:r>
    </w:p>
    <w:p w14:paraId="1641724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（5）计划上报</w:t>
      </w:r>
    </w:p>
    <w:p w14:paraId="35BDB79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1）分包人进场后，按以下节点及要求编制并上报进度计划：</w:t>
      </w:r>
    </w:p>
    <w:p w14:paraId="4370239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①在合同签订后30日内提供工程总体进度计划（包括但不限于设计计划、四性试验计划、材料样品送审及进场计划、现场施工进度计划、验收移交计划等）；本年年度计划。</w:t>
      </w:r>
    </w:p>
    <w:p w14:paraId="3392FDD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②在合同签订后15日内提供深化设计计划（内容包括但不限于标准节点、收边收口、整套施工图、四性试验图纸计划）、型材开模计划、样品封样计划。</w:t>
      </w:r>
    </w:p>
    <w:p w14:paraId="3B546FD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③每年年末提供下年年度进度计划。</w:t>
      </w:r>
    </w:p>
    <w:p w14:paraId="0E6CFF8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④各施工段开工前15天提供施工专项计划。</w:t>
      </w:r>
    </w:p>
    <w:p w14:paraId="6401EFC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⑤每月25日前完成提供本月进度统计报表及下月的工程进度计划。</w:t>
      </w:r>
    </w:p>
    <w:p w14:paraId="07AD169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⑥每周监理例会前提供本周进度统计报表及下周的工程进度计划。</w:t>
      </w:r>
    </w:p>
    <w:p w14:paraId="74CB357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以上各阶段的进度计划编制内容必须包括下周（月、年）施工重点、难点及采取的措施；本周（月、年）进度计划与总进度计划的偏差，进度延后的说明及后续采取的措施；各专业工程分包人、材料进场计划节点及管理要求。</w:t>
      </w:r>
    </w:p>
    <w:p w14:paraId="42CA3F7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（6）计划审批</w:t>
      </w:r>
    </w:p>
    <w:p w14:paraId="1EA62F3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工程进度计划编制完成后报监理人，由监理人审核是否满足项目整体策划及合同要求，经监理人审核通过后，报承包人审批确认，审核并确定本工程计划及其它专业工程施工计划是否与项目施工总进度计划的匹配。</w:t>
      </w:r>
    </w:p>
    <w:p w14:paraId="16E7B3B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承包人与监理人对计划的审批确认不能免除分包人进度延误责任，如实际工程进度与分包人提交并经承包人及监理人确认的工程进度计划不符时，分包人应按发包人的要求落实改进措施，经监理人与承包人确认后执行。</w:t>
      </w:r>
    </w:p>
    <w:p w14:paraId="7F89F76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（7）计划检查与跟踪</w:t>
      </w:r>
    </w:p>
    <w:p w14:paraId="0F6EDEC8">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1）实行周进度报告制度</w:t>
      </w:r>
    </w:p>
    <w:p w14:paraId="20C9AD3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深化设计方面：分包人按要求每周梳理深化计划完成情况和后续工作安排并提交报告。当发包人认为有需要时，可以增加报告频度，分包人须积极配合。</w:t>
      </w:r>
    </w:p>
    <w:p w14:paraId="78F21B8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材料准备方面（采购、加工、制作、到场）：分包人按要求每周向监理工程师提交材料准备进度报告，应包括每种材料的加工完成量、完成比率，并附生产照片；材料准备进度报告须充分反映和计划进度的偏差，如有延迟须说明原因并采取纠偏措施。</w:t>
      </w:r>
    </w:p>
    <w:p w14:paraId="5EE3837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协调加工厂制定合理的生产计划和进度安排，确保工厂生产计划符合现场进度要求。分包人工厂驻场人员须实时跟踪生产情况，每日反馈加工进度；施工过程中承包人发现加工进度无法满足现场需求时，有权要求分包人增加产能，分包人应在承包人发出指令15天内协调生产资源，确保满足现场安装进度及质量要求。</w:t>
      </w:r>
    </w:p>
    <w:p w14:paraId="19935F9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施工方面：分包人按要求每周提交周进度报告，进度报告包括两部分：立面展开图形象进度及照片、进度报表。周进度报告须充分反映与进度计划偏差，如有延迟须说明原因并采取纠偏措施。</w:t>
      </w:r>
    </w:p>
    <w:p w14:paraId="2B10E57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分包人应根据不同楼栋，制作外立面展开图，并用不同标识区分不同板块及已到场的龙骨及面板示意图，以不同颜色进行填涂表示已完成板块或构件。 </w:t>
      </w:r>
    </w:p>
    <w:p w14:paraId="6D446FC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进度报表应按照已审批的施工进度计划进行对比，参考示例如下：</w:t>
      </w:r>
    </w:p>
    <w:tbl>
      <w:tblPr>
        <w:tblStyle w:val="41"/>
        <w:tblW w:w="82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985"/>
        <w:gridCol w:w="2478"/>
        <w:gridCol w:w="1888"/>
        <w:gridCol w:w="1888"/>
      </w:tblGrid>
      <w:tr w14:paraId="14141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8" w:hRule="atLeast"/>
          <w:jc w:val="center"/>
        </w:trPr>
        <w:tc>
          <w:tcPr>
            <w:tcW w:w="1985" w:type="dxa"/>
            <w:vAlign w:val="center"/>
          </w:tcPr>
          <w:p w14:paraId="1B07F6F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立面号</w:t>
            </w:r>
          </w:p>
        </w:tc>
        <w:tc>
          <w:tcPr>
            <w:tcW w:w="2478" w:type="dxa"/>
            <w:vAlign w:val="center"/>
          </w:tcPr>
          <w:p w14:paraId="53E6088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计划进度</w:t>
            </w:r>
          </w:p>
        </w:tc>
        <w:tc>
          <w:tcPr>
            <w:tcW w:w="0" w:type="auto"/>
            <w:vAlign w:val="center"/>
          </w:tcPr>
          <w:p w14:paraId="579C5BA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实际进度</w:t>
            </w:r>
          </w:p>
        </w:tc>
        <w:tc>
          <w:tcPr>
            <w:tcW w:w="0" w:type="auto"/>
            <w:vAlign w:val="center"/>
          </w:tcPr>
          <w:p w14:paraId="240C9E7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分析对比</w:t>
            </w:r>
          </w:p>
        </w:tc>
      </w:tr>
      <w:tr w14:paraId="6055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9" w:hRule="atLeast"/>
          <w:jc w:val="center"/>
        </w:trPr>
        <w:tc>
          <w:tcPr>
            <w:tcW w:w="1985" w:type="dxa"/>
            <w:vAlign w:val="center"/>
          </w:tcPr>
          <w:p w14:paraId="1D52486A">
            <w:pPr>
              <w:ind w:firstLine="480" w:firstLineChars="200"/>
              <w:rPr>
                <w:rFonts w:asciiTheme="minorEastAsia" w:hAnsiTheme="minorEastAsia" w:eastAsiaTheme="minorEastAsia"/>
                <w:color w:val="000000" w:themeColor="text1"/>
                <w14:textFill>
                  <w14:solidFill>
                    <w14:schemeClr w14:val="tx1"/>
                  </w14:solidFill>
                </w14:textFill>
              </w:rPr>
            </w:pPr>
          </w:p>
        </w:tc>
        <w:tc>
          <w:tcPr>
            <w:tcW w:w="2478" w:type="dxa"/>
            <w:vAlign w:val="center"/>
          </w:tcPr>
          <w:p w14:paraId="79A37B6B">
            <w:pPr>
              <w:ind w:firstLine="480" w:firstLineChars="200"/>
              <w:rPr>
                <w:rFonts w:asciiTheme="minorEastAsia" w:hAnsiTheme="minorEastAsia" w:eastAsiaTheme="minorEastAsia"/>
                <w:color w:val="000000" w:themeColor="text1"/>
                <w14:textFill>
                  <w14:solidFill>
                    <w14:schemeClr w14:val="tx1"/>
                  </w14:solidFill>
                </w14:textFill>
              </w:rPr>
            </w:pPr>
          </w:p>
        </w:tc>
        <w:tc>
          <w:tcPr>
            <w:tcW w:w="0" w:type="auto"/>
            <w:vAlign w:val="center"/>
          </w:tcPr>
          <w:p w14:paraId="2E1285F6">
            <w:pPr>
              <w:ind w:firstLine="480" w:firstLineChars="200"/>
              <w:rPr>
                <w:rFonts w:asciiTheme="minorEastAsia" w:hAnsiTheme="minorEastAsia" w:eastAsiaTheme="minorEastAsia"/>
                <w:color w:val="000000" w:themeColor="text1"/>
                <w14:textFill>
                  <w14:solidFill>
                    <w14:schemeClr w14:val="tx1"/>
                  </w14:solidFill>
                </w14:textFill>
              </w:rPr>
            </w:pPr>
          </w:p>
        </w:tc>
        <w:tc>
          <w:tcPr>
            <w:tcW w:w="0" w:type="auto"/>
            <w:vAlign w:val="center"/>
          </w:tcPr>
          <w:p w14:paraId="5CF3843D">
            <w:pPr>
              <w:ind w:firstLine="480" w:firstLineChars="200"/>
              <w:rPr>
                <w:rFonts w:asciiTheme="minorEastAsia" w:hAnsiTheme="minorEastAsia" w:eastAsiaTheme="minorEastAsia"/>
                <w:color w:val="000000" w:themeColor="text1"/>
                <w14:textFill>
                  <w14:solidFill>
                    <w14:schemeClr w14:val="tx1"/>
                  </w14:solidFill>
                </w14:textFill>
              </w:rPr>
            </w:pPr>
          </w:p>
        </w:tc>
      </w:tr>
      <w:tr w14:paraId="2205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9" w:hRule="atLeast"/>
          <w:jc w:val="center"/>
        </w:trPr>
        <w:tc>
          <w:tcPr>
            <w:tcW w:w="1985" w:type="dxa"/>
            <w:vAlign w:val="center"/>
          </w:tcPr>
          <w:p w14:paraId="524B3F90">
            <w:pPr>
              <w:ind w:firstLine="480" w:firstLineChars="200"/>
              <w:rPr>
                <w:rFonts w:asciiTheme="minorEastAsia" w:hAnsiTheme="minorEastAsia" w:eastAsiaTheme="minorEastAsia"/>
                <w:color w:val="000000" w:themeColor="text1"/>
                <w14:textFill>
                  <w14:solidFill>
                    <w14:schemeClr w14:val="tx1"/>
                  </w14:solidFill>
                </w14:textFill>
              </w:rPr>
            </w:pPr>
          </w:p>
        </w:tc>
        <w:tc>
          <w:tcPr>
            <w:tcW w:w="2478" w:type="dxa"/>
            <w:vAlign w:val="center"/>
          </w:tcPr>
          <w:p w14:paraId="6F2655F8">
            <w:pPr>
              <w:ind w:firstLine="480" w:firstLineChars="200"/>
              <w:rPr>
                <w:rFonts w:asciiTheme="minorEastAsia" w:hAnsiTheme="minorEastAsia" w:eastAsiaTheme="minorEastAsia"/>
                <w:color w:val="000000" w:themeColor="text1"/>
                <w14:textFill>
                  <w14:solidFill>
                    <w14:schemeClr w14:val="tx1"/>
                  </w14:solidFill>
                </w14:textFill>
              </w:rPr>
            </w:pPr>
          </w:p>
        </w:tc>
        <w:tc>
          <w:tcPr>
            <w:tcW w:w="0" w:type="auto"/>
            <w:vAlign w:val="center"/>
          </w:tcPr>
          <w:p w14:paraId="28A49785">
            <w:pPr>
              <w:ind w:firstLine="480" w:firstLineChars="200"/>
              <w:rPr>
                <w:rFonts w:asciiTheme="minorEastAsia" w:hAnsiTheme="minorEastAsia" w:eastAsiaTheme="minorEastAsia"/>
                <w:color w:val="000000" w:themeColor="text1"/>
                <w14:textFill>
                  <w14:solidFill>
                    <w14:schemeClr w14:val="tx1"/>
                  </w14:solidFill>
                </w14:textFill>
              </w:rPr>
            </w:pPr>
          </w:p>
        </w:tc>
        <w:tc>
          <w:tcPr>
            <w:tcW w:w="0" w:type="auto"/>
            <w:vAlign w:val="center"/>
          </w:tcPr>
          <w:p w14:paraId="2A54A137">
            <w:pPr>
              <w:ind w:firstLine="480" w:firstLineChars="200"/>
              <w:rPr>
                <w:rFonts w:asciiTheme="minorEastAsia" w:hAnsiTheme="minorEastAsia" w:eastAsiaTheme="minorEastAsia"/>
                <w:color w:val="000000" w:themeColor="text1"/>
                <w14:textFill>
                  <w14:solidFill>
                    <w14:schemeClr w14:val="tx1"/>
                  </w14:solidFill>
                </w14:textFill>
              </w:rPr>
            </w:pPr>
          </w:p>
        </w:tc>
      </w:tr>
    </w:tbl>
    <w:p w14:paraId="7B4AB0D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其中，计划进度是已审批的进度计划中每周应完成的工程量，实际进度是现场实际已完成的工程量，分析对比是两者差距，应换算到以天为单位表示，并分析偏差原因以及纠偏措施。</w:t>
      </w:r>
    </w:p>
    <w:p w14:paraId="023EA978">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进度报告交由监理人审核后提交承包人、发包人，承包人有权根据进度完成情况采取措施，分包人须积极配合。</w:t>
      </w:r>
    </w:p>
    <w:p w14:paraId="13AE094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3）分包人每月定期检查自身承包范围与各专业工程分包人计划完成情况，对工程实施过程中产生的工期延误应分析原因，提出解决措施并进行纠偏，项目月报应包含进度管理内容。</w:t>
      </w:r>
    </w:p>
    <w:p w14:paraId="7AB5C8F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（8）计划的预警</w:t>
      </w:r>
    </w:p>
    <w:p w14:paraId="43C0438F">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发包人、承包人、监理人对分包人的施工组织、进度、资源投入进行检查，发现不符合施工组织设计和计划的施工组织方法、工作面管理，或者施工投入不足、效率低下，影响计划时，分包人应积极配合调整。</w:t>
      </w:r>
    </w:p>
    <w:p w14:paraId="35BC9ABE">
      <w:pPr>
        <w:numPr>
          <w:ilvl w:val="255"/>
          <w:numId w:val="0"/>
        </w:numPr>
        <w:ind w:left="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2）项目实行重要工作计划预警通报机制，由监理人对重要工作计划进行预警</w:t>
      </w:r>
    </w:p>
    <w:p w14:paraId="0DB737F5">
      <w:pPr>
        <w:numPr>
          <w:ilvl w:val="0"/>
          <w:numId w:val="4"/>
        </w:numPr>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关键工期节点开始施工前30天、专项工作计划开始施工前15天开始预警，由承包人、监理人每周对进度指标运行情况进行检查，每周通报计划工作进展以及对项目关键工期节点完成情况影响。</w:t>
      </w:r>
    </w:p>
    <w:p w14:paraId="3D17DDD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（9）计划的调整与纠偏</w:t>
      </w:r>
    </w:p>
    <w:p w14:paraId="1FEFD92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1）分包人工程施工总进度计划不能随意调整，如发包人项目整体开发计划发生变化或发生特殊情况发包人认为应进行计划调整时，分包人工程施工进度计划按发包人要求进行相应调整；</w:t>
      </w:r>
    </w:p>
    <w:p w14:paraId="51D7AE4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在施工期间，若与进度计划有较大的偏离而须调整原定的计划，分包人应分析原因，提出解决与纠偏措施，并提交调整后的进度计划，由监理人和承包人、发包人审批后执行，分包人须采取所有必需的措施使现场进度恢复原核准的进度计划要求，计划节点不因工序的滞后而调整。</w:t>
      </w:r>
    </w:p>
    <w:p w14:paraId="19557CE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若在合同执行期间发生特殊情况，发包人、监理人及承包人认为需要调整进度计划时，分包人须按要求修改其进度计划表。分包人须遵从发包人、监理人、承包人的指令，分包人亦不会因此指令而获得工期延长及费用补偿。</w:t>
      </w:r>
    </w:p>
    <w:p w14:paraId="653231C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累积偏差：当实际进度与分包人总进度施工计划累计偏差超过两周时，监理人应向发包人提交专项报告，并责令分包人提交进度纠偏方案，发包人、监理人、承包人、分包人共同就进度纠偏方案确认，分包人必须按纠偏方案执行。</w:t>
      </w:r>
    </w:p>
    <w:p w14:paraId="149725E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（10）进度延误的措施</w:t>
      </w:r>
    </w:p>
    <w:p w14:paraId="483052C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如因分包人管理不善，导致现场关键线路滞后或非关键线路转换为关键线路等异常情况，或因分包人机械设备、材料、劳动力等资源投入不足等原因，导致连续三周无法完成周进度计划，分包人公司指挥长驻场解决进度滞后问题，并承担工期滞后违约责任。</w:t>
      </w:r>
    </w:p>
    <w:p w14:paraId="2636BF0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发包人列出的各进度节点，仅作为分包人不得突破的原则性控制节点。分包人应发挥自身所长，充分调动资源，完成相应总体施工部署、施工规划、总进度计划和资源供应保障计划的编制，在不影响质量和安全的基础上力争优化和提前各进度避免延误。</w:t>
      </w:r>
    </w:p>
    <w:p w14:paraId="4F036F2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3）因分包人自身原因造成项目工期节点无法按时完成，且对发包人结构封顶、楼层封闭移交给精装施工、竣工验收、开业、物业移交等进度节点产生影响时，发包人有权采取以下措施：</w:t>
      </w:r>
    </w:p>
    <w:p w14:paraId="608769D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①发生施工进度延误所涉及的劳务队伍整体替换：</w:t>
      </w:r>
    </w:p>
    <w:p w14:paraId="521B2F7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当发生分包人劳动力不足或现有劳务队伍无法满足现场要求时，分包人应无条件响应发包人要求，在规定时间内完成劳务队伍更换或补充足够数量且具备相应技术能力的劳务人员。</w:t>
      </w:r>
    </w:p>
    <w:p w14:paraId="4ED9AA4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如分包人更换或补充后的劳务队伍仍无法满足现场要求，发包人有权直接委托第三方单位对延期的分部分项工程承包队伍进行整体替换，并由发包人按实际发生劳务费用的2倍从分包人当期应付工程款中直接扣除并支付给发包人委托的第三方单位。</w:t>
      </w:r>
    </w:p>
    <w:p w14:paraId="4477513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②按合同进度延误违约条款追究分包人违约责任。</w:t>
      </w:r>
    </w:p>
    <w:p w14:paraId="5F73272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③给予分包人、承包人当季度履约评价考核结果为“良好”或以下等级，直至完成进度纠偏，因分包人原因导致项目关键节点滞后，且分包人并未采取有效纠偏措施，当年履约评价考核结果不得评为“优秀”等级，且发包人可单方解除合同。</w:t>
      </w:r>
    </w:p>
    <w:p w14:paraId="1E30D85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（11）进度计划管理报表</w:t>
      </w:r>
    </w:p>
    <w:p w14:paraId="225B0C7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1）分包人应向承包人、监理人和发包人按时提交《周工作报告》、《月工作报告》，在《周工作报告》、《月工作报告》中应包含周、月度工作计划。 </w:t>
      </w:r>
    </w:p>
    <w:p w14:paraId="08CD56B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2）分包人进度报表的内容： </w:t>
      </w:r>
    </w:p>
    <w:p w14:paraId="68AECD3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① 在现场工作的技术管理人员数量、技术工人和非技术工人数量。 </w:t>
      </w:r>
    </w:p>
    <w:p w14:paraId="31545F8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② 现场所使用的各种主要机械设备和车辆的型号、数量和台班，工作区段，工程进度情况，天气情况记录，诸如停工、事故等特别事项说明。 </w:t>
      </w:r>
    </w:p>
    <w:p w14:paraId="3AFF664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③ 进场材料、物品或设备分类汇总表、用于次周或下月的工程进度计划。 </w:t>
      </w:r>
    </w:p>
    <w:p w14:paraId="0FECB8A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（12）其他</w:t>
      </w:r>
    </w:p>
    <w:p w14:paraId="4A12731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现场施工人员数量必须满足施工进度要求，当发现施工人员数量无法满足施工进度要求时，承包人、监理人、发包人均有权要求分包人增加施工人员和管理人员，分包人需在48小时内按发包人要求将人员补充到位。 </w:t>
      </w:r>
    </w:p>
    <w:p w14:paraId="60914F3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2）对一些关键节点、工序或发包人有特殊要求必须在某个时间段完成的工作，分包人必须在人员、材料、机械方面全力予以配合，确保在要求的时间内完成。 </w:t>
      </w:r>
    </w:p>
    <w:p w14:paraId="07FDE61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包资金付款凭证报备，分包人应保证向其劳务班组等分包单位及时足额支付工程款，并每月向发包人、承包人提供其劳务班组等分包单位支付工程款项的证据资料（付款凭证、农民工工资支付记录等），确保现场按计划正常推进。</w:t>
      </w:r>
    </w:p>
    <w:p w14:paraId="6A5423C1">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（四）深化设计管理要求</w:t>
      </w:r>
    </w:p>
    <w:p w14:paraId="2ABC247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幕墙招标图反映了发包人、设计人对于本项目幕墙的建筑功能、结构、构造、材料、立面效果、工程范围及对关联专业的具体要求和控制标准，分包人作为有经验的投标单位应考虑到幕墙招标图无法详尽表达所有幕墙生产加工、施工安装、特殊节点做法的情形，也不代表招标图是对所有细部构造及制造工艺唯一或最优的选项。分包人必须具有在招标文件技术要求的框架下完成本项目幕墙施工图深化设计工作的能力，所有深化设计成果及深度必须满足可按图生产、加工、安装并达到招标文件控制条件和技术标准的要求，且须通过承包人、发包人及相关设计、顾问机构的审批，作为本项目幕墙样板制作、试验检测、生产制造、工程施工、中间验收及工程验收的技术执行文件。</w:t>
      </w:r>
    </w:p>
    <w:p w14:paraId="2739008D">
      <w:pPr>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深化设计成果不得违背、削弱建筑效果（包括外立面、室内及可视部分的细节效果）的要求，不得降低招标文件中关于材料品质、幕墙各项性能指标的要求以及幕墙的建筑功能要求。同时，深化设计成果应充分表达实现工程效果及功能所采用的工艺及标准，并得到验证，未经验证的深化设计成果将不被承包人及发包人接受。</w:t>
      </w:r>
    </w:p>
    <w:p w14:paraId="084A5B89">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4.1深化设计管理要求</w:t>
      </w:r>
    </w:p>
    <w:p w14:paraId="1BA90AC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（1）施工图深化单位资质要求</w:t>
      </w:r>
    </w:p>
    <w:p w14:paraId="3D4DF0E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施工图深化单位应具备建筑幕墙工程设计专项甲级资质。</w:t>
      </w:r>
    </w:p>
    <w:p w14:paraId="25E138D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（2）施工图深化设计团队人员要求</w:t>
      </w:r>
    </w:p>
    <w:p w14:paraId="3BE5D0D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施工图深化设计负责人、结构设计负责人应具备与本项目技术难度匹配的项目工作经验，人员需经发包人确认。</w:t>
      </w:r>
    </w:p>
    <w:p w14:paraId="7FBCD26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（3）幕墙系统重点项深化设计要求</w:t>
      </w:r>
    </w:p>
    <w:p w14:paraId="50CE1FBA">
      <w:pPr>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1）荷载</w:t>
      </w:r>
    </w:p>
    <w:p w14:paraId="0922DFF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除总则中的要求外，系统深化设计中幕墙对主体结构、主体钢结构的加载方式、荷载及作用点位置不应有颠覆性调整，以至于影响主体结构的承载能力及位移控制指标。所有因系统深化产生的对主体结构加载的变化，均应提供计算结果报设计人复核。</w:t>
      </w:r>
    </w:p>
    <w:p w14:paraId="32123E9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2）防水及防腐设计</w:t>
      </w:r>
    </w:p>
    <w:p w14:paraId="7863B08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招标文件及图纸已经表达了对防腐及防水设计的基本做法及原则要求，深化设计应确保防水及防腐系在复杂造型部位的连续、有效及可实施性。</w:t>
      </w:r>
    </w:p>
    <w:p w14:paraId="694E19C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对于有精确成型要求的钢框架组件，为保证钢架精度不应在成型后再整体热镀锌。对可能过水的钢构件上的工艺孔、螺丝孔应采取同等防腐工艺或封堵措施防腐。</w:t>
      </w:r>
    </w:p>
    <w:p w14:paraId="74E5C97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3）相关专业配合</w:t>
      </w:r>
    </w:p>
    <w:p w14:paraId="7A5AFA8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由于幕墙招标阶段，主体钢结构施工图设计、景观施工图设计、泛光、外墙排水系统、室内装修、窗帘盒、标识标牌、广告等专项设计尚未最终完成施工图深化，幕墙深化设计应同步相关专业的施工图深化进行；对于依附及嵌入幕墙结构中的门，如发包人要求由专业门厂家定制供货的，幕墙深化设计应配合定制产品进行一体化设计深化。招标图中的表达均为原则性要求，不应理解为该部分的表达是最终的施工要求。</w:t>
      </w:r>
    </w:p>
    <w:p w14:paraId="2E24461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（4）深化设计的确认及设计验证</w:t>
      </w:r>
    </w:p>
    <w:p w14:paraId="4B2CA02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深化设计成果的确认须基于图纸、模型、计算、试验、材料构件及幕墙性能测试等设计验证结果，同时满足发包人及发包人指定的设计、咨询服务机构的要求，深化设计过程中的汇报讨论、建议意见不作为发包人及发包人指定的设计、咨询服务机构的确认。</w:t>
      </w:r>
    </w:p>
    <w:p w14:paraId="6F18672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由于深化设计质量以及材料送样未满足承包人、发包人及发包人指定的设计、咨询服务机构的审核要求，或由于深化设计的缺陷导致上述设计验证未能满足或达到项目效果、招标或验收标准要求的，深化设计单位需要无条件优化设计、重新进行样板送审以及再次完成设计验证，并承担相应的责任和工期损失。</w:t>
      </w:r>
    </w:p>
    <w:p w14:paraId="2E79FB2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由于项目复杂，深化设计的确认将分阶段、分系统进行，分包人入场后应依据批准的施工计划及组织方案，提供幕墙施工图分批送审方案供承包人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发包人及设计人批准，未完成设计验证的中间过程确认，均不代表对深化设计成果的正式确认。</w:t>
      </w:r>
    </w:p>
    <w:p w14:paraId="7E2F7EE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（5）招标图纸及模型说明</w:t>
      </w:r>
    </w:p>
    <w:p w14:paraId="0A52575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招标图纸及模型只表达招标要求，并不能作为施工实施所依据的施工图，分包人需充分考虑材料加工工艺、幕墙施工的可行性和落地性，深化设计图纸须完善相关设计直至审核通过。</w:t>
      </w:r>
    </w:p>
    <w:p w14:paraId="690804EE">
      <w:pPr>
        <w:ind w:firstLine="480" w:firstLineChars="200"/>
        <w:rPr>
          <w:rFonts w:asciiTheme="minorEastAsia" w:hAnsiTheme="minorEastAsia" w:eastAsiaTheme="minorEastAsia"/>
        </w:rPr>
      </w:pPr>
      <w:r>
        <w:rPr>
          <w:rFonts w:hint="eastAsia" w:asciiTheme="minorEastAsia" w:hAnsiTheme="minorEastAsia" w:eastAsiaTheme="minorEastAsia"/>
        </w:rPr>
        <w:t>（6）下列图纸调整不属于设计变更，是为设计深化完善内容：</w:t>
      </w:r>
    </w:p>
    <w:p w14:paraId="1EC2EBDB">
      <w:pPr>
        <w:ind w:firstLine="480" w:firstLineChars="200"/>
        <w:rPr>
          <w:rFonts w:asciiTheme="minorEastAsia" w:hAnsiTheme="minorEastAsia" w:eastAsiaTheme="minorEastAsia"/>
        </w:rPr>
      </w:pPr>
      <w:r>
        <w:rPr>
          <w:rFonts w:hint="eastAsia" w:asciiTheme="minorEastAsia" w:hAnsiTheme="minorEastAsia" w:eastAsiaTheme="minorEastAsia"/>
        </w:rPr>
        <w:t>1）幕墙（建筑外围护工程）招标范围内与室内外建筑、结构、装修、景观、地面铺装的交接节点设计深化；</w:t>
      </w:r>
    </w:p>
    <w:p w14:paraId="200924B3">
      <w:pPr>
        <w:ind w:firstLine="480" w:firstLineChars="200"/>
        <w:rPr>
          <w:rFonts w:asciiTheme="minorEastAsia" w:hAnsiTheme="minorEastAsia" w:eastAsiaTheme="minorEastAsia"/>
        </w:rPr>
      </w:pPr>
      <w:r>
        <w:rPr>
          <w:rFonts w:hint="eastAsia" w:asciiTheme="minorEastAsia" w:hAnsiTheme="minorEastAsia" w:eastAsiaTheme="minorEastAsia"/>
        </w:rPr>
        <w:t>2）幕墙施工图纸深化设计过程中同步配合相关专业施工图深化设计引起的不改变幕墙结构体系及立面面板材料前提下的分格尺寸、局部封修轮廓线、节点构造做法、预留预装的设计深化；</w:t>
      </w:r>
    </w:p>
    <w:p w14:paraId="575DE12E">
      <w:pPr>
        <w:ind w:firstLine="480" w:firstLineChars="200"/>
        <w:rPr>
          <w:rFonts w:asciiTheme="minorEastAsia" w:hAnsiTheme="minorEastAsia" w:eastAsiaTheme="minorEastAsia"/>
        </w:rPr>
      </w:pPr>
      <w:r>
        <w:rPr>
          <w:rFonts w:hint="eastAsia" w:asciiTheme="minorEastAsia" w:hAnsiTheme="minorEastAsia" w:eastAsiaTheme="minorEastAsia"/>
        </w:rPr>
        <w:t>3）幕墙施工图纸深化设计经发包人确认后，对于在施工过程中发现的仍然需要完善的幕墙深化设计自身的缺陷、缺失、性能标准不达标等问题进行的设计深化；</w:t>
      </w:r>
    </w:p>
    <w:p w14:paraId="288269B4">
      <w:pPr>
        <w:ind w:firstLine="480" w:firstLineChars="200"/>
        <w:rPr>
          <w:rFonts w:asciiTheme="minorEastAsia" w:hAnsiTheme="minorEastAsia" w:eastAsiaTheme="minorEastAsia"/>
        </w:rPr>
      </w:pPr>
      <w:r>
        <w:rPr>
          <w:rFonts w:hint="eastAsia" w:asciiTheme="minorEastAsia" w:hAnsiTheme="minorEastAsia" w:eastAsiaTheme="minorEastAsia"/>
        </w:rPr>
        <w:t>4）电动开启扇等产品的相关深化设计；</w:t>
      </w:r>
    </w:p>
    <w:p w14:paraId="142050E4">
      <w:pPr>
        <w:ind w:firstLine="480" w:firstLineChars="200"/>
        <w:rPr>
          <w:rFonts w:asciiTheme="minorEastAsia" w:hAnsiTheme="minorEastAsia" w:eastAsiaTheme="minorEastAsia"/>
        </w:rPr>
      </w:pPr>
      <w:r>
        <w:rPr>
          <w:rFonts w:hint="eastAsia" w:asciiTheme="minorEastAsia" w:hAnsiTheme="minorEastAsia" w:eastAsiaTheme="minorEastAsia"/>
        </w:rPr>
        <w:t>5）在结构实测基础上，对误差容差调整引起的图纸深化、结构计算书、BIM模型深化设计等。</w:t>
      </w:r>
    </w:p>
    <w:p w14:paraId="01B88981">
      <w:pPr>
        <w:ind w:firstLine="480" w:firstLineChars="200"/>
        <w:rPr>
          <w:rFonts w:asciiTheme="minorEastAsia" w:hAnsiTheme="minorEastAsia" w:eastAsiaTheme="minorEastAsia"/>
        </w:rPr>
      </w:pPr>
      <w:r>
        <w:rPr>
          <w:rFonts w:hint="eastAsia" w:asciiTheme="minorEastAsia" w:hAnsiTheme="minorEastAsia" w:eastAsiaTheme="minorEastAsia"/>
        </w:rPr>
        <w:t>6）铝型材因开模要求导致的型材壁厚调整。</w:t>
      </w:r>
    </w:p>
    <w:p w14:paraId="75A08E67">
      <w:pPr>
        <w:ind w:firstLine="480" w:firstLineChars="200"/>
        <w:rPr>
          <w:rFonts w:asciiTheme="minorEastAsia" w:hAnsiTheme="minorEastAsia" w:eastAsiaTheme="minorEastAsia"/>
        </w:rPr>
      </w:pPr>
      <w:r>
        <w:rPr>
          <w:rFonts w:hint="eastAsia" w:asciiTheme="minorEastAsia" w:hAnsiTheme="minorEastAsia" w:eastAsiaTheme="minorEastAsia"/>
        </w:rPr>
        <w:t>7）为满足热工要求的局部节点构造图纸深化设计调整。</w:t>
      </w:r>
    </w:p>
    <w:p w14:paraId="39AF3615">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4.2深化设计人员、计划及时间要求</w:t>
      </w:r>
    </w:p>
    <w:p w14:paraId="6DB7661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施工图深化单位应具备建筑幕墙工程设计专项甲级资质；按合同约定配置有经验的深化设计人员，包括分包人后台深化设计团体，深化设计负责人、结构设计负责人应具备与本项目技术难度匹配的项目工作经验，人员需经发包人确认。分包人应在合同签订后</w:t>
      </w: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天内完成深化设计项目清单和出图计划，提交监理人、承包人、发包人审核。分包人深化设计负责人牵头组织深化设计、专业设计协调等工作。</w:t>
      </w:r>
    </w:p>
    <w:p w14:paraId="693DC79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（2）深化设计时间要求：分包人收到施工图后应立即开展深化设计工作，必须在具体项目/施工部位实施前完成深化设计批复，充分考虑生产加工周期，不能影响相应区域的现场实施。</w:t>
      </w:r>
    </w:p>
    <w:p w14:paraId="5ACF219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（3）分包人应在中标通知书发出后的</w:t>
      </w:r>
      <w:r>
        <w:rPr>
          <w:rFonts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t>天内，完成第一版埋件施工图深化工作，并提交给发包人进行审核。</w:t>
      </w:r>
    </w:p>
    <w:p w14:paraId="0CFA81B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（4）分包人应在样板定样确认后的</w:t>
      </w:r>
      <w:r>
        <w:rPr>
          <w:rFonts w:asciiTheme="minorEastAsia" w:hAnsiTheme="minorEastAsia" w:eastAsiaTheme="minorEastAsia"/>
          <w:color w:val="000000" w:themeColor="text1"/>
          <w14:textFill>
            <w14:solidFill>
              <w14:schemeClr w14:val="tx1"/>
            </w14:solidFill>
          </w14:textFill>
        </w:rPr>
        <w:t>15</w:t>
      </w:r>
      <w:r>
        <w:rPr>
          <w:rFonts w:hint="eastAsia" w:asciiTheme="minorEastAsia" w:hAnsiTheme="minorEastAsia" w:eastAsiaTheme="minorEastAsia"/>
          <w:color w:val="000000" w:themeColor="text1"/>
          <w14:textFill>
            <w14:solidFill>
              <w14:schemeClr w14:val="tx1"/>
            </w14:solidFill>
          </w14:textFill>
        </w:rPr>
        <w:t>天内，完成第一版施工图深化工作，并提交给发包人进行审核。</w:t>
      </w:r>
    </w:p>
    <w:p w14:paraId="304C784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（5）分包人在收到发包人的审核意见后，应在</w:t>
      </w: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天内完成修改，并用云线圈出修改部位，同时提交对审核意见的修改回复。</w:t>
      </w:r>
    </w:p>
    <w:p w14:paraId="5EC5680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（6）各幕墙系统的深化施工图纸可以分批次完成，且埋件深化及施工需满足主体施工进度需求，所有深化施工图纸的最终提交时间应不晚于</w:t>
      </w:r>
      <w:r>
        <w:rPr>
          <w:rFonts w:asciiTheme="minorEastAsia" w:hAnsiTheme="minorEastAsia" w:eastAsiaTheme="minorEastAsia"/>
          <w:color w:val="000000" w:themeColor="text1"/>
          <w14:textFill>
            <w14:solidFill>
              <w14:schemeClr w14:val="tx1"/>
            </w14:solidFill>
          </w14:textFill>
        </w:rPr>
        <w:t>2024</w:t>
      </w:r>
      <w:r>
        <w:rPr>
          <w:rFonts w:hint="eastAsia" w:asciiTheme="minorEastAsia" w:hAnsiTheme="minorEastAsia" w:eastAsiaTheme="minorEastAsia"/>
          <w:color w:val="000000" w:themeColor="text1"/>
          <w14:textFill>
            <w14:solidFill>
              <w14:schemeClr w14:val="tx1"/>
            </w14:solidFill>
          </w14:textFill>
        </w:rPr>
        <w:t>年</w:t>
      </w:r>
      <w:r>
        <w:rPr>
          <w:rFonts w:asciiTheme="minorEastAsia" w:hAnsiTheme="minorEastAsia" w:eastAsiaTheme="minorEastAsia"/>
          <w:color w:val="000000" w:themeColor="text1"/>
          <w14:textFill>
            <w14:solidFill>
              <w14:schemeClr w14:val="tx1"/>
            </w14:solidFill>
          </w14:textFill>
        </w:rPr>
        <w:t>12</w:t>
      </w:r>
      <w:r>
        <w:rPr>
          <w:rFonts w:hint="eastAsia" w:asciiTheme="minorEastAsia" w:hAnsiTheme="minorEastAsia" w:eastAsiaTheme="minorEastAsia"/>
          <w:color w:val="000000" w:themeColor="text1"/>
          <w14:textFill>
            <w14:solidFill>
              <w14:schemeClr w14:val="tx1"/>
            </w14:solidFill>
          </w14:textFill>
        </w:rPr>
        <w:t>月</w:t>
      </w:r>
      <w:r>
        <w:rPr>
          <w:rFonts w:asciiTheme="minorEastAsia" w:hAnsiTheme="minorEastAsia" w:eastAsiaTheme="minorEastAsia"/>
          <w:color w:val="000000" w:themeColor="text1"/>
          <w14:textFill>
            <w14:solidFill>
              <w14:schemeClr w14:val="tx1"/>
            </w14:solidFill>
          </w14:textFill>
        </w:rPr>
        <w:t>30</w:t>
      </w:r>
      <w:r>
        <w:rPr>
          <w:rFonts w:hint="eastAsia" w:asciiTheme="minorEastAsia" w:hAnsiTheme="minorEastAsia" w:eastAsiaTheme="minorEastAsia"/>
          <w:color w:val="000000" w:themeColor="text1"/>
          <w14:textFill>
            <w14:solidFill>
              <w14:schemeClr w14:val="tx1"/>
            </w14:solidFill>
          </w14:textFill>
        </w:rPr>
        <w:t>日。</w:t>
      </w:r>
    </w:p>
    <w:p w14:paraId="61E04A37">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4.3深化设计原则</w:t>
      </w:r>
    </w:p>
    <w:p w14:paraId="0C9B766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（1）深化、细化主要解决原设计中出现的错误、遗漏、缺失和与其他专业图纸碰撞的现象；深化、细化图纸不得低于原设计标准，深化、细化、优化成果须经原设计和发包人的确认。</w:t>
      </w:r>
    </w:p>
    <w:p w14:paraId="5870568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在发包人或设计顾问提供的条件图或原理图的基础上，结合施工现场实际情况，对图纸进行细化、补充和完善。深化设计后的图纸满足发包人或设计顾问的技术要求，符合相关地域的设计规范和施工规范，并通过审查，图形合一，能直接指导现场施工。</w:t>
      </w:r>
    </w:p>
    <w:p w14:paraId="4962B7E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（3）本项目实施严格的图纸深化和确认的管理程序。分包人要在未施工前预见可能出现的潜在问题、发现问题并解决问题，同时应提前发现图纸深化与现场条件可能发生的偏差或冲突。</w:t>
      </w:r>
    </w:p>
    <w:p w14:paraId="49F358F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项目管理方对施工图的审定签认仅针对设计意图而言，并不减除分包人对其设计的任何方面所负的责任。除非另有特别书面签认，否则分包人应负责设计、制造尺寸正确性和装配安装过程的协调，并履行合同文件所有要求。若项目管理方未能指出提交资料中的不符要求之处，并不因此表示在以前或之后的提交资料中可以有相关的不符合要求之处。在提交施工图阶段，若分包人在三次提交送审资料之后仍未能使其提交资料获得批准，该分包人则应对设计顾问再次进行审核所产生的成本以及耽误的工期负责。</w:t>
      </w:r>
    </w:p>
    <w:p w14:paraId="1CC4A9B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（5）幕墙深化设计的基本原则为：</w:t>
      </w:r>
      <w:r>
        <w:rPr>
          <w:rFonts w:hint="eastAsia" w:asciiTheme="minorEastAsia" w:hAnsiTheme="minorEastAsia" w:eastAsiaTheme="minorEastAsia"/>
          <w:color w:val="000000" w:themeColor="text1"/>
          <w14:textFill>
            <w14:solidFill>
              <w14:schemeClr w14:val="tx1"/>
            </w14:solidFill>
          </w14:textFill>
        </w:rPr>
        <w:t>幕墙深化设计对幕墙外观、幕墙主要受力体系和幕墙与其它专业的界面处理原则上不得改变，其余部位允许进行优化。不允许进行修改的范围：</w:t>
      </w:r>
    </w:p>
    <w:p w14:paraId="18BECA17">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）凡视线可见面内的幕墙各主要材料的分格、尺寸、材料做法。</w:t>
      </w:r>
    </w:p>
    <w:p w14:paraId="0C582E46">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）主体结构承接幕墙专递荷载的方式和位置、防火构造及消防救援、排烟窗等布置、各项建筑功能的要求，包括采光、热工、通风、隔声、绿建、泛光、擦窗机等。</w:t>
      </w:r>
    </w:p>
    <w:p w14:paraId="11DCEAD2">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）与其它专业、工种配合界面。</w:t>
      </w:r>
    </w:p>
    <w:p w14:paraId="6AF36D7C">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）基本防、排水系统。</w:t>
      </w:r>
    </w:p>
    <w:p w14:paraId="5A081D5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5）非结构计算及开模要求导致的铝型材及构件之内部尺寸调整。</w:t>
      </w:r>
    </w:p>
    <w:p w14:paraId="3434B55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6）材料的设计使用寿命和质保年限</w:t>
      </w:r>
      <w:r>
        <w:rPr>
          <w:rFonts w:asciiTheme="minorEastAsia" w:hAnsiTheme="minorEastAsia" w:eastAsiaTheme="minorEastAsia"/>
          <w:color w:val="000000" w:themeColor="text1"/>
          <w14:textFill>
            <w14:solidFill>
              <w14:schemeClr w14:val="tx1"/>
            </w14:solidFill>
          </w14:textFill>
        </w:rPr>
        <w:t>。</w:t>
      </w:r>
    </w:p>
    <w:p w14:paraId="0C76A96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7）防水设计、防火设计的基本原则</w:t>
      </w:r>
      <w:r>
        <w:rPr>
          <w:rFonts w:asciiTheme="minorEastAsia" w:hAnsiTheme="minorEastAsia" w:eastAsiaTheme="minorEastAsia"/>
          <w:color w:val="000000" w:themeColor="text1"/>
          <w14:textFill>
            <w14:solidFill>
              <w14:schemeClr w14:val="tx1"/>
            </w14:solidFill>
          </w14:textFill>
        </w:rPr>
        <w:t>。</w:t>
      </w:r>
    </w:p>
    <w:p w14:paraId="559BF03F">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4.4深化设计审核的要求</w:t>
      </w:r>
    </w:p>
    <w:p w14:paraId="4D4C947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（1）图纸深化工作由分包人中标后立即进行，分包人汇总、审核后的深化设计图纸应提交设计人、监理人、承包人、发包人审核。</w:t>
      </w:r>
    </w:p>
    <w:p w14:paraId="3509797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）分包人应根据审批单位的审查意见及时修订重报，修改期限7天，同时积极跟踪审查进度，不得以审批进度为由追加工程费用和工期。</w:t>
      </w:r>
    </w:p>
    <w:p w14:paraId="7F723D6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）深化设计获得批准后，由分包人根据设计内容向相关单位和人员交底。</w:t>
      </w:r>
    </w:p>
    <w:p w14:paraId="088308B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审核人对深化设计的审核审批，不免除或减轻分包人、专业工程分包人对深化施工图纸的质量、技术、尺寸和协调内容的责任。分包人要在进度计划中考虑修改图纸和进度表，以及向监理人、承包人、发包人重新报送图纸和进度表的时间，不得以重新报送为由追加工程费用和工期。</w:t>
      </w:r>
    </w:p>
    <w:p w14:paraId="4EDD3AA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（5）分包人应提交深化设计审批图纸电子版1套，蓝图6套。</w:t>
      </w:r>
    </w:p>
    <w:p w14:paraId="4B1FFC15">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4.5深化设计交底实施</w:t>
      </w:r>
    </w:p>
    <w:p w14:paraId="41CBB55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1）深化设计成果文件的发布实行“统一发布，统一管理”的原则，即深化设计成果文件经深化设计审批流程审批同意后，由分包人统一发布、统一管理，并按图纸管理办法的相关规定执行。</w:t>
      </w:r>
    </w:p>
    <w:p w14:paraId="0EDFD90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深化设计完成后分包人应配合图纸会审及深化设计交底，交底内容应包括深化设计条件图、深化设计基本原则、主要施工工艺要求、材料要求、配合要求等。制作单位组织对工厂加工制作人员、运输人员、工程现场配合人员的深化设计专项技术交底。交底完成后，方可实施。</w:t>
      </w:r>
    </w:p>
    <w:p w14:paraId="6C781521">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所有深化设计需满足《建筑工程设计文件编制深度规定》，深化设计的标准不得低于幕墙招标图纸的设计标准和技术要求，图纸尺寸标注详细，明确简洁；做法表达清楚，与各专业的图纸协调，保证建成后达到发包人预期的使用功能、使用安全、可靠性和美观标准；专业平面图须相对应，各种管线关系表达明确；对于施工过程中应注意的问题进行说明，确保正确施工。分包人需考虑施工阶段的各项专项论证。</w:t>
      </w:r>
    </w:p>
    <w:p w14:paraId="3E604DF9">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2）深化模型及图纸必须核对土建的深化模型及现场条件，并依据土建模型进行连接件、补强构件的连接设计和建模，同时对结构可行性进行计算验证。</w:t>
      </w:r>
    </w:p>
    <w:p w14:paraId="51EE25EB">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3）深化设计中，对于不明确的连接处进行连接设计时，应遵循保持建筑表皮外观不变的原则。有明显影响外观的地方，应以联系单的形式咨询原设计人及建筑师，得到回复后方可执行。</w:t>
      </w:r>
    </w:p>
    <w:p w14:paraId="5E6D9A9A">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4.6计算书要求</w:t>
      </w:r>
    </w:p>
    <w:p w14:paraId="48BE179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分包人应</w:t>
      </w:r>
      <w:r>
        <w:rPr>
          <w:rFonts w:hint="eastAsia" w:asciiTheme="minorEastAsia" w:hAnsiTheme="minorEastAsia" w:eastAsiaTheme="minorEastAsia"/>
          <w:color w:val="000000" w:themeColor="text1"/>
          <w14:textFill>
            <w14:solidFill>
              <w14:schemeClr w14:val="tx1"/>
            </w14:solidFill>
          </w14:textFill>
        </w:rPr>
        <w:t>完成</w:t>
      </w:r>
      <w:r>
        <w:rPr>
          <w:rFonts w:asciiTheme="minorEastAsia" w:hAnsiTheme="minorEastAsia" w:eastAsiaTheme="minorEastAsia"/>
          <w:color w:val="000000" w:themeColor="text1"/>
          <w14:textFill>
            <w14:solidFill>
              <w14:schemeClr w14:val="tx1"/>
            </w14:solidFill>
          </w14:textFill>
        </w:rPr>
        <w:t>与</w:t>
      </w:r>
      <w:r>
        <w:rPr>
          <w:rFonts w:hint="eastAsia" w:asciiTheme="minorEastAsia" w:hAnsiTheme="minorEastAsia" w:eastAsiaTheme="minorEastAsia"/>
          <w:color w:val="000000" w:themeColor="text1"/>
          <w14:textFill>
            <w14:solidFill>
              <w14:schemeClr w14:val="tx1"/>
            </w14:solidFill>
          </w14:textFill>
        </w:rPr>
        <w:t>深化</w:t>
      </w:r>
      <w:r>
        <w:rPr>
          <w:rFonts w:asciiTheme="minorEastAsia" w:hAnsiTheme="minorEastAsia" w:eastAsiaTheme="minorEastAsia"/>
          <w:color w:val="000000" w:themeColor="text1"/>
          <w14:textFill>
            <w14:solidFill>
              <w14:schemeClr w14:val="tx1"/>
            </w14:solidFill>
          </w14:textFill>
        </w:rPr>
        <w:t>设计相配套的计算书。分包人须由注册结构工程师作为独立审核工程师，审核详尽的结构设计计算书，并签署确认。送审计算书应包括所有构件、装置及样板的设计随图纸送审，应提供完整有序及配套的结构计算，软件计算部分需选用认可的专业结构分析及计算软件；计算过程须清楚、详细、完整，包括（但不限于）以下内容：</w:t>
      </w:r>
    </w:p>
    <w:p w14:paraId="2097C063">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1）封面、目录。</w:t>
      </w:r>
    </w:p>
    <w:p w14:paraId="066DA9F7">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2）设计数据，包括但不限于设计荷载，材料数据和设计标准。</w:t>
      </w:r>
    </w:p>
    <w:p w14:paraId="0B2A3E9C">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3）结构原理、设计方法及假设条件。</w:t>
      </w:r>
    </w:p>
    <w:p w14:paraId="76BDAED9">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4）结构构件在荷载下位移和应力。</w:t>
      </w:r>
    </w:p>
    <w:p w14:paraId="106EB81E">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5）连接点的应力和位移。</w:t>
      </w:r>
    </w:p>
    <w:p w14:paraId="20F767CB">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6）参照加工图的构件截面几何特性说明。</w:t>
      </w:r>
    </w:p>
    <w:p w14:paraId="1D99697E">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7）整个幕墙各系统的热工计算。</w:t>
      </w:r>
    </w:p>
    <w:p w14:paraId="4CAF61AA">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8）结构硅硐密封胶截面数值。</w:t>
      </w:r>
    </w:p>
    <w:p w14:paraId="7A044D6C">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9）型材截面参数计算。</w:t>
      </w:r>
    </w:p>
    <w:p w14:paraId="52DA0F59">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龙骨</w:t>
      </w:r>
      <w:r>
        <w:rPr>
          <w:rFonts w:asciiTheme="minorEastAsia" w:hAnsiTheme="minorEastAsia" w:eastAsiaTheme="minorEastAsia"/>
          <w:color w:val="000000" w:themeColor="text1"/>
          <w14:textFill>
            <w14:solidFill>
              <w14:schemeClr w14:val="tx1"/>
            </w14:solidFill>
          </w14:textFill>
        </w:rPr>
        <w:t>刚度、强度计算。</w:t>
      </w:r>
    </w:p>
    <w:p w14:paraId="5034D309">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14:textFill>
            <w14:solidFill>
              <w14:schemeClr w14:val="tx1"/>
            </w14:solidFill>
          </w14:textFill>
        </w:rPr>
        <w:t>龙骨</w:t>
      </w:r>
      <w:r>
        <w:rPr>
          <w:rFonts w:asciiTheme="minorEastAsia" w:hAnsiTheme="minorEastAsia" w:eastAsiaTheme="minorEastAsia"/>
          <w:color w:val="000000" w:themeColor="text1"/>
          <w14:textFill>
            <w14:solidFill>
              <w14:schemeClr w14:val="tx1"/>
            </w14:solidFill>
          </w14:textFill>
        </w:rPr>
        <w:t>支座码件强度计算。</w:t>
      </w:r>
    </w:p>
    <w:p w14:paraId="5C221275">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12）预埋件（后置埋件）计算。</w:t>
      </w:r>
    </w:p>
    <w:p w14:paraId="0C1422AB">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13）</w:t>
      </w:r>
      <w:r>
        <w:rPr>
          <w:rFonts w:hint="eastAsia" w:asciiTheme="minorEastAsia" w:hAnsiTheme="minorEastAsia" w:eastAsiaTheme="minorEastAsia"/>
          <w:color w:val="000000" w:themeColor="text1"/>
          <w14:textFill>
            <w14:solidFill>
              <w14:schemeClr w14:val="tx1"/>
            </w14:solidFill>
          </w14:textFill>
        </w:rPr>
        <w:t>龙骨</w:t>
      </w:r>
      <w:r>
        <w:rPr>
          <w:rFonts w:asciiTheme="minorEastAsia" w:hAnsiTheme="minorEastAsia" w:eastAsiaTheme="minorEastAsia"/>
          <w:color w:val="000000" w:themeColor="text1"/>
          <w14:textFill>
            <w14:solidFill>
              <w14:schemeClr w14:val="tx1"/>
            </w14:solidFill>
          </w14:textFill>
        </w:rPr>
        <w:t>安装不锈钢螺栓抗拉、抗剪等计算。</w:t>
      </w:r>
    </w:p>
    <w:p w14:paraId="614A0F95">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14）横梁刚度、强度及受玻璃自重和风荷载作用下的抗弯矩计算。</w:t>
      </w:r>
    </w:p>
    <w:p w14:paraId="3D52FD7D">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15）横梁连接角码的刚度、强度计算。</w:t>
      </w:r>
    </w:p>
    <w:p w14:paraId="51A2B489">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面板材料的刚度、强度计算</w:t>
      </w:r>
      <w:r>
        <w:rPr>
          <w:rFonts w:asciiTheme="minorEastAsia" w:hAnsiTheme="minorEastAsia" w:eastAsiaTheme="minorEastAsia"/>
          <w:color w:val="000000" w:themeColor="text1"/>
          <w14:textFill>
            <w14:solidFill>
              <w14:schemeClr w14:val="tx1"/>
            </w14:solidFill>
          </w14:textFill>
        </w:rPr>
        <w:t>。</w:t>
      </w:r>
    </w:p>
    <w:p w14:paraId="75DD274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需注意的事项：</w:t>
      </w:r>
    </w:p>
    <w:p w14:paraId="342E22F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1）请用图纸详细说明各计算部位，并说明其合理性，确保计算部位的完整。</w:t>
      </w:r>
    </w:p>
    <w:p w14:paraId="087FA3E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2）计算的模型须与施工图纸一致，并考虑其特殊性，特别是双支座结构和多跨连续梁结构，不允许只计算中间部位，需进行完整计算。</w:t>
      </w:r>
    </w:p>
    <w:p w14:paraId="25FD96E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3）转角龙骨必须考虑以下四种工况：两侧全为正风压、两侧全为负风压、一侧为正风压另一侧为负风压、一侧为负风压另一侧为正风压。需考虑建筑内压。</w:t>
      </w:r>
    </w:p>
    <w:p w14:paraId="7457359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4）雨蓬必须考虑向下的风荷载的作用。</w:t>
      </w:r>
    </w:p>
    <w:p w14:paraId="48B7178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5）檐口、雨蓬、边棱处的装饰条等突出构件的体型系数按-2.0考虑。</w:t>
      </w:r>
    </w:p>
    <w:p w14:paraId="1A6CB7D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6）风荷载取风洞试验报告和规范计算值之间的最不利值，除非另有说明。</w:t>
      </w:r>
    </w:p>
    <w:p w14:paraId="05F1AF7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7）软件计算的部分，应有详细的工况计算和说明，荷载的加载和约束的定义应有清楚的软件截图表达和必要的说明，计算的模型必须附上标注有尺寸的软件截图。计算结果必须附上软件截图和必要的总结说明。</w:t>
      </w:r>
    </w:p>
    <w:p w14:paraId="6B3C28B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8）计算连接系统时，必须详细的分析各杆件、构件等的传力方法和途径，找出各种最不利的情况进行计算。</w:t>
      </w:r>
    </w:p>
    <w:p w14:paraId="6A67C10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9）注意突出外墙的构件对幕墙龙骨和连接系统在幕墙平面外的影响，并应有详细的计算。</w:t>
      </w:r>
    </w:p>
    <w:p w14:paraId="653C482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11）适应主结构变形的设计和施工措施。</w:t>
      </w:r>
    </w:p>
    <w:p w14:paraId="5068E16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12）石材的计算厚度必须考虑其加工误差的不利影响，光面取公称厚度减去允许的误差值，毛面取公称厚度减去允许的误差值再减去3mm。</w:t>
      </w:r>
    </w:p>
    <w:p w14:paraId="0C858C8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13）根据节能规范进行仔细计算，对热工性能进行复核并确保通过验收。</w:t>
      </w:r>
    </w:p>
    <w:p w14:paraId="214CCDE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14）即使所提交的计算资料通过审定，也不等于可以减轻分包人应履行的合同责任。</w:t>
      </w:r>
    </w:p>
    <w:p w14:paraId="01562B5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15）对于某些构件，如膨胀螺栓、石材锚栓、槽式埋件等的允许承载力，可以考虑采用国家认可的实验机构出据的材料性能试验报告作为依据。</w:t>
      </w:r>
    </w:p>
    <w:p w14:paraId="709A227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16）复杂结构应进行建模计算。计算书建议采用MATHCAD软件编制。</w:t>
      </w:r>
    </w:p>
    <w:p w14:paraId="6A5FFF19">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4.7图纸审查</w:t>
      </w:r>
    </w:p>
    <w:p w14:paraId="04F4863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在接到施工图纸后，提交图纸存在问题清单，参加发包人、承包人组织的设计交底和图纸会审。分包人在施工过程中遇到图纸不明或矛盾之处需及时与监理人、承包人及发包人沟通，否则由此造成的返工由分包人承担。分包人必须对审图负责，施工前必须将结构图、建筑图等各专业图纸交圈审核，并在各分包人进场后10天内，组织专业图纸联审，将图纸中存在矛盾与错误的地方在施工前提出，并在正式施工之前15日内报监理人、承包人、发包人进行审核处理，同时必须将每一份设计变更认真的与其它所有相关图纸对照审核。若因分包人审图不仔细、疏漏等原因，而造成的返工、遗漏等后果，则由分包人承担一切责任。</w:t>
      </w:r>
    </w:p>
    <w:p w14:paraId="4503014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须根据自身的施工经验以及施工技术规范的要求，对设计院的图纸进行施工优化设计，并制定合理的施工方案，不得出现由于设计图纸与实际施工有出入而产生的返工，否则由此造成的返工由分包人承担。</w:t>
      </w:r>
    </w:p>
    <w:p w14:paraId="44DC12D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3）如发包人提供的图纸、资料不完整的，分包人应在工程开工前7日之前向承包人提交补充图纸及资料的使用时间表，分包人未按此时间要求向发包人提交使用时间表的，不得向发包人提出工期索赔。</w:t>
      </w:r>
    </w:p>
    <w:p w14:paraId="7D5D42C0">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（五）施工样板及样品管理要求</w:t>
      </w:r>
    </w:p>
    <w:p w14:paraId="3982FF3C">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5.1样板、样品类别</w:t>
      </w:r>
    </w:p>
    <w:p w14:paraId="727C26EA">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1、施工</w:t>
      </w:r>
      <w:r>
        <w:rPr>
          <w:rFonts w:hint="eastAsia" w:asciiTheme="minorEastAsia" w:hAnsiTheme="minorEastAsia" w:eastAsiaTheme="minorEastAsia"/>
          <w:color w:val="000000" w:themeColor="text1"/>
          <w14:textFill>
            <w14:solidFill>
              <w14:schemeClr w14:val="tx1"/>
            </w14:solidFill>
          </w14:textFill>
        </w:rPr>
        <w:t>材料</w:t>
      </w:r>
      <w:r>
        <w:rPr>
          <w:rFonts w:asciiTheme="minorEastAsia" w:hAnsiTheme="minorEastAsia" w:eastAsiaTheme="minorEastAsia"/>
          <w:color w:val="000000" w:themeColor="text1"/>
          <w14:textFill>
            <w14:solidFill>
              <w14:schemeClr w14:val="tx1"/>
            </w14:solidFill>
          </w14:textFill>
        </w:rPr>
        <w:t>样板</w:t>
      </w:r>
      <w:r>
        <w:rPr>
          <w:rFonts w:hint="eastAsia" w:asciiTheme="minorEastAsia" w:hAnsiTheme="minorEastAsia" w:eastAsiaTheme="minorEastAsia"/>
          <w:color w:val="000000" w:themeColor="text1"/>
          <w14:textFill>
            <w14:solidFill>
              <w14:schemeClr w14:val="tx1"/>
            </w14:solidFill>
          </w14:textFill>
        </w:rPr>
        <w:t>（与精装修共同实施的材料样板）</w:t>
      </w:r>
    </w:p>
    <w:p w14:paraId="16A75272">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为确保材料实际效果，</w:t>
      </w:r>
      <w:r>
        <w:rPr>
          <w:rFonts w:hint="eastAsia" w:asciiTheme="minorEastAsia" w:hAnsiTheme="minorEastAsia" w:eastAsiaTheme="minorEastAsia"/>
          <w:color w:val="000000" w:themeColor="text1"/>
          <w14:textFill>
            <w14:solidFill>
              <w14:schemeClr w14:val="tx1"/>
            </w14:solidFill>
          </w14:textFill>
        </w:rPr>
        <w:t>分包</w:t>
      </w:r>
      <w:r>
        <w:rPr>
          <w:rFonts w:asciiTheme="minorEastAsia" w:hAnsiTheme="minorEastAsia" w:eastAsiaTheme="minorEastAsia"/>
          <w:color w:val="000000" w:themeColor="text1"/>
          <w14:textFill>
            <w14:solidFill>
              <w14:schemeClr w14:val="tx1"/>
            </w14:solidFill>
          </w14:textFill>
        </w:rPr>
        <w:t>人应根据技术规格书要求和发包人初步确认的材料样品制作施工材料</w:t>
      </w:r>
      <w:r>
        <w:rPr>
          <w:rFonts w:asciiTheme="minorEastAsia" w:hAnsiTheme="minorEastAsia" w:eastAsiaTheme="minorEastAsia"/>
        </w:rPr>
        <w:t>样板</w:t>
      </w:r>
      <w:r>
        <w:rPr>
          <w:rFonts w:hint="eastAsia" w:asciiTheme="minorEastAsia" w:hAnsiTheme="minorEastAsia" w:eastAsiaTheme="minorEastAsia"/>
        </w:rPr>
        <w:t>；部分幕墙施工样板需结合内装施工样板间围蔽需求在工程实体区域实施和最终拆除（初步设置在8F客房层的中间客房区域，最终根据工程实际确认），具体设置要求详见设计文件中《广州市天河区珠江新城A3-3(B)地块项目幕墙施工样板要求（部分）》；</w:t>
      </w:r>
      <w:r>
        <w:rPr>
          <w:rFonts w:asciiTheme="minorEastAsia" w:hAnsiTheme="minorEastAsia" w:eastAsiaTheme="minorEastAsia"/>
          <w:color w:val="000000" w:themeColor="text1"/>
          <w14:textFill>
            <w14:solidFill>
              <w14:schemeClr w14:val="tx1"/>
            </w14:solidFill>
          </w14:textFill>
        </w:rPr>
        <w:t>施工材料样板经发包人评审通过后方可正式报送材料</w:t>
      </w:r>
      <w:r>
        <w:rPr>
          <w:rFonts w:hint="eastAsia" w:asciiTheme="minorEastAsia" w:hAnsiTheme="minorEastAsia" w:eastAsiaTheme="minorEastAsia"/>
          <w:color w:val="000000" w:themeColor="text1"/>
          <w14:textFill>
            <w14:solidFill>
              <w14:schemeClr w14:val="tx1"/>
            </w14:solidFill>
          </w14:textFill>
        </w:rPr>
        <w:t>封样</w:t>
      </w:r>
      <w:r>
        <w:rPr>
          <w:rFonts w:asciiTheme="minorEastAsia" w:hAnsiTheme="minorEastAsia" w:eastAsiaTheme="minorEastAsia"/>
          <w:color w:val="000000" w:themeColor="text1"/>
          <w14:textFill>
            <w14:solidFill>
              <w14:schemeClr w14:val="tx1"/>
            </w14:solidFill>
          </w14:textFill>
        </w:rPr>
        <w:t>。</w:t>
      </w:r>
    </w:p>
    <w:p w14:paraId="273C1159">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2、材料样品 </w:t>
      </w:r>
    </w:p>
    <w:p w14:paraId="120BCA48">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w:t>
      </w:r>
      <w:r>
        <w:rPr>
          <w:rFonts w:asciiTheme="minorEastAsia" w:hAnsiTheme="minorEastAsia" w:eastAsiaTheme="minorEastAsia"/>
          <w:color w:val="000000" w:themeColor="text1"/>
          <w14:textFill>
            <w14:solidFill>
              <w14:schemeClr w14:val="tx1"/>
            </w14:solidFill>
          </w14:textFill>
        </w:rPr>
        <w:t>人应根据发包人提供的已有材料样品、技术要求、施工材料样板，在各阶段施工前报送材料样品，按发包人要求进行封样确认，确保材料效果、性能、参数符合要求，相应材料封样确认后方可进行批量生产、采购及现场实施。</w:t>
      </w:r>
    </w:p>
    <w:p w14:paraId="7881438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、施工样板</w:t>
      </w:r>
    </w:p>
    <w:p w14:paraId="0CC1870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工艺样板：分包人应在施工前按照发包人要求完成工艺样板的制作，应涵盖安装、固定、密封等施工过程质量控制关键环节。分包人应按发包人要求进行集中展示，工艺样板应有施工工艺标准说明、工艺流程说明、工序交接标准说明、关键质量控制要点说明等。工艺样板完成后由分包人组织发包人、承包人、监理人、设计人等相关方进行评审，经评审通过后的工艺样板作为工艺质量控制、劳务分包资格报审的依据。</w:t>
      </w:r>
    </w:p>
    <w:p w14:paraId="2CDD946A">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2）实体样板：</w:t>
      </w:r>
      <w:r>
        <w:rPr>
          <w:rFonts w:hint="eastAsia" w:asciiTheme="minorEastAsia" w:hAnsiTheme="minorEastAsia" w:eastAsiaTheme="minorEastAsia"/>
          <w:color w:val="000000" w:themeColor="text1"/>
          <w14:textFill>
            <w14:solidFill>
              <w14:schemeClr w14:val="tx1"/>
            </w14:solidFill>
          </w14:textFill>
        </w:rPr>
        <w:t>分</w:t>
      </w:r>
      <w:r>
        <w:rPr>
          <w:rFonts w:asciiTheme="minorEastAsia" w:hAnsiTheme="minorEastAsia" w:eastAsiaTheme="minorEastAsia"/>
          <w:color w:val="000000" w:themeColor="text1"/>
          <w14:textFill>
            <w14:solidFill>
              <w14:schemeClr w14:val="tx1"/>
            </w14:solidFill>
          </w14:textFill>
        </w:rPr>
        <w:t>包人应根据发包人要求于工程实际位置实施实体样板，材料及构配件验收合格后进场使用。实体样板完工后</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应进行自检，自检合格后组织发包人、</w:t>
      </w:r>
      <w:r>
        <w:rPr>
          <w:rFonts w:hint="eastAsia" w:asciiTheme="minorEastAsia" w:hAnsiTheme="minorEastAsia" w:eastAsiaTheme="minorEastAsia"/>
          <w:color w:val="000000" w:themeColor="text1"/>
          <w14:textFill>
            <w14:solidFill>
              <w14:schemeClr w14:val="tx1"/>
            </w14:solidFill>
          </w14:textFill>
        </w:rPr>
        <w:t>承包人、</w:t>
      </w:r>
      <w:r>
        <w:rPr>
          <w:rFonts w:asciiTheme="minorEastAsia" w:hAnsiTheme="minorEastAsia" w:eastAsiaTheme="minorEastAsia"/>
          <w:color w:val="000000" w:themeColor="text1"/>
          <w14:textFill>
            <w14:solidFill>
              <w14:schemeClr w14:val="tx1"/>
            </w14:solidFill>
          </w14:textFill>
        </w:rPr>
        <w:t>监理人、设计人等相关方验收，验收合格并形成书面确认文件后，方可进行后续大面积施工。验收合格后的实体样板作为</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技术交底及工艺培训、质量验收的依据。</w:t>
      </w:r>
    </w:p>
    <w:p w14:paraId="18050AF8">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5.2 施工材料样板管理要求</w:t>
      </w:r>
    </w:p>
    <w:p w14:paraId="4E7793BF">
      <w:pPr>
        <w:ind w:firstLine="480" w:firstLineChars="200"/>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（1）在材料样品初步确认后，分包人应依据图纸及技术要求、合同要求，进行施工材料</w:t>
      </w:r>
      <w:r>
        <w:rPr>
          <w:rFonts w:hint="eastAsia" w:asciiTheme="minorEastAsia" w:hAnsiTheme="minorEastAsia" w:eastAsiaTheme="minorEastAsia"/>
        </w:rPr>
        <w:t>样板的制作。</w:t>
      </w:r>
    </w:p>
    <w:p w14:paraId="482585BA">
      <w:pPr>
        <w:ind w:firstLine="480" w:firstLineChars="200"/>
        <w:rPr>
          <w:rFonts w:asciiTheme="minorEastAsia" w:hAnsiTheme="minorEastAsia" w:eastAsiaTheme="minorEastAsia"/>
        </w:rPr>
      </w:pPr>
      <w:r>
        <w:rPr>
          <w:rFonts w:hint="eastAsia" w:asciiTheme="minorEastAsia" w:hAnsiTheme="minorEastAsia" w:eastAsiaTheme="minorEastAsia"/>
        </w:rPr>
        <w:t>（2）分包人进场后提交施工材料样板计划（包含工程实体区域实施部分），有关计划应符合项目整体进度建设计划要求，并经发包人确认。</w:t>
      </w:r>
    </w:p>
    <w:p w14:paraId="4F53B7E5">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5.3 材料样品管理要求</w:t>
      </w:r>
    </w:p>
    <w:p w14:paraId="3181135A">
      <w:pPr>
        <w:ind w:firstLine="480" w:firstLineChars="200"/>
        <w:rPr>
          <w:rFonts w:asciiTheme="minorEastAsia" w:hAnsiTheme="minorEastAsia" w:eastAsiaTheme="minorEastAsia"/>
        </w:rPr>
      </w:pPr>
      <w:r>
        <w:rPr>
          <w:rFonts w:asciiTheme="minorEastAsia" w:hAnsiTheme="minorEastAsia" w:eastAsiaTheme="minorEastAsia"/>
          <w:color w:val="000000" w:themeColor="text1"/>
          <w14:textFill>
            <w14:solidFill>
              <w14:schemeClr w14:val="tx1"/>
            </w14:solidFill>
          </w14:textFill>
        </w:rPr>
        <w:t>（1）材料样品清单</w:t>
      </w:r>
      <w:r>
        <w:rPr>
          <w:rFonts w:asciiTheme="minorEastAsia" w:hAnsiTheme="minorEastAsia" w:eastAsiaTheme="minorEastAsia"/>
        </w:rPr>
        <w:t>按照</w:t>
      </w:r>
      <w:r>
        <w:rPr>
          <w:rFonts w:hint="eastAsia" w:asciiTheme="minorEastAsia" w:hAnsiTheme="minorEastAsia" w:eastAsiaTheme="minorEastAsia"/>
        </w:rPr>
        <w:t>发包人和设计文件</w:t>
      </w:r>
      <w:r>
        <w:rPr>
          <w:rFonts w:asciiTheme="minorEastAsia" w:hAnsiTheme="minorEastAsia" w:eastAsiaTheme="minorEastAsia"/>
        </w:rPr>
        <w:t>相关要求报送，经发包人、监理人、设计人确认后进行送样。</w:t>
      </w:r>
    </w:p>
    <w:p w14:paraId="577217D5">
      <w:pPr>
        <w:ind w:firstLine="480" w:firstLineChars="200"/>
        <w:rPr>
          <w:rFonts w:asciiTheme="minorEastAsia" w:hAnsiTheme="minorEastAsia" w:eastAsiaTheme="minorEastAsia"/>
        </w:rPr>
      </w:pPr>
      <w:r>
        <w:rPr>
          <w:rFonts w:hint="eastAsia" w:asciiTheme="minorEastAsia" w:hAnsiTheme="minorEastAsia" w:eastAsiaTheme="minorEastAsia"/>
        </w:rPr>
        <w:t>（2）分包人按照设计文件要求，提供材料样品完整资料、送审面单供发包人、监理人、承包人审核，送审资料应包括但不限于：</w:t>
      </w:r>
    </w:p>
    <w:p w14:paraId="5D823BB1">
      <w:pPr>
        <w:ind w:firstLine="480" w:firstLineChars="200"/>
        <w:rPr>
          <w:rFonts w:asciiTheme="minorEastAsia" w:hAnsiTheme="minorEastAsia" w:eastAsiaTheme="minorEastAsia"/>
        </w:rPr>
      </w:pPr>
      <w:r>
        <w:rPr>
          <w:rFonts w:hint="eastAsia" w:asciiTheme="minorEastAsia" w:hAnsiTheme="minorEastAsia" w:eastAsiaTheme="minorEastAsia"/>
        </w:rPr>
        <w:t>1）厂家信息（企业基本概况、应用项目案例、近三年营业额等）；</w:t>
      </w:r>
    </w:p>
    <w:p w14:paraId="699C5677">
      <w:pPr>
        <w:ind w:firstLine="480" w:firstLineChars="200"/>
        <w:rPr>
          <w:rFonts w:asciiTheme="minorEastAsia" w:hAnsiTheme="minorEastAsia" w:eastAsiaTheme="minorEastAsia"/>
        </w:rPr>
      </w:pPr>
      <w:r>
        <w:rPr>
          <w:rFonts w:hint="eastAsia" w:asciiTheme="minorEastAsia" w:hAnsiTheme="minorEastAsia" w:eastAsiaTheme="minorEastAsia"/>
        </w:rPr>
        <w:t>2）资质文件（企业营业执照、税务登记证、组织机构代码、ISO体系认证）；</w:t>
      </w:r>
    </w:p>
    <w:p w14:paraId="567D83F0">
      <w:pPr>
        <w:ind w:firstLine="480" w:firstLineChars="200"/>
        <w:rPr>
          <w:rFonts w:asciiTheme="minorEastAsia" w:hAnsiTheme="minorEastAsia" w:eastAsiaTheme="minorEastAsia"/>
        </w:rPr>
      </w:pPr>
      <w:r>
        <w:rPr>
          <w:rFonts w:hint="eastAsia" w:asciiTheme="minorEastAsia" w:hAnsiTheme="minorEastAsia" w:eastAsiaTheme="minorEastAsia"/>
        </w:rPr>
        <w:t>3）工程业绩；</w:t>
      </w:r>
    </w:p>
    <w:p w14:paraId="7388C112">
      <w:pPr>
        <w:ind w:firstLine="480" w:firstLineChars="200"/>
        <w:rPr>
          <w:rFonts w:asciiTheme="minorEastAsia" w:hAnsiTheme="minorEastAsia" w:eastAsiaTheme="minorEastAsia"/>
        </w:rPr>
      </w:pPr>
      <w:r>
        <w:rPr>
          <w:rFonts w:hint="eastAsia" w:asciiTheme="minorEastAsia" w:hAnsiTheme="minorEastAsia" w:eastAsiaTheme="minorEastAsia"/>
        </w:rPr>
        <w:t>4）产品质检报告及证明文件：检验报告、产品技术说明书、合格证明、质量承诺函、保修承诺函等。</w:t>
      </w:r>
    </w:p>
    <w:p w14:paraId="376B32F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（3）分包人在签订合同后7日内，提</w:t>
      </w:r>
      <w:r>
        <w:rPr>
          <w:rFonts w:hint="eastAsia" w:asciiTheme="minorEastAsia" w:hAnsiTheme="minorEastAsia" w:eastAsiaTheme="minorEastAsia"/>
          <w:color w:val="000000" w:themeColor="text1"/>
          <w14:textFill>
            <w14:solidFill>
              <w14:schemeClr w14:val="tx1"/>
            </w14:solidFill>
          </w14:textFill>
        </w:rPr>
        <w:t>交材料样品送审及进场计划，材料样品送样计划、封样确认计划、进场计划，计划需符合工程整体进度要求。清单内应包括材料名称、材料厂家、产地及运输距离、型号规格参数等。</w:t>
      </w:r>
    </w:p>
    <w:p w14:paraId="48C1811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（4）材料样品应附有中文说明标签，标明材料品牌、型号、原产地、材质、表面处理、色号、性能参数、分包人名称、制造商名称、工程名称、将投入使用的系统名称和送样时间等信息。</w:t>
      </w:r>
    </w:p>
    <w:p w14:paraId="2EC33178">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提供的材料样品，经发包人确认后，由发包人、监理人、承包人、设计人等相关方共同封存、书面签认，样品将作为验收的实物标准。</w:t>
      </w:r>
    </w:p>
    <w:p w14:paraId="20128B3B">
      <w:pPr>
        <w:ind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分包人</w:t>
      </w:r>
      <w:r>
        <w:rPr>
          <w:rFonts w:asciiTheme="minorEastAsia" w:hAnsiTheme="minorEastAsia" w:eastAsiaTheme="minorEastAsia"/>
        </w:rPr>
        <w:t>应按计划进行样品报送工作，材料样品送样若超过3次不合格，发包人有权</w:t>
      </w:r>
      <w:r>
        <w:rPr>
          <w:rFonts w:hint="eastAsia" w:asciiTheme="minorEastAsia" w:hAnsiTheme="minorEastAsia" w:eastAsiaTheme="minorEastAsia"/>
        </w:rPr>
        <w:t>要求更换</w:t>
      </w:r>
      <w:r>
        <w:rPr>
          <w:rFonts w:asciiTheme="minorEastAsia" w:hAnsiTheme="minorEastAsia" w:eastAsiaTheme="minorEastAsia"/>
        </w:rPr>
        <w:t>合同品牌库中的其他材料品牌，</w:t>
      </w:r>
      <w:r>
        <w:rPr>
          <w:rFonts w:hint="eastAsia" w:asciiTheme="minorEastAsia" w:hAnsiTheme="minorEastAsia" w:eastAsiaTheme="minorEastAsia"/>
        </w:rPr>
        <w:t>分</w:t>
      </w:r>
      <w:r>
        <w:rPr>
          <w:rFonts w:asciiTheme="minorEastAsia" w:hAnsiTheme="minorEastAsia" w:eastAsiaTheme="minorEastAsia"/>
        </w:rPr>
        <w:t>包人不得提出异议、增加费用和对工期进行索赔。</w:t>
      </w:r>
    </w:p>
    <w:p w14:paraId="2C8E6CA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（7）所有材料样品应按照发包人审定的计划完成初</w:t>
      </w:r>
      <w:r>
        <w:rPr>
          <w:rFonts w:hint="eastAsia" w:asciiTheme="minorEastAsia" w:hAnsiTheme="minorEastAsia" w:eastAsiaTheme="minorEastAsia"/>
          <w:color w:val="000000" w:themeColor="text1"/>
          <w14:textFill>
            <w14:solidFill>
              <w14:schemeClr w14:val="tx1"/>
            </w14:solidFill>
          </w14:textFill>
        </w:rPr>
        <w:t>步确认，以确保后续施工材料样板制作不受影响。</w:t>
      </w:r>
    </w:p>
    <w:p w14:paraId="1542174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（8）如封样清单中未列出而发包人、设计人认为有必要封样的材料，有权要求分包人提供样品封样确认。</w:t>
      </w:r>
    </w:p>
    <w:p w14:paraId="0EB73993">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5.4施工样板管理要求</w:t>
      </w:r>
    </w:p>
    <w:p w14:paraId="187B8D3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1、施工样板总体要求</w:t>
      </w:r>
    </w:p>
    <w:p w14:paraId="29F9512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（1）分包人应针对质量过程控制关键环节组织工艺样板实施，包括不限于埋件、支座、立柱、横梁、面板、背板、开启扇、防水节点、打胶等；</w:t>
      </w:r>
    </w:p>
    <w:p w14:paraId="075788A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分包人应于大面积施工开始前完成实体样板施工，并按要求完成样板评审、整改、实施交底、展示等工作。</w:t>
      </w:r>
    </w:p>
    <w:p w14:paraId="720281F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（2）施工样板相关材料进场、施工安装严格按照工程管理要求、规范及设计要求进行；</w:t>
      </w:r>
    </w:p>
    <w:p w14:paraId="3E55158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（3）施工样板实施前报送样板实施计划，样板实施须以不影响项目整体进度为前提。</w:t>
      </w:r>
    </w:p>
    <w:p w14:paraId="6B8180E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（4）分包人应至少在大面积施工前1个月拟定的施工样板范围并报发包人、承包人、监理人及设计单位审核，按要求的幕墙系统范围实施实体样板。</w:t>
      </w:r>
      <w:r>
        <w:rPr>
          <w:rFonts w:asciiTheme="minorEastAsia" w:hAnsiTheme="minorEastAsia" w:eastAsiaTheme="minorEastAsia"/>
          <w:color w:val="000000" w:themeColor="text1"/>
          <w14:textFill>
            <w14:solidFill>
              <w14:schemeClr w14:val="tx1"/>
            </w14:solidFill>
          </w14:textFill>
        </w:rPr>
        <w:t xml:space="preserve"> </w:t>
      </w:r>
    </w:p>
    <w:p w14:paraId="7816CDF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2、施工样板策划</w:t>
      </w:r>
    </w:p>
    <w:p w14:paraId="2FDDDA9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分包人应按发包人的要求的计划、区域实施施工样板，在材料样品、深化设计确认后15日内完成施工样板策划。施工样板策划包括但不限于下述要求：</w:t>
      </w:r>
    </w:p>
    <w:p w14:paraId="4C67A11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（1）明确施工样板的目标。通过施工样板来确认项目的质量标准、工艺要求、技术和立面效果落地性等；</w:t>
      </w:r>
    </w:p>
    <w:p w14:paraId="71328F1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（2）施工样板场地、施工组织、工艺展示策划；</w:t>
      </w:r>
    </w:p>
    <w:p w14:paraId="015739A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（3）样板质量控制，结合工程整体质量管控策略，梳理幕墙质量保障措施、确定质量管流程和验收标准、梳理质量通病的防控措施；</w:t>
      </w:r>
    </w:p>
    <w:p w14:paraId="3AF5076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（4）样板进度计划，结合项目整体计划制定施工样板实施计划，列明影响工期计划的关键点、相关前置条件等， </w:t>
      </w:r>
    </w:p>
    <w:p w14:paraId="4D6CC24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（5）样板施工方案，包括加工方案、平面布置、测量方案、吊装方案、安装方案、工序验收方案等内容。</w:t>
      </w:r>
    </w:p>
    <w:p w14:paraId="7CF2B92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（6）施工样板评审策划，编制样板评审要点，包括不限于外观效果、深化设计实施评价、细部构造工艺、材料质量、收边收口、泛光预留等。</w:t>
      </w:r>
    </w:p>
    <w:p w14:paraId="19F0D99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2、施工样板实施及管理要求</w:t>
      </w:r>
    </w:p>
    <w:p w14:paraId="35EE406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严格按照施工样板策划，按要求对实施的劳务分包进行资格报审，有序实施施工样板。施工样板取得发包人、监理人、承包人、设计人等评审通过后方可大面积施工，否则由此引发的损失由分包人承担，并不得进行任何赔偿申请。</w:t>
      </w:r>
    </w:p>
    <w:p w14:paraId="65E9EF9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（2）样板进度计划应充分考虑样板不通过导致的样板费用增加和工期延误风险，分包人不得以此为由对增加费用和工期进行索赔。</w:t>
      </w:r>
    </w:p>
    <w:p w14:paraId="69CFE22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（3）样板施工质量应体现分包人施工技术水平，经评审通过后的样板，其实际实施的劳务分包人员应为后续大面积施工的固定施工人员，原则上不得随意更换。</w:t>
      </w:r>
    </w:p>
    <w:p w14:paraId="65F9610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施工样板区域应设置可视化标牌，包括不限于节点详图、工艺工法、实测数据、安装步骤图片、关键质量控制要点、后续施工注意事项等；样板实施区域应满足后续交底场地条件；对劳务分包人员进行的工艺样板培训及交底须形成书面记录文件。</w:t>
      </w:r>
    </w:p>
    <w:p w14:paraId="616D4ED1">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（5）施工样板实施过程中应做好安全防范措施，确保样板实施过程安全可控。</w:t>
      </w:r>
    </w:p>
    <w:p w14:paraId="5194A28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施工样板完成并由分包人自检合格后，报监理人、承包人、发包人验收；整改、评审完成，验收合格后保留样板，并做标识；施工样板若不能一次通过评审，须无条件整改至评审通过为止；若大面施工工艺质量和外观效果达不到样板要求，分包人必须无条件整改，直到达到施工样板要求。</w:t>
      </w:r>
    </w:p>
    <w:p w14:paraId="235D91F0">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5.5样板评审及展示要求</w:t>
      </w:r>
    </w:p>
    <w:p w14:paraId="127ADDE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1、分包人应与发包人、监理人、承包人、设计人共同制定样板评审验收要点。评审验收要点应包括材料质量、工艺要求、安装精度等方面的内容。</w:t>
      </w:r>
    </w:p>
    <w:p w14:paraId="2F44B23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2、在样板制作完成后，分包人应组织相关人员按照评审验收要点进行评审、验收。样板评审验收要点用于指导工程质量验收标准的制定。</w:t>
      </w:r>
    </w:p>
    <w:p w14:paraId="26FBDEC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确认的材料样品根据承包人、发包人实际要求制作成展板，展板一式三份，发包人、监理人、承包人各自留存，作为材料进场、后续施工验收依据；展板要求尺寸为800*600或1000*800底色为黑色或白色，白色说明标签，其它辅材样板规格自定义排列；各种材料资料说明书及彩色图片需另行装订成册一同提交。</w:t>
      </w:r>
    </w:p>
    <w:p w14:paraId="6FF99083">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（六）BIM管理要求</w:t>
      </w:r>
    </w:p>
    <w:p w14:paraId="023873B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分包人在发包人</w:t>
      </w:r>
      <w:r>
        <w:rPr>
          <w:rFonts w:asciiTheme="minorEastAsia" w:hAnsiTheme="minorEastAsia" w:eastAsiaTheme="minorEastAsia"/>
          <w:color w:val="000000" w:themeColor="text1"/>
          <w14:textFill>
            <w14:solidFill>
              <w14:schemeClr w14:val="tx1"/>
            </w14:solidFill>
          </w14:textFill>
        </w:rPr>
        <w:t>的</w:t>
      </w:r>
      <w:r>
        <w:rPr>
          <w:rFonts w:hint="eastAsia" w:asciiTheme="minorEastAsia" w:hAnsiTheme="minorEastAsia" w:eastAsiaTheme="minorEastAsia"/>
          <w:color w:val="000000" w:themeColor="text1"/>
          <w14:textFill>
            <w14:solidFill>
              <w14:schemeClr w14:val="tx1"/>
            </w14:solidFill>
          </w14:textFill>
        </w:rPr>
        <w:t>督导下</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依照国家、广东省B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相关标准体系</w:t>
      </w:r>
      <w:r>
        <w:rPr>
          <w:rFonts w:asciiTheme="minorEastAsia" w:hAnsiTheme="minorEastAsia" w:eastAsiaTheme="minorEastAsia"/>
          <w:color w:val="000000" w:themeColor="text1"/>
          <w14:textFill>
            <w14:solidFill>
              <w14:schemeClr w14:val="tx1"/>
            </w14:solidFill>
          </w14:textFill>
        </w:rPr>
        <w:t>的</w:t>
      </w:r>
      <w:r>
        <w:rPr>
          <w:rFonts w:hint="eastAsia" w:asciiTheme="minorEastAsia" w:hAnsiTheme="minorEastAsia" w:eastAsiaTheme="minorEastAsia"/>
          <w:color w:val="000000" w:themeColor="text1"/>
          <w14:textFill>
            <w14:solidFill>
              <w14:schemeClr w14:val="tx1"/>
            </w14:solidFill>
          </w14:textFill>
        </w:rPr>
        <w:t>要求</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使用BIM（Building Information Modeling）技术辅助幕墙工程施工，基于建筑、结构、机电、精装等相关专业BIM模型建立幕墙工程BIM模型，执行项目施工阶段幕墙工程所有BIM相关工作和职责。</w:t>
      </w:r>
    </w:p>
    <w:p w14:paraId="67EF37DF">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具体包括：包括但不限于玻璃幕墙系统、</w:t>
      </w:r>
      <w:r>
        <w:rPr>
          <w:rFonts w:asciiTheme="minorEastAsia" w:hAnsiTheme="minorEastAsia" w:eastAsiaTheme="minorEastAsia"/>
          <w:color w:val="000000" w:themeColor="text1"/>
          <w14:textFill>
            <w14:solidFill>
              <w14:schemeClr w14:val="tx1"/>
            </w14:solidFill>
          </w14:textFill>
        </w:rPr>
        <w:t>金属幕墙</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连接节点</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支撑结构</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转接件</w:t>
      </w:r>
      <w:r>
        <w:rPr>
          <w:rFonts w:hint="eastAsia" w:asciiTheme="minorEastAsia" w:hAnsiTheme="minorEastAsia" w:eastAsiaTheme="minorEastAsia"/>
          <w:color w:val="000000" w:themeColor="text1"/>
          <w14:textFill>
            <w14:solidFill>
              <w14:schemeClr w14:val="tx1"/>
            </w14:solidFill>
          </w14:textFill>
        </w:rPr>
        <w:t>等所有构件、幕墙排水天沟、</w:t>
      </w:r>
      <w:r>
        <w:rPr>
          <w:rFonts w:asciiTheme="minorEastAsia" w:hAnsiTheme="minorEastAsia" w:eastAsiaTheme="minorEastAsia"/>
          <w:color w:val="000000" w:themeColor="text1"/>
          <w14:textFill>
            <w14:solidFill>
              <w14:schemeClr w14:val="tx1"/>
            </w14:solidFill>
          </w14:textFill>
        </w:rPr>
        <w:t>主体结构的</w:t>
      </w:r>
      <w:r>
        <w:rPr>
          <w:rFonts w:hint="eastAsia" w:asciiTheme="minorEastAsia" w:hAnsiTheme="minorEastAsia" w:eastAsiaTheme="minorEastAsia"/>
          <w:color w:val="000000" w:themeColor="text1"/>
          <w14:textFill>
            <w14:solidFill>
              <w14:schemeClr w14:val="tx1"/>
            </w14:solidFill>
          </w14:textFill>
        </w:rPr>
        <w:t>连接方式、与其他专业的空间关系（含平衡易推门、开启扇、百叶等），以及幕墙预埋件等设备设施和管线的施工阶段B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应用（施工深化、更新施工模型，进行各种专项模拟分析等），保证</w:t>
      </w:r>
      <w:r>
        <w:rPr>
          <w:rFonts w:asciiTheme="minorEastAsia" w:hAnsiTheme="minorEastAsia" w:eastAsiaTheme="minorEastAsia"/>
          <w:color w:val="000000" w:themeColor="text1"/>
          <w14:textFill>
            <w14:solidFill>
              <w14:schemeClr w14:val="tx1"/>
            </w14:solidFill>
          </w14:textFill>
        </w:rPr>
        <w:t>项目施工</w:t>
      </w:r>
      <w:r>
        <w:rPr>
          <w:rFonts w:hint="eastAsia" w:asciiTheme="minorEastAsia" w:hAnsiTheme="minorEastAsia" w:eastAsiaTheme="minorEastAsia"/>
          <w:color w:val="000000" w:themeColor="text1"/>
          <w14:textFill>
            <w14:solidFill>
              <w14:schemeClr w14:val="tx1"/>
            </w14:solidFill>
          </w14:textFill>
        </w:rPr>
        <w:t>阶段</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工作</w:t>
      </w:r>
      <w:r>
        <w:rPr>
          <w:rFonts w:asciiTheme="minorEastAsia" w:hAnsiTheme="minorEastAsia" w:eastAsiaTheme="minorEastAsia"/>
          <w:color w:val="000000" w:themeColor="text1"/>
          <w14:textFill>
            <w14:solidFill>
              <w14:schemeClr w14:val="tx1"/>
            </w14:solidFill>
          </w14:textFill>
        </w:rPr>
        <w:t>顺利进行</w:t>
      </w:r>
      <w:r>
        <w:rPr>
          <w:rFonts w:hint="eastAsia" w:asciiTheme="minorEastAsia" w:hAnsiTheme="minorEastAsia" w:eastAsiaTheme="minorEastAsia"/>
          <w:color w:val="000000" w:themeColor="text1"/>
          <w14:textFill>
            <w14:solidFill>
              <w14:schemeClr w14:val="tx1"/>
            </w14:solidFill>
          </w14:textFill>
        </w:rPr>
        <w:t>和成果符合要求；使用发包人指定的项目管理平台进行项目BIM工作的管理、项目BIM模型及相关数据的上传更新与应用；</w:t>
      </w:r>
      <w:r>
        <w:rPr>
          <w:rFonts w:asciiTheme="minorEastAsia" w:hAnsiTheme="minorEastAsia" w:eastAsiaTheme="minorEastAsia"/>
          <w:color w:val="000000" w:themeColor="text1"/>
          <w14:textFill>
            <w14:solidFill>
              <w14:schemeClr w14:val="tx1"/>
            </w14:solidFill>
          </w14:textFill>
        </w:rPr>
        <w:t>基于</w:t>
      </w:r>
      <w:r>
        <w:rPr>
          <w:rFonts w:hint="eastAsia" w:asciiTheme="minorEastAsia" w:hAnsiTheme="minorEastAsia" w:eastAsiaTheme="minorEastAsia"/>
          <w:color w:val="000000" w:themeColor="text1"/>
          <w14:textFill>
            <w14:solidFill>
              <w14:schemeClr w14:val="tx1"/>
            </w14:solidFill>
          </w14:textFill>
        </w:rPr>
        <w:t>运维阶段BIM需求，提供竣工模型等，</w:t>
      </w:r>
      <w:r>
        <w:rPr>
          <w:rFonts w:asciiTheme="minorEastAsia" w:hAnsiTheme="minorEastAsia" w:eastAsiaTheme="minorEastAsia"/>
          <w:color w:val="000000" w:themeColor="text1"/>
          <w14:textFill>
            <w14:solidFill>
              <w14:schemeClr w14:val="tx1"/>
            </w14:solidFill>
          </w14:textFill>
        </w:rPr>
        <w:t>为项目BIM</w:t>
      </w:r>
      <w:r>
        <w:rPr>
          <w:rFonts w:hint="eastAsia" w:asciiTheme="minorEastAsia" w:hAnsiTheme="minorEastAsia" w:eastAsiaTheme="minorEastAsia"/>
          <w:color w:val="000000" w:themeColor="text1"/>
          <w14:textFill>
            <w14:solidFill>
              <w14:schemeClr w14:val="tx1"/>
            </w14:solidFill>
          </w14:textFill>
        </w:rPr>
        <w:t>运维阶段实施</w:t>
      </w:r>
      <w:r>
        <w:rPr>
          <w:rFonts w:asciiTheme="minorEastAsia" w:hAnsiTheme="minorEastAsia" w:eastAsiaTheme="minorEastAsia"/>
          <w:color w:val="000000" w:themeColor="text1"/>
          <w14:textFill>
            <w14:solidFill>
              <w14:schemeClr w14:val="tx1"/>
            </w14:solidFill>
          </w14:textFill>
        </w:rPr>
        <w:t>奠定基础。</w:t>
      </w:r>
    </w:p>
    <w:p w14:paraId="60904752">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6.1B</w:t>
      </w:r>
      <w:r>
        <w:rPr>
          <w:color w:val="000000" w:themeColor="text1"/>
          <w:sz w:val="24"/>
          <w:szCs w:val="21"/>
          <w14:textFill>
            <w14:solidFill>
              <w14:schemeClr w14:val="tx1"/>
            </w14:solidFill>
          </w14:textFill>
        </w:rPr>
        <w:t>IM</w:t>
      </w:r>
      <w:r>
        <w:rPr>
          <w:rFonts w:hint="eastAsia"/>
          <w:color w:val="000000" w:themeColor="text1"/>
          <w:sz w:val="24"/>
          <w:szCs w:val="21"/>
          <w14:textFill>
            <w14:solidFill>
              <w14:schemeClr w14:val="tx1"/>
            </w14:solidFill>
          </w14:textFill>
        </w:rPr>
        <w:t>成果质量和深度要求</w:t>
      </w:r>
    </w:p>
    <w:p w14:paraId="7EC9BA3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施工阶段项目BIM成果必须满足LOD500的要求，所有BIM成果要经发包人的审核确认，如有问题须无条件修改至满足要求为止，并经发包人的审核确认后上传至发包人指定的项目管理平台归档。</w:t>
      </w:r>
    </w:p>
    <w:p w14:paraId="52BED783">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6.2BIM</w:t>
      </w:r>
      <w:r>
        <w:rPr>
          <w:color w:val="000000" w:themeColor="text1"/>
          <w:sz w:val="24"/>
          <w:szCs w:val="21"/>
          <w14:textFill>
            <w14:solidFill>
              <w14:schemeClr w14:val="tx1"/>
            </w14:solidFill>
          </w14:textFill>
        </w:rPr>
        <w:t>成果要求</w:t>
      </w:r>
    </w:p>
    <w:p w14:paraId="3B3AC6E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专业承包人等所有本项目参建方必须按照本招标文件、国家及广东省BIM相关标准体系的要求提交成果文件。包含但不限于深化设计模型、施工B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模型、BIM竣工模型（RVT格式，模型精度达到LOD500）、碰撞检查报告、优化报告、工程量清单等。所有BIM成果电子文件必须上传至发包人BIM协同管理平台归档。</w:t>
      </w:r>
      <w:r>
        <w:rPr>
          <w:rFonts w:asciiTheme="minorEastAsia" w:hAnsiTheme="minorEastAsia" w:eastAsiaTheme="minorEastAsia"/>
          <w:color w:val="000000" w:themeColor="text1"/>
          <w14:textFill>
            <w14:solidFill>
              <w14:schemeClr w14:val="tx1"/>
            </w14:solidFill>
          </w14:textFill>
        </w:rPr>
        <w:br w:type="textWrapping"/>
      </w:r>
      <w:r>
        <w:rPr>
          <w:rFonts w:hint="eastAsia" w:asciiTheme="minorEastAsia" w:hAnsiTheme="minorEastAsia" w:eastAsiaTheme="minorEastAsia"/>
          <w:color w:val="000000" w:themeColor="text1"/>
          <w14:textFill>
            <w14:solidFill>
              <w14:schemeClr w14:val="tx1"/>
            </w14:solidFill>
          </w14:textFill>
        </w:rPr>
        <w:t xml:space="preserve">    成果</w:t>
      </w:r>
      <w:r>
        <w:rPr>
          <w:rFonts w:asciiTheme="minorEastAsia" w:hAnsiTheme="minorEastAsia" w:eastAsiaTheme="minorEastAsia"/>
          <w:color w:val="000000" w:themeColor="text1"/>
          <w14:textFill>
            <w14:solidFill>
              <w14:schemeClr w14:val="tx1"/>
            </w14:solidFill>
          </w14:textFill>
        </w:rPr>
        <w:t>提交</w:t>
      </w:r>
      <w:r>
        <w:rPr>
          <w:rFonts w:hint="eastAsia" w:asciiTheme="minorEastAsia" w:hAnsiTheme="minorEastAsia" w:eastAsiaTheme="minorEastAsia"/>
          <w:color w:val="000000" w:themeColor="text1"/>
          <w14:textFill>
            <w14:solidFill>
              <w14:schemeClr w14:val="tx1"/>
            </w14:solidFill>
          </w14:textFill>
        </w:rPr>
        <w:t>的</w:t>
      </w:r>
      <w:r>
        <w:rPr>
          <w:rFonts w:asciiTheme="minorEastAsia" w:hAnsiTheme="minorEastAsia" w:eastAsiaTheme="minorEastAsia"/>
          <w:color w:val="000000" w:themeColor="text1"/>
          <w14:textFill>
            <w14:solidFill>
              <w14:schemeClr w14:val="tx1"/>
            </w14:solidFill>
          </w14:textFill>
        </w:rPr>
        <w:t>同时，需</w:t>
      </w:r>
      <w:r>
        <w:rPr>
          <w:rFonts w:hint="eastAsia" w:asciiTheme="minorEastAsia" w:hAnsiTheme="minorEastAsia" w:eastAsiaTheme="minorEastAsia"/>
          <w:color w:val="000000" w:themeColor="text1"/>
          <w14:textFill>
            <w14:solidFill>
              <w14:schemeClr w14:val="tx1"/>
            </w14:solidFill>
          </w14:textFill>
        </w:rPr>
        <w:t>出具包含BIM成果清单、归档说明、</w:t>
      </w:r>
      <w:r>
        <w:rPr>
          <w:rFonts w:asciiTheme="minorEastAsia" w:hAnsiTheme="minorEastAsia" w:eastAsiaTheme="minorEastAsia"/>
          <w:color w:val="000000" w:themeColor="text1"/>
          <w14:textFill>
            <w14:solidFill>
              <w14:schemeClr w14:val="tx1"/>
            </w14:solidFill>
          </w14:textFill>
        </w:rPr>
        <w:t>文件资料</w:t>
      </w:r>
      <w:r>
        <w:rPr>
          <w:rFonts w:hint="eastAsia" w:asciiTheme="minorEastAsia" w:hAnsiTheme="minorEastAsia" w:eastAsiaTheme="minorEastAsia"/>
          <w:color w:val="000000" w:themeColor="text1"/>
          <w14:textFill>
            <w14:solidFill>
              <w14:schemeClr w14:val="tx1"/>
            </w14:solidFill>
          </w14:textFill>
        </w:rPr>
        <w:t>、分析报告等</w:t>
      </w:r>
      <w:r>
        <w:rPr>
          <w:rFonts w:asciiTheme="minorEastAsia" w:hAnsiTheme="minorEastAsia" w:eastAsiaTheme="minorEastAsia"/>
          <w:color w:val="000000" w:themeColor="text1"/>
          <w14:textFill>
            <w14:solidFill>
              <w14:schemeClr w14:val="tx1"/>
            </w14:solidFill>
          </w14:textFill>
        </w:rPr>
        <w:t>组成</w:t>
      </w:r>
      <w:r>
        <w:rPr>
          <w:rFonts w:hint="eastAsia" w:asciiTheme="minorEastAsia" w:hAnsiTheme="minorEastAsia" w:eastAsiaTheme="minorEastAsia"/>
          <w:color w:val="000000" w:themeColor="text1"/>
          <w14:textFill>
            <w14:solidFill>
              <w14:schemeClr w14:val="tx1"/>
            </w14:solidFill>
          </w14:textFill>
        </w:rPr>
        <w:t>的完整成果文件。</w:t>
      </w:r>
    </w:p>
    <w:p w14:paraId="02EDC721">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6.3其他</w:t>
      </w:r>
    </w:p>
    <w:p w14:paraId="5469FD7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本项目所有参建方的所有BIM成果的产权属于发包人所有，发包人有权力将施工阶段的BIM成果交与其他方完成其他相应工作，以便本项目的顺利实施。</w:t>
      </w:r>
      <w:r>
        <w:rPr>
          <w:rFonts w:asciiTheme="minorEastAsia" w:hAnsiTheme="minorEastAsia" w:eastAsiaTheme="minorEastAsia"/>
          <w:color w:val="000000" w:themeColor="text1"/>
          <w14:textFill>
            <w14:solidFill>
              <w14:schemeClr w14:val="tx1"/>
            </w14:solidFill>
          </w14:textFill>
        </w:rPr>
        <w:t>专业承包人在</w:t>
      </w:r>
      <w:r>
        <w:rPr>
          <w:rFonts w:hint="eastAsia" w:asciiTheme="minorEastAsia" w:hAnsiTheme="minorEastAsia" w:eastAsiaTheme="minorEastAsia"/>
          <w:color w:val="000000" w:themeColor="text1"/>
          <w14:textFill>
            <w14:solidFill>
              <w14:schemeClr w14:val="tx1"/>
            </w14:solidFill>
          </w14:textFill>
        </w:rPr>
        <w:t>转发B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成果</w:t>
      </w:r>
      <w:r>
        <w:rPr>
          <w:rFonts w:asciiTheme="minorEastAsia" w:hAnsiTheme="minorEastAsia" w:eastAsiaTheme="minorEastAsia"/>
          <w:color w:val="000000" w:themeColor="text1"/>
          <w14:textFill>
            <w14:solidFill>
              <w14:schemeClr w14:val="tx1"/>
            </w14:solidFill>
          </w14:textFill>
        </w:rPr>
        <w:t>之前，应确保得到</w:t>
      </w:r>
      <w:r>
        <w:rPr>
          <w:rFonts w:hint="eastAsia" w:asciiTheme="minorEastAsia" w:hAnsiTheme="minorEastAsia" w:eastAsiaTheme="minorEastAsia"/>
          <w:color w:val="000000" w:themeColor="text1"/>
          <w14:textFill>
            <w14:solidFill>
              <w14:schemeClr w14:val="tx1"/>
            </w14:solidFill>
          </w14:textFill>
        </w:rPr>
        <w:t>发包人</w:t>
      </w:r>
      <w:r>
        <w:rPr>
          <w:rFonts w:asciiTheme="minorEastAsia" w:hAnsiTheme="minorEastAsia" w:eastAsiaTheme="minorEastAsia"/>
          <w:color w:val="000000" w:themeColor="text1"/>
          <w14:textFill>
            <w14:solidFill>
              <w14:schemeClr w14:val="tx1"/>
            </w14:solidFill>
          </w14:textFill>
        </w:rPr>
        <w:t>的书面同意和授权，并做好相关的数据传递/交接纪录</w:t>
      </w:r>
      <w:r>
        <w:rPr>
          <w:rFonts w:hint="eastAsia" w:asciiTheme="minorEastAsia" w:hAnsiTheme="minorEastAsia" w:eastAsiaTheme="minorEastAsia"/>
          <w:color w:val="000000" w:themeColor="text1"/>
          <w14:textFill>
            <w14:solidFill>
              <w14:schemeClr w14:val="tx1"/>
            </w14:solidFill>
          </w14:textFill>
        </w:rPr>
        <w:t>。</w:t>
      </w:r>
    </w:p>
    <w:p w14:paraId="3AE2C62C">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6.4 </w:t>
      </w:r>
      <w:r>
        <w:rPr>
          <w:color w:val="000000" w:themeColor="text1"/>
          <w:sz w:val="24"/>
          <w:szCs w:val="21"/>
          <w14:textFill>
            <w14:solidFill>
              <w14:schemeClr w14:val="tx1"/>
            </w14:solidFill>
          </w14:textFill>
        </w:rPr>
        <w:t>BIM</w:t>
      </w:r>
      <w:r>
        <w:rPr>
          <w:rFonts w:hint="eastAsia"/>
          <w:color w:val="000000" w:themeColor="text1"/>
          <w:sz w:val="24"/>
          <w:szCs w:val="21"/>
          <w14:textFill>
            <w14:solidFill>
              <w14:schemeClr w14:val="tx1"/>
            </w14:solidFill>
          </w14:textFill>
        </w:rPr>
        <w:t>分包人工作要求</w:t>
      </w:r>
    </w:p>
    <w:p w14:paraId="4D800AA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对分包人的</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工作</w:t>
      </w:r>
      <w:r>
        <w:rPr>
          <w:rFonts w:asciiTheme="minorEastAsia" w:hAnsiTheme="minorEastAsia" w:eastAsiaTheme="minorEastAsia"/>
          <w:color w:val="000000" w:themeColor="text1"/>
          <w14:textFill>
            <w14:solidFill>
              <w14:schemeClr w14:val="tx1"/>
            </w14:solidFill>
          </w14:textFill>
        </w:rPr>
        <w:t>要求包</w:t>
      </w:r>
      <w:r>
        <w:rPr>
          <w:rFonts w:hint="eastAsia" w:asciiTheme="minorEastAsia" w:hAnsiTheme="minorEastAsia" w:eastAsiaTheme="minorEastAsia"/>
          <w:color w:val="000000" w:themeColor="text1"/>
          <w14:textFill>
            <w14:solidFill>
              <w14:schemeClr w14:val="tx1"/>
            </w14:solidFill>
          </w14:textFill>
        </w:rPr>
        <w:t>括但不止于</w:t>
      </w:r>
      <w:r>
        <w:rPr>
          <w:rFonts w:asciiTheme="minorEastAsia" w:hAnsiTheme="minorEastAsia" w:eastAsiaTheme="minorEastAsia"/>
          <w:color w:val="000000" w:themeColor="text1"/>
          <w14:textFill>
            <w14:solidFill>
              <w14:schemeClr w14:val="tx1"/>
            </w14:solidFill>
          </w14:textFill>
        </w:rPr>
        <w:t>以下</w:t>
      </w:r>
      <w:r>
        <w:rPr>
          <w:rFonts w:hint="eastAsia" w:asciiTheme="minorEastAsia" w:hAnsiTheme="minorEastAsia" w:eastAsiaTheme="minorEastAsia"/>
          <w:color w:val="000000" w:themeColor="text1"/>
          <w14:textFill>
            <w14:solidFill>
              <w14:schemeClr w14:val="tx1"/>
            </w14:solidFill>
          </w14:textFill>
        </w:rPr>
        <w:t>方面</w:t>
      </w:r>
      <w:r>
        <w:rPr>
          <w:rFonts w:asciiTheme="minorEastAsia" w:hAnsiTheme="minorEastAsia" w:eastAsiaTheme="minorEastAsia"/>
          <w:color w:val="000000" w:themeColor="text1"/>
          <w14:textFill>
            <w14:solidFill>
              <w14:schemeClr w14:val="tx1"/>
            </w14:solidFill>
          </w14:textFill>
        </w:rPr>
        <w:t>：</w:t>
      </w:r>
    </w:p>
    <w:p w14:paraId="5118760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应负责在服务期内对</w:t>
      </w:r>
      <w:r>
        <w:rPr>
          <w:rFonts w:hint="eastAsia" w:asciiTheme="minorEastAsia" w:hAnsiTheme="minorEastAsia" w:eastAsiaTheme="minorEastAsia"/>
          <w:color w:val="000000" w:themeColor="text1"/>
          <w14:textFill>
            <w14:solidFill>
              <w14:schemeClr w14:val="tx1"/>
            </w14:solidFill>
          </w14:textFill>
        </w:rPr>
        <w:t>招标范围的工程</w:t>
      </w:r>
      <w:r>
        <w:rPr>
          <w:rFonts w:asciiTheme="minorEastAsia" w:hAnsiTheme="minorEastAsia" w:eastAsiaTheme="minorEastAsia"/>
          <w:color w:val="000000" w:themeColor="text1"/>
          <w14:textFill>
            <w14:solidFill>
              <w14:schemeClr w14:val="tx1"/>
            </w14:solidFill>
          </w14:textFill>
        </w:rPr>
        <w:t>提供BIM模型,进行动态深化、更新和维护，并</w:t>
      </w:r>
      <w:r>
        <w:rPr>
          <w:rFonts w:hint="eastAsia" w:asciiTheme="minorEastAsia" w:hAnsiTheme="minorEastAsia" w:eastAsiaTheme="minorEastAsia"/>
          <w:color w:val="000000" w:themeColor="text1"/>
          <w14:textFill>
            <w14:solidFill>
              <w14:schemeClr w14:val="tx1"/>
            </w14:solidFill>
          </w14:textFill>
        </w:rPr>
        <w:t>配合总包及</w:t>
      </w:r>
      <w:r>
        <w:rPr>
          <w:rFonts w:asciiTheme="minorEastAsia" w:hAnsiTheme="minorEastAsia" w:eastAsiaTheme="minorEastAsia"/>
          <w:color w:val="000000" w:themeColor="text1"/>
          <w14:textFill>
            <w14:solidFill>
              <w14:schemeClr w14:val="tx1"/>
            </w14:solidFill>
          </w14:textFill>
        </w:rPr>
        <w:t>其他专业分包人的BIM工作，BIM模型必须包括幕墙工程设计</w:t>
      </w:r>
      <w:r>
        <w:rPr>
          <w:rFonts w:hint="eastAsia" w:asciiTheme="minorEastAsia" w:hAnsiTheme="minorEastAsia" w:eastAsiaTheme="minorEastAsia"/>
          <w:color w:val="000000" w:themeColor="text1"/>
          <w14:textFill>
            <w14:solidFill>
              <w14:schemeClr w14:val="tx1"/>
            </w14:solidFill>
          </w14:textFill>
        </w:rPr>
        <w:t>深化</w:t>
      </w:r>
      <w:r>
        <w:rPr>
          <w:rFonts w:asciiTheme="minorEastAsia" w:hAnsiTheme="minorEastAsia" w:eastAsiaTheme="minorEastAsia"/>
          <w:color w:val="000000" w:themeColor="text1"/>
          <w14:textFill>
            <w14:solidFill>
              <w14:schemeClr w14:val="tx1"/>
            </w14:solidFill>
          </w14:textFill>
        </w:rPr>
        <w:t>模型</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埋件</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转接件</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支撑结构和相邻的主体结构边梁板</w:t>
      </w:r>
      <w:r>
        <w:rPr>
          <w:rFonts w:hint="eastAsia" w:asciiTheme="minorEastAsia" w:hAnsiTheme="minorEastAsia" w:eastAsiaTheme="minorEastAsia"/>
          <w:color w:val="000000" w:themeColor="text1"/>
          <w14:textFill>
            <w14:solidFill>
              <w14:schemeClr w14:val="tx1"/>
            </w14:solidFill>
          </w14:textFill>
        </w:rPr>
        <w:t>等</w:t>
      </w:r>
      <w:r>
        <w:rPr>
          <w:rFonts w:asciiTheme="minorEastAsia" w:hAnsiTheme="minorEastAsia" w:eastAsiaTheme="minorEastAsia"/>
          <w:color w:val="000000" w:themeColor="text1"/>
          <w14:textFill>
            <w14:solidFill>
              <w14:schemeClr w14:val="tx1"/>
            </w14:solidFill>
          </w14:textFill>
        </w:rPr>
        <w:t>。按工作范围提交施工各阶段BIM成果，由</w:t>
      </w:r>
      <w:r>
        <w:rPr>
          <w:rFonts w:hint="eastAsia" w:asciiTheme="minorEastAsia" w:hAnsiTheme="minorEastAsia" w:eastAsiaTheme="minorEastAsia"/>
          <w:color w:val="000000" w:themeColor="text1"/>
          <w14:textFill>
            <w14:solidFill>
              <w14:schemeClr w14:val="tx1"/>
            </w14:solidFill>
          </w14:textFill>
        </w:rPr>
        <w:t>发包人、承包人</w:t>
      </w:r>
      <w:r>
        <w:rPr>
          <w:rFonts w:asciiTheme="minorEastAsia" w:hAnsiTheme="minorEastAsia" w:eastAsiaTheme="minorEastAsia"/>
          <w:color w:val="000000" w:themeColor="text1"/>
          <w14:textFill>
            <w14:solidFill>
              <w14:schemeClr w14:val="tx1"/>
            </w14:solidFill>
          </w14:textFill>
        </w:rPr>
        <w:t>审核</w:t>
      </w:r>
      <w:r>
        <w:rPr>
          <w:rFonts w:hint="eastAsia" w:asciiTheme="minorEastAsia" w:hAnsiTheme="minorEastAsia" w:eastAsiaTheme="minorEastAsia"/>
          <w:color w:val="000000" w:themeColor="text1"/>
          <w14:textFill>
            <w14:solidFill>
              <w14:schemeClr w14:val="tx1"/>
            </w14:solidFill>
          </w14:textFill>
        </w:rPr>
        <w:t>分包</w:t>
      </w:r>
      <w:r>
        <w:rPr>
          <w:rFonts w:asciiTheme="minorEastAsia" w:hAnsiTheme="minorEastAsia" w:eastAsiaTheme="minorEastAsia"/>
          <w:color w:val="000000" w:themeColor="text1"/>
          <w14:textFill>
            <w14:solidFill>
              <w14:schemeClr w14:val="tx1"/>
            </w14:solidFill>
          </w14:textFill>
        </w:rPr>
        <w:t>BIM成果是否满足本项目BIM深度要求，对审核发现的问题，</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须进行校核和调整BIM成果，直到满足前述BIM深度要求，确保BIM成果与施工图纸文档一致。</w:t>
      </w:r>
    </w:p>
    <w:p w14:paraId="7F0989F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完成幕墙深化设计，加强设计对加工和施工的控制和指导。</w:t>
      </w:r>
    </w:p>
    <w:p w14:paraId="60E9A6A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进行参数化建模和设计，需体现参数化设计能力。</w:t>
      </w:r>
    </w:p>
    <w:p w14:paraId="5A254ED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实现幕墙施工现场工况及加工构件的模拟。</w:t>
      </w:r>
    </w:p>
    <w:p w14:paraId="65D8C430">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进行幕墙构件加工和精度控制。</w:t>
      </w:r>
    </w:p>
    <w:p w14:paraId="48CD813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技术进行</w:t>
      </w:r>
      <w:r>
        <w:rPr>
          <w:rFonts w:asciiTheme="minorEastAsia" w:hAnsiTheme="minorEastAsia" w:eastAsiaTheme="minorEastAsia"/>
          <w:color w:val="000000" w:themeColor="text1"/>
          <w14:textFill>
            <w14:solidFill>
              <w14:schemeClr w14:val="tx1"/>
            </w14:solidFill>
          </w14:textFill>
        </w:rPr>
        <w:t>施工工艺模拟、进度模拟</w:t>
      </w:r>
      <w:r>
        <w:rPr>
          <w:rFonts w:hint="eastAsia" w:asciiTheme="minorEastAsia" w:hAnsiTheme="minorEastAsia" w:eastAsiaTheme="minorEastAsia"/>
          <w:color w:val="000000" w:themeColor="text1"/>
          <w14:textFill>
            <w14:solidFill>
              <w14:schemeClr w14:val="tx1"/>
            </w14:solidFill>
          </w14:textFill>
        </w:rPr>
        <w:t>、施工</w:t>
      </w:r>
      <w:r>
        <w:rPr>
          <w:rFonts w:asciiTheme="minorEastAsia" w:hAnsiTheme="minorEastAsia" w:eastAsiaTheme="minorEastAsia"/>
          <w:color w:val="000000" w:themeColor="text1"/>
          <w14:textFill>
            <w14:solidFill>
              <w14:schemeClr w14:val="tx1"/>
            </w14:solidFill>
          </w14:textFill>
        </w:rPr>
        <w:t>方案</w:t>
      </w:r>
      <w:r>
        <w:rPr>
          <w:rFonts w:hint="eastAsia" w:asciiTheme="minorEastAsia" w:hAnsiTheme="minorEastAsia" w:eastAsiaTheme="minorEastAsia"/>
          <w:color w:val="000000" w:themeColor="text1"/>
          <w14:textFill>
            <w14:solidFill>
              <w14:schemeClr w14:val="tx1"/>
            </w14:solidFill>
          </w14:textFill>
        </w:rPr>
        <w:t>模拟等</w:t>
      </w:r>
      <w:r>
        <w:rPr>
          <w:rFonts w:asciiTheme="minorEastAsia" w:hAnsiTheme="minorEastAsia" w:eastAsiaTheme="minorEastAsia"/>
          <w:color w:val="000000" w:themeColor="text1"/>
          <w14:textFill>
            <w14:solidFill>
              <w14:schemeClr w14:val="tx1"/>
            </w14:solidFill>
          </w14:textFill>
        </w:rPr>
        <w:t>，加强对施工过程的控制。</w:t>
      </w:r>
    </w:p>
    <w:p w14:paraId="786141C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采用高精度高质量可视化渲染模型在项目呈现展示幕墙BIM模型</w:t>
      </w:r>
      <w:r>
        <w:rPr>
          <w:rFonts w:asciiTheme="minorEastAsia" w:hAnsiTheme="minorEastAsia" w:eastAsiaTheme="minorEastAsia"/>
          <w:color w:val="000000" w:themeColor="text1"/>
          <w14:textFill>
            <w14:solidFill>
              <w14:schemeClr w14:val="tx1"/>
            </w14:solidFill>
          </w14:textFill>
        </w:rPr>
        <w:t>，以便项目各参与方查看和审阅。</w:t>
      </w:r>
    </w:p>
    <w:p w14:paraId="08F1EB21">
      <w:pPr>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使用BIM实现幕墙设计、加工、施工三方的现场联动，需提供实现该目标的具体实施方案。</w:t>
      </w:r>
    </w:p>
    <w:p w14:paraId="293BE5C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应用BIM模型重点部位进行幕墙吊装方案模拟和预拼装模拟等工作。</w:t>
      </w:r>
    </w:p>
    <w:p w14:paraId="7E58D3FE">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分包人应运用甲方指定的项目管理平台进行BIM模型及应用成果文件上传并实时更新平台数据。</w:t>
      </w:r>
    </w:p>
    <w:p w14:paraId="079C6E1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分包人应在服务期内按发包人要求</w:t>
      </w:r>
      <w:r>
        <w:rPr>
          <w:rFonts w:asciiTheme="minorEastAsia" w:hAnsiTheme="minorEastAsia" w:eastAsiaTheme="minorEastAsia"/>
          <w:color w:val="000000" w:themeColor="text1"/>
          <w14:textFill>
            <w14:solidFill>
              <w14:schemeClr w14:val="tx1"/>
            </w14:solidFill>
          </w14:textFill>
        </w:rPr>
        <w:t>提交与深化设计、施工进度相一致的BIM模型</w:t>
      </w:r>
      <w:r>
        <w:rPr>
          <w:rFonts w:hint="eastAsia" w:asciiTheme="minorEastAsia" w:hAnsiTheme="minorEastAsia" w:eastAsiaTheme="minorEastAsia"/>
          <w:color w:val="000000" w:themeColor="text1"/>
          <w14:textFill>
            <w14:solidFill>
              <w14:schemeClr w14:val="tx1"/>
            </w14:solidFill>
          </w14:textFill>
        </w:rPr>
        <w:t>进行审核</w:t>
      </w:r>
      <w:r>
        <w:rPr>
          <w:rFonts w:asciiTheme="minorEastAsia" w:hAnsiTheme="minorEastAsia" w:eastAsiaTheme="minorEastAsia"/>
          <w:color w:val="000000" w:themeColor="text1"/>
          <w14:textFill>
            <w14:solidFill>
              <w14:schemeClr w14:val="tx1"/>
            </w14:solidFill>
          </w14:textFill>
        </w:rPr>
        <w:t>。对审核发现的问题，</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负责在</w:t>
      </w:r>
      <w:r>
        <w:rPr>
          <w:rFonts w:hint="eastAsia" w:asciiTheme="minorEastAsia" w:hAnsiTheme="minorEastAsia" w:eastAsiaTheme="minorEastAsia"/>
          <w:color w:val="000000" w:themeColor="text1"/>
          <w14:textFill>
            <w14:solidFill>
              <w14:schemeClr w14:val="tx1"/>
            </w14:solidFill>
          </w14:textFill>
        </w:rPr>
        <w:t>发包人</w:t>
      </w:r>
      <w:r>
        <w:rPr>
          <w:rFonts w:asciiTheme="minorEastAsia" w:hAnsiTheme="minorEastAsia" w:eastAsiaTheme="minorEastAsia"/>
          <w:color w:val="000000" w:themeColor="text1"/>
          <w14:textFill>
            <w14:solidFill>
              <w14:schemeClr w14:val="tx1"/>
            </w14:solidFill>
          </w14:textFill>
        </w:rPr>
        <w:t>规定时间内修改完善。</w:t>
      </w:r>
    </w:p>
    <w:p w14:paraId="28892317">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分包人应使用幕墙</w:t>
      </w:r>
      <w:r>
        <w:rPr>
          <w:rFonts w:asciiTheme="minorEastAsia" w:hAnsiTheme="minorEastAsia" w:eastAsiaTheme="minorEastAsia"/>
          <w:color w:val="000000" w:themeColor="text1"/>
          <w14:textFill>
            <w14:solidFill>
              <w14:schemeClr w14:val="tx1"/>
            </w14:solidFill>
          </w14:textFill>
        </w:rPr>
        <w:t>BIM模型与其他分包人、设计人的其他专业BIM模型进行碰撞检查，并提交冲突报告。</w:t>
      </w:r>
    </w:p>
    <w:p w14:paraId="73DE0F7D">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对于需要对原图（模型）进行改动的，由分包人提供书面说明和</w:t>
      </w:r>
      <w:r>
        <w:rPr>
          <w:rFonts w:asciiTheme="minorEastAsia" w:hAnsiTheme="minorEastAsia" w:eastAsiaTheme="minorEastAsia"/>
          <w:color w:val="000000" w:themeColor="text1"/>
          <w14:textFill>
            <w14:solidFill>
              <w14:schemeClr w14:val="tx1"/>
            </w14:solidFill>
          </w14:textFill>
        </w:rPr>
        <w:t>BIM模型，由</w:t>
      </w:r>
      <w:r>
        <w:rPr>
          <w:rFonts w:hint="eastAsia" w:asciiTheme="minorEastAsia" w:hAnsiTheme="minorEastAsia" w:eastAsiaTheme="minorEastAsia"/>
          <w:color w:val="000000" w:themeColor="text1"/>
          <w14:textFill>
            <w14:solidFill>
              <w14:schemeClr w14:val="tx1"/>
            </w14:solidFill>
          </w14:textFill>
        </w:rPr>
        <w:t>发包人</w:t>
      </w:r>
      <w:r>
        <w:rPr>
          <w:rFonts w:asciiTheme="minorEastAsia" w:hAnsiTheme="minorEastAsia" w:eastAsiaTheme="minorEastAsia"/>
          <w:color w:val="000000" w:themeColor="text1"/>
          <w14:textFill>
            <w14:solidFill>
              <w14:schemeClr w14:val="tx1"/>
            </w14:solidFill>
          </w14:textFill>
        </w:rPr>
        <w:t>组织各相关施工方予以确认。</w:t>
      </w:r>
    </w:p>
    <w:p w14:paraId="171869A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要求分包人应用</w:t>
      </w:r>
      <w:r>
        <w:rPr>
          <w:rFonts w:asciiTheme="minorEastAsia" w:hAnsiTheme="minorEastAsia" w:eastAsiaTheme="minorEastAsia"/>
          <w:color w:val="000000" w:themeColor="text1"/>
          <w14:textFill>
            <w14:solidFill>
              <w14:schemeClr w14:val="tx1"/>
            </w14:solidFill>
          </w14:textFill>
        </w:rPr>
        <w:t>BIM模型重点部位进行幕墙吊装方案模拟和预拼装模拟等工作。</w:t>
      </w:r>
    </w:p>
    <w:p w14:paraId="3F8412A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要求分包人提供的</w:t>
      </w:r>
      <w:r>
        <w:rPr>
          <w:rFonts w:asciiTheme="minorEastAsia" w:hAnsiTheme="minorEastAsia" w:eastAsiaTheme="minorEastAsia"/>
          <w:color w:val="000000" w:themeColor="text1"/>
          <w14:textFill>
            <w14:solidFill>
              <w14:schemeClr w14:val="tx1"/>
            </w14:solidFill>
          </w14:textFill>
        </w:rPr>
        <w:t>BIM成果应包含幕墙典型节点BIM模型（深度满足幕墙节点的细部构造、与结构主体的连接方式、与其他专业的空间关系），用于指导施工。</w:t>
      </w:r>
    </w:p>
    <w:p w14:paraId="5D683B3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要求分包人基于</w:t>
      </w:r>
      <w:r>
        <w:rPr>
          <w:rFonts w:asciiTheme="minorEastAsia" w:hAnsiTheme="minorEastAsia" w:eastAsiaTheme="minorEastAsia"/>
          <w:color w:val="000000" w:themeColor="text1"/>
          <w14:textFill>
            <w14:solidFill>
              <w14:schemeClr w14:val="tx1"/>
            </w14:solidFill>
          </w14:textFill>
        </w:rPr>
        <w:t>BIM模型完成幕墙深化设计，范围包括塔楼、底部、屋顶、转角与入口等。</w:t>
      </w:r>
    </w:p>
    <w:p w14:paraId="63EB2FEB">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6.5</w:t>
      </w:r>
      <w:r>
        <w:rPr>
          <w:color w:val="000000" w:themeColor="text1"/>
          <w:sz w:val="24"/>
          <w:szCs w:val="21"/>
          <w14:textFill>
            <w14:solidFill>
              <w14:schemeClr w14:val="tx1"/>
            </w14:solidFill>
          </w14:textFill>
        </w:rPr>
        <w:t>BIM施工能力要求</w:t>
      </w:r>
    </w:p>
    <w:p w14:paraId="3086658B">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w:t>
      </w:r>
      <w:r>
        <w:rPr>
          <w:rFonts w:asciiTheme="minorEastAsia" w:hAnsiTheme="minorEastAsia" w:eastAsiaTheme="minorEastAsia"/>
          <w:color w:val="000000" w:themeColor="text1"/>
          <w14:textFill>
            <w14:solidFill>
              <w14:schemeClr w14:val="tx1"/>
            </w14:solidFill>
          </w14:textFill>
        </w:rPr>
        <w:t>具备同类工程的应用经验</w:t>
      </w:r>
      <w:r>
        <w:rPr>
          <w:rFonts w:hint="eastAsia" w:asciiTheme="minorEastAsia" w:hAnsiTheme="minorEastAsia" w:eastAsiaTheme="minorEastAsia"/>
          <w:color w:val="000000" w:themeColor="text1"/>
          <w14:textFill>
            <w14:solidFill>
              <w14:schemeClr w14:val="tx1"/>
            </w14:solidFill>
          </w14:textFill>
        </w:rPr>
        <w:t>并配备稳定的BIM施工工作团队，具备多专业</w:t>
      </w:r>
      <w:r>
        <w:rPr>
          <w:rFonts w:asciiTheme="minorEastAsia" w:hAnsiTheme="minorEastAsia" w:eastAsiaTheme="minorEastAsia"/>
          <w:color w:val="000000" w:themeColor="text1"/>
          <w14:textFill>
            <w14:solidFill>
              <w14:schemeClr w14:val="tx1"/>
            </w14:solidFill>
          </w14:textFill>
        </w:rPr>
        <w:t>BIM协同应用能力，</w:t>
      </w:r>
      <w:r>
        <w:rPr>
          <w:rFonts w:hint="eastAsia" w:asciiTheme="minorEastAsia" w:hAnsiTheme="minorEastAsia" w:eastAsiaTheme="minorEastAsia"/>
          <w:color w:val="000000" w:themeColor="text1"/>
          <w14:textFill>
            <w14:solidFill>
              <w14:schemeClr w14:val="tx1"/>
            </w14:solidFill>
          </w14:textFill>
        </w:rPr>
        <w:t>熟练应用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技术完成所有应用工作。</w:t>
      </w:r>
    </w:p>
    <w:p w14:paraId="576752A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应确保提供满足BIM模型应用要求的足够数量的软件和硬件设备</w:t>
      </w:r>
      <w:r>
        <w:rPr>
          <w:rFonts w:hint="eastAsia" w:asciiTheme="minorEastAsia" w:hAnsiTheme="minorEastAsia" w:eastAsiaTheme="minorEastAsia"/>
          <w:color w:val="000000" w:themeColor="text1"/>
          <w14:textFill>
            <w14:solidFill>
              <w14:schemeClr w14:val="tx1"/>
            </w14:solidFill>
          </w14:textFill>
        </w:rPr>
        <w:t>。</w:t>
      </w:r>
    </w:p>
    <w:p w14:paraId="7E5B04F8">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6.6与承包人的配合</w:t>
      </w:r>
    </w:p>
    <w:p w14:paraId="059CB3FA">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在BIM应用</w:t>
      </w:r>
      <w:r>
        <w:rPr>
          <w:rFonts w:asciiTheme="minorEastAsia" w:hAnsiTheme="minorEastAsia" w:eastAsiaTheme="minorEastAsia"/>
          <w:color w:val="000000" w:themeColor="text1"/>
          <w14:textFill>
            <w14:solidFill>
              <w14:schemeClr w14:val="tx1"/>
            </w14:solidFill>
          </w14:textFill>
        </w:rPr>
        <w:t>实施的过程中</w:t>
      </w:r>
      <w:r>
        <w:rPr>
          <w:rFonts w:hint="eastAsia" w:asciiTheme="minorEastAsia" w:hAnsiTheme="minorEastAsia" w:eastAsiaTheme="minorEastAsia"/>
          <w:color w:val="000000" w:themeColor="text1"/>
          <w14:textFill>
            <w14:solidFill>
              <w14:schemeClr w14:val="tx1"/>
            </w14:solidFill>
          </w14:textFill>
        </w:rPr>
        <w:t>，根据发包人指令，分包人</w:t>
      </w:r>
      <w:r>
        <w:rPr>
          <w:rFonts w:asciiTheme="minorEastAsia" w:hAnsiTheme="minorEastAsia" w:eastAsiaTheme="minorEastAsia"/>
          <w:color w:val="000000" w:themeColor="text1"/>
          <w14:textFill>
            <w14:solidFill>
              <w14:schemeClr w14:val="tx1"/>
            </w14:solidFill>
          </w14:textFill>
        </w:rPr>
        <w:t>应</w:t>
      </w:r>
      <w:r>
        <w:rPr>
          <w:rFonts w:hint="eastAsia" w:asciiTheme="minorEastAsia" w:hAnsiTheme="minorEastAsia" w:eastAsiaTheme="minorEastAsia"/>
          <w:color w:val="000000" w:themeColor="text1"/>
          <w14:textFill>
            <w14:solidFill>
              <w14:schemeClr w14:val="tx1"/>
            </w14:solidFill>
          </w14:textFill>
        </w:rPr>
        <w:t>按照承包人</w:t>
      </w:r>
      <w:r>
        <w:rPr>
          <w:rFonts w:asciiTheme="minorEastAsia" w:hAnsiTheme="minorEastAsia" w:eastAsiaTheme="minorEastAsia"/>
          <w:color w:val="000000" w:themeColor="text1"/>
          <w14:textFill>
            <w14:solidFill>
              <w14:schemeClr w14:val="tx1"/>
            </w14:solidFill>
          </w14:textFill>
        </w:rPr>
        <w:t>的时间节点提交</w:t>
      </w:r>
      <w:r>
        <w:rPr>
          <w:rFonts w:hint="eastAsia" w:asciiTheme="minorEastAsia" w:hAnsiTheme="minorEastAsia" w:eastAsiaTheme="minorEastAsia"/>
          <w:color w:val="000000" w:themeColor="text1"/>
          <w14:textFill>
            <w14:solidFill>
              <w14:schemeClr w14:val="tx1"/>
            </w14:solidFill>
          </w14:textFill>
        </w:rPr>
        <w:t>相应的BIM深化成果，</w:t>
      </w:r>
      <w:r>
        <w:rPr>
          <w:rFonts w:asciiTheme="minorEastAsia" w:hAnsiTheme="minorEastAsia" w:eastAsiaTheme="minorEastAsia"/>
          <w:color w:val="000000" w:themeColor="text1"/>
          <w14:textFill>
            <w14:solidFill>
              <w14:schemeClr w14:val="tx1"/>
            </w14:solidFill>
          </w14:textFill>
        </w:rPr>
        <w:t>并</w:t>
      </w:r>
      <w:r>
        <w:rPr>
          <w:rFonts w:hint="eastAsia" w:asciiTheme="minorEastAsia" w:hAnsiTheme="minorEastAsia" w:eastAsiaTheme="minorEastAsia"/>
          <w:color w:val="000000" w:themeColor="text1"/>
          <w14:textFill>
            <w14:solidFill>
              <w14:schemeClr w14:val="tx1"/>
            </w14:solidFill>
          </w14:textFill>
        </w:rPr>
        <w:t>配合承包人</w:t>
      </w:r>
      <w:r>
        <w:rPr>
          <w:rFonts w:asciiTheme="minorEastAsia" w:hAnsiTheme="minorEastAsia" w:eastAsiaTheme="minorEastAsia"/>
          <w:color w:val="000000" w:themeColor="text1"/>
          <w14:textFill>
            <w14:solidFill>
              <w14:schemeClr w14:val="tx1"/>
            </w14:solidFill>
          </w14:textFill>
        </w:rPr>
        <w:t>的BIM</w:t>
      </w:r>
      <w:r>
        <w:rPr>
          <w:rFonts w:hint="eastAsia" w:asciiTheme="minorEastAsia" w:hAnsiTheme="minorEastAsia" w:eastAsiaTheme="minorEastAsia"/>
          <w:color w:val="000000" w:themeColor="text1"/>
          <w14:textFill>
            <w14:solidFill>
              <w14:schemeClr w14:val="tx1"/>
            </w14:solidFill>
          </w14:textFill>
        </w:rPr>
        <w:t>工作，提供必要的协助和支持，确保承包人能够将模型整合</w:t>
      </w:r>
      <w:r>
        <w:rPr>
          <w:rFonts w:asciiTheme="minorEastAsia" w:hAnsiTheme="minorEastAsia" w:eastAsiaTheme="minorEastAsia"/>
          <w:color w:val="000000" w:themeColor="text1"/>
          <w14:textFill>
            <w14:solidFill>
              <w14:schemeClr w14:val="tx1"/>
            </w14:solidFill>
          </w14:textFill>
        </w:rPr>
        <w:t>。</w:t>
      </w:r>
    </w:p>
    <w:p w14:paraId="6B3ADB2D">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6.7专业间协调</w:t>
      </w:r>
    </w:p>
    <w:p w14:paraId="1695834C">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分包人BIM团队应参与施工BIM工作例会，与各相关专业协调完成每月的BIM工作。</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分包人应使用发包人指定的项目管理平台进行项目事宜的沟通与管理。在服务期内分包人提供的BIM模型数据应同步上传到项目管理平台，并能满足在项目管理平台进行轻量化模型浏览及协同作业的要求。</w:t>
      </w:r>
    </w:p>
    <w:p w14:paraId="26CA7A20">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6.8 BIM施工阶段过程相关文件的整理存档</w:t>
      </w:r>
    </w:p>
    <w:p w14:paraId="3805D8C2">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分包人在对该项目进行BIM实施期间，除发包人、</w:t>
      </w:r>
      <w:r>
        <w:rPr>
          <w:rFonts w:asciiTheme="minorEastAsia" w:hAnsiTheme="minorEastAsia" w:eastAsiaTheme="minorEastAsia"/>
          <w:color w:val="000000" w:themeColor="text1"/>
          <w14:textFill>
            <w14:solidFill>
              <w14:schemeClr w14:val="tx1"/>
            </w14:solidFill>
          </w14:textFill>
        </w:rPr>
        <w:t>BIM咨询方</w:t>
      </w:r>
      <w:r>
        <w:rPr>
          <w:rFonts w:hint="eastAsia" w:asciiTheme="minorEastAsia" w:hAnsiTheme="minorEastAsia" w:eastAsiaTheme="minorEastAsia"/>
          <w:color w:val="000000" w:themeColor="text1"/>
          <w14:textFill>
            <w14:solidFill>
              <w14:schemeClr w14:val="tx1"/>
            </w14:solidFill>
          </w14:textFill>
        </w:rPr>
        <w:t>所要求的相关上传文件外，通过B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模型而发现的原则性的深化方案、施工措施、进度计划等问题、问题的解决形式、解决后的最终成果等相关处理原始文件，均需以统一格式整理存档并上传发包人指定的项目管理平台。</w:t>
      </w:r>
    </w:p>
    <w:p w14:paraId="176A7B1E">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（七）创新及课题管理要求</w:t>
      </w:r>
    </w:p>
    <w:p w14:paraId="77B50970">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7.1新技术应用要求</w:t>
      </w:r>
    </w:p>
    <w:p w14:paraId="1CB900D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1、分包人应积极采用建设部《建筑业10项新技术（最新版）》中的新技术，新技术应用需符合本项目创优要求。</w:t>
      </w:r>
    </w:p>
    <w:p w14:paraId="25B5E98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应积极推动技术创新成果转化、申报及应用工法；分包人应积极利用本项目采用的四新应用成果申请各类专利、发表论文、著作，分包人在本项目拟采用的所有四新应用及相关工法、专利等需满足项目创优要求。</w:t>
      </w:r>
    </w:p>
    <w:p w14:paraId="6E0D4474">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7.2科研课题要求</w:t>
      </w:r>
    </w:p>
    <w:p w14:paraId="5E51C685">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1、分包人需要根据项目实际需求和创新点，结合科研工作特点与承包人工作策划，制定合理科研课题计划，结合本工程特点争创各类工法、专利、科技相关奖项，同时需满足项目创优要求。</w:t>
      </w:r>
    </w:p>
    <w:p w14:paraId="30A6880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2、科研课题方案由分包人报监理人、承包人、发包人审核确认后实施，课题应体现本项目工程特点、重难点技术、先进工艺、新技术应用等方面，至少应包括光伏幕墙关键技术研究及应用方向课题。</w:t>
      </w:r>
    </w:p>
    <w:p w14:paraId="1FE11314">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7.3成果管理</w:t>
      </w:r>
    </w:p>
    <w:p w14:paraId="7CBBD4D4">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1、分包人未经发包人同意，不得将本项目取得的技术文件、研究成果等泄露给第三方，因分包人原因造成的数据泄露，发包人有权追究分包人法律责任。</w:t>
      </w:r>
    </w:p>
    <w:p w14:paraId="5093E889">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发表本工程相关科研成果、工艺工法、论文论著等均须报监理人、承包人、发包人审核，征得监理人、承包人、发包人同意后根据要求联合发表，未经同意不得擅自发表与本工程相关科研成果、工艺工法、论文论著等。</w:t>
      </w:r>
    </w:p>
    <w:p w14:paraId="07645940">
      <w:pPr>
        <w:ind w:firstLine="480" w:firstLineChars="200"/>
        <w:rPr>
          <w:rFonts w:asciiTheme="minorEastAsia" w:hAnsiTheme="minorEastAsia" w:eastAsiaTheme="minorEastAsia"/>
          <w:color w:val="000000" w:themeColor="text1"/>
          <w14:textFill>
            <w14:solidFill>
              <w14:schemeClr w14:val="tx1"/>
            </w14:solidFill>
          </w14:textFill>
        </w:rPr>
      </w:pPr>
    </w:p>
    <w:p w14:paraId="73C37E57">
      <w:pPr>
        <w:pStyle w:val="3"/>
        <w:spacing w:before="0" w:after="0" w:line="240" w:lineRule="auto"/>
        <w:rPr>
          <w:rFonts w:ascii="仿宋" w:hAnsi="仿宋" w:eastAsia="仿宋" w:cs="宋体"/>
          <w:color w:val="000000" w:themeColor="text1"/>
          <w:sz w:val="36"/>
          <w:szCs w:val="28"/>
          <w14:textFill>
            <w14:solidFill>
              <w14:schemeClr w14:val="tx1"/>
            </w14:solidFill>
          </w14:textFill>
        </w:rPr>
      </w:pPr>
      <w:r>
        <w:rPr>
          <w:rFonts w:hint="eastAsia" w:ascii="仿宋" w:hAnsi="仿宋" w:eastAsia="仿宋" w:cs="宋体"/>
          <w:color w:val="000000" w:themeColor="text1"/>
          <w:sz w:val="36"/>
          <w:szCs w:val="28"/>
          <w14:textFill>
            <w14:solidFill>
              <w14:schemeClr w14:val="tx1"/>
            </w14:solidFill>
          </w14:textFill>
        </w:rPr>
        <w:t>二</w:t>
      </w:r>
      <w:r>
        <w:rPr>
          <w:rFonts w:ascii="仿宋" w:hAnsi="仿宋" w:eastAsia="仿宋" w:cs="宋体"/>
          <w:color w:val="000000" w:themeColor="text1"/>
          <w:sz w:val="36"/>
          <w:szCs w:val="28"/>
          <w14:textFill>
            <w14:solidFill>
              <w14:schemeClr w14:val="tx1"/>
            </w14:solidFill>
          </w14:textFill>
        </w:rPr>
        <w:t xml:space="preserve"> </w:t>
      </w:r>
      <w:r>
        <w:rPr>
          <w:rFonts w:hint="eastAsia" w:ascii="仿宋" w:hAnsi="仿宋" w:eastAsia="仿宋" w:cs="宋体"/>
          <w:color w:val="000000" w:themeColor="text1"/>
          <w:sz w:val="36"/>
          <w:szCs w:val="28"/>
          <w14:textFill>
            <w14:solidFill>
              <w14:schemeClr w14:val="tx1"/>
            </w14:solidFill>
          </w14:textFill>
        </w:rPr>
        <w:t>承包人管理要求</w:t>
      </w:r>
    </w:p>
    <w:p w14:paraId="31EC8921">
      <w:pPr>
        <w:pStyle w:val="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（一）分包人的一般义务</w:t>
      </w:r>
    </w:p>
    <w:p w14:paraId="46C86ECA">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1.1分包人在履行合同过程中应遵守法律和工程建设标准规范，并履行以下义务，相关费用已包含在合同综合单价中：</w:t>
      </w:r>
    </w:p>
    <w:p w14:paraId="56215025">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1）按照合同、图纸、标准和规范、有关技术要求、承包人指令、各类交底组织分包作业人员进场作业，并负责工作面范围内的成品保护工作。</w:t>
      </w:r>
    </w:p>
    <w:p w14:paraId="625B6473">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2）承担由于自身原因造成的质量缺陷、工期延误等责任。</w:t>
      </w:r>
    </w:p>
    <w:p w14:paraId="62938C2C">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分包人进场后应知悉发包人对承包人的工程管理方面相关条款要求，发包人对分包人的要求与发包人对承包人同类要求不一致时，按更严格的条款执行</w:t>
      </w:r>
    </w:p>
    <w:p w14:paraId="299F8464">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 xml:space="preserve">）必须配备完全胜任本工程及承包人要求的包括专职安全管理员、质量管理员等在内的项目管理班子，服从承包人的管理，负责对工程进度、质量、劳动力调配、安全及职工生活安排等具体事项的具体管理；分包人管理人员出勤率每月不少于【25】天，若少于【25】天的，分包人应承担【 1000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 xml:space="preserve">/人/天的惩罚性违约金；项目将对分包相关岗位人员进行考勤，缺岗的，分包人应承担【 2000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 xml:space="preserve">/人/天的惩罚性违约金，分包人有义务立即将缺岗人员调整到位；所有管理人员及特殊工种必须持证上岗，将证件复印件交承包人备案，并确保证件的真实、有效，否则视为分包人违约，每发现一人次分包人应支付违约金【 2000 </w:t>
      </w:r>
      <w:r>
        <w:rPr>
          <w:rFonts w:hint="eastAsia" w:asciiTheme="minorEastAsia" w:hAnsiTheme="minorEastAsia" w:eastAsiaTheme="minorEastAsia"/>
          <w:color w:val="000000" w:themeColor="text1"/>
          <w14:textFill>
            <w14:solidFill>
              <w14:schemeClr w14:val="tx1"/>
            </w14:solidFill>
          </w14:textFill>
        </w:rPr>
        <w:t>】元，超过【</w:t>
      </w:r>
      <w:r>
        <w:rPr>
          <w:rFonts w:asciiTheme="minorEastAsia" w:hAnsiTheme="minorEastAsia" w:eastAsiaTheme="minorEastAsia"/>
          <w:color w:val="000000" w:themeColor="text1"/>
          <w14:textFill>
            <w14:solidFill>
              <w14:schemeClr w14:val="tx1"/>
            </w14:solidFill>
          </w14:textFill>
        </w:rPr>
        <w:t xml:space="preserve"> 3 </w:t>
      </w:r>
      <w:r>
        <w:rPr>
          <w:rFonts w:hint="eastAsia" w:asciiTheme="minorEastAsia" w:hAnsiTheme="minorEastAsia" w:eastAsiaTheme="minorEastAsia"/>
          <w:color w:val="000000" w:themeColor="text1"/>
          <w14:textFill>
            <w14:solidFill>
              <w14:schemeClr w14:val="tx1"/>
            </w14:solidFill>
          </w14:textFill>
        </w:rPr>
        <w:t>】人次，视为分包人严重违约且无履约能力，承包人可单方解除合同。</w:t>
      </w:r>
    </w:p>
    <w:p w14:paraId="3F47C2FB">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 xml:space="preserve">）对本合同承包范围内的分包作业向承包人负责，全部施工任务必须组织自有力量完成，严禁转包、挂靠和再分包。否则一经发现，分包人应承担签约合同价【 5 </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%的惩罚性违约金并赔偿承包人所有的损失（包括但不限于诉讼费、律师费、行政处罚等），且承包人有权单方解除合同。</w:t>
      </w:r>
    </w:p>
    <w:p w14:paraId="466731F4">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未经承包人书面授权，严禁在对外任何事务中签署承包人及承包人关联公司单位名称或简称等字样的落款，每发现一次分包人承担【</w:t>
      </w:r>
      <w:r>
        <w:rPr>
          <w:rFonts w:asciiTheme="minorEastAsia" w:hAnsiTheme="minorEastAsia" w:eastAsiaTheme="minorEastAsia"/>
          <w:color w:val="000000" w:themeColor="text1"/>
          <w14:textFill>
            <w14:solidFill>
              <w14:schemeClr w14:val="tx1"/>
            </w14:solidFill>
          </w14:textFill>
        </w:rPr>
        <w:t>5000】元的违约金并赔偿所有损失。</w:t>
      </w:r>
    </w:p>
    <w:p w14:paraId="59B2B4A4">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）参加承包人或建设单位主持的图纸预审、技术交底、安全教育培训、安全技术交底；严格按施工图纸、设计说明、国家及当地有关标准和规范、建筑工程质量检验评定标准精心施工。</w:t>
      </w:r>
    </w:p>
    <w:p w14:paraId="1918EE4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t>）遵守国家法律法规、当地政策文件及承包人有关施工现场管理的各项管理制度，按当地主管部门规定办理应由分包人负责的各项手续。接受承包人、建设单位及有关部门的管理、检查和监督，与现场各单位做好协调配合。</w:t>
      </w:r>
    </w:p>
    <w:p w14:paraId="0E2E5FE8">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w:t>
      </w:r>
      <w:r>
        <w:rPr>
          <w:rFonts w:asciiTheme="minorEastAsia" w:hAnsiTheme="minorEastAsia" w:eastAsiaTheme="minorEastAsia"/>
          <w:color w:val="000000" w:themeColor="text1"/>
          <w14:textFill>
            <w14:solidFill>
              <w14:schemeClr w14:val="tx1"/>
            </w14:solidFill>
          </w14:textFill>
        </w:rPr>
        <w:t>）负责完成本分包工程的有关施工方案的编制，报承包人批准后严格实施（施工方案不作为结算及合同价款调整依据）。</w:t>
      </w:r>
    </w:p>
    <w:p w14:paraId="0715C31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w:t>
      </w:r>
      <w:r>
        <w:rPr>
          <w:rFonts w:asciiTheme="minorEastAsia" w:hAnsiTheme="minorEastAsia" w:eastAsiaTheme="minorEastAsia"/>
          <w:color w:val="000000" w:themeColor="text1"/>
          <w14:textFill>
            <w14:solidFill>
              <w14:schemeClr w14:val="tx1"/>
            </w14:solidFill>
          </w14:textFill>
        </w:rPr>
        <w:t>）根据承包人编制的施工组织设计及总进度计划要求，开始作业前【7天】提交主要工序施工方案及施工进度计划，【每月】提交下期施工劳务计划、材料需求计划确保总工期的要求。</w:t>
      </w:r>
    </w:p>
    <w:p w14:paraId="3F84F2EA">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w:t>
      </w:r>
      <w:r>
        <w:rPr>
          <w:rFonts w:asciiTheme="minorEastAsia" w:hAnsiTheme="minorEastAsia" w:eastAsiaTheme="minorEastAsia"/>
          <w:color w:val="000000" w:themeColor="text1"/>
          <w14:textFill>
            <w14:solidFill>
              <w14:schemeClr w14:val="tx1"/>
            </w14:solidFill>
          </w14:textFill>
        </w:rPr>
        <w:t>）分包人应配备具有与承揽工程范围相适应专业技术水平的专职测量人员及经过</w:t>
      </w:r>
      <w:r>
        <w:rPr>
          <w:rFonts w:hint="eastAsia" w:asciiTheme="minorEastAsia" w:hAnsiTheme="minorEastAsia" w:eastAsiaTheme="minorEastAsia"/>
          <w:color w:val="000000" w:themeColor="text1"/>
          <w14:textFill>
            <w14:solidFill>
              <w14:schemeClr w14:val="tx1"/>
            </w14:solidFill>
          </w14:textFill>
        </w:rPr>
        <w:t>校定且校定证书在有效期内的测量仪器，根据承包人提供的标高、定位的基准点线，具体负责承包范围内的测量、放线、定位工作。</w:t>
      </w:r>
    </w:p>
    <w:p w14:paraId="5CD832CC">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 xml:space="preserve">）对承包人的指令应迅速执行，如未按照承包人要求执行，除赔偿承包人所有损失外，须承担【 5000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 xml:space="preserve">/次违约金。分包人在收到承包人催促执行的书面通知后【 2 </w:t>
      </w:r>
      <w:r>
        <w:rPr>
          <w:rFonts w:hint="eastAsia" w:asciiTheme="minorEastAsia" w:hAnsiTheme="minorEastAsia" w:eastAsiaTheme="minorEastAsia"/>
          <w:color w:val="000000" w:themeColor="text1"/>
          <w14:textFill>
            <w14:solidFill>
              <w14:schemeClr w14:val="tx1"/>
            </w14:solidFill>
          </w14:textFill>
        </w:rPr>
        <w:t>】小时内仍未执行，承包人可另行委托他人执行，费用由分包人承担，从应付分包人款项中扣除（不足部分，由分包人补足）。</w:t>
      </w:r>
    </w:p>
    <w:p w14:paraId="3CB83F3F">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w:t>
      </w:r>
      <w:r>
        <w:rPr>
          <w:rFonts w:asciiTheme="minorEastAsia" w:hAnsiTheme="minorEastAsia" w:eastAsiaTheme="minorEastAsia"/>
          <w:color w:val="000000" w:themeColor="text1"/>
          <w14:textFill>
            <w14:solidFill>
              <w14:schemeClr w14:val="tx1"/>
            </w14:solidFill>
          </w14:textFill>
        </w:rPr>
        <w:t>）认真做好施工日志和隐蔽工程等原始记录工作，完整、清晰、详细准确地记录和积累资料，及时将符合承包人要求的完整的经济技术资料提供给承包人，并配合承包人进行整理归档工作。</w:t>
      </w:r>
    </w:p>
    <w:p w14:paraId="39D9B6CF">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）做好施工场地周围建筑物、构筑物、地下管线的保护工作，如因分包人原因造成损坏，分包人承担由此造成的经济损失（包括行政主管部门的行政罚款）。</w:t>
      </w:r>
    </w:p>
    <w:p w14:paraId="59B08C7F">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w:t>
      </w:r>
      <w:r>
        <w:rPr>
          <w:rFonts w:asciiTheme="minorEastAsia" w:hAnsiTheme="minorEastAsia" w:eastAsiaTheme="minorEastAsia"/>
          <w:color w:val="000000" w:themeColor="text1"/>
          <w14:textFill>
            <w14:solidFill>
              <w14:schemeClr w14:val="tx1"/>
            </w14:solidFill>
          </w14:textFill>
        </w:rPr>
        <w:t>）负责施工现场的垃圾清理、堆放、装车工作，做到工完场清。分包人现场必须派专人负责分包人自行完成工作范围内施工垃圾的清理工作，并负责装车运输到承包人指定位置，必须做到每日工完场清。若分包人未做到工完场清，承包人将委托他人代为清理（清理产生的分包人材料丢失由分包人自负），清理产生的费用由分包人承担，在付款时直接自分包人的应得款项中扣除。</w:t>
      </w:r>
    </w:p>
    <w:p w14:paraId="2A503125">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（15）现场堆场管理规定：</w:t>
      </w:r>
    </w:p>
    <w:p w14:paraId="7AAD5AEF">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分包人须向承包人以联系单形式书面申请材料堆场、加工场地、库房等场地设置，经审批通过后方可按审批方案设置，布置完成后通知承包人验收，且须符合施工平面布置图要求。</w:t>
      </w:r>
    </w:p>
    <w:p w14:paraId="52E124A4">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分包人材料、机具等须按总包平面布置图指定位置堆放，堆放高度、荷载不能超限，禁止不同类材料混放、堆叠。</w:t>
      </w:r>
    </w:p>
    <w:p w14:paraId="30871EAE">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吊装卸货不符合平面布置要求的，在取得承包人生产部同意前，塔吊指挥禁止吊装。</w:t>
      </w:r>
    </w:p>
    <w:p w14:paraId="0EE75F3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分包人须指定文明施工负责人，对堆场计划、使用、清理进行统筹管理。</w:t>
      </w:r>
    </w:p>
    <w:p w14:paraId="5D2DBF06">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分包人材料进场计划须提前向承包人报审，满足短期使用、堆场容量要求方可进场，否则不予进场及卸车。</w:t>
      </w:r>
    </w:p>
    <w:p w14:paraId="0A77930A">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现场地面堆场只允许进3天内使用的材料，若由于材料长时间积压造成的周转场地不足，引起的工期及费用增加由分包人承担。</w:t>
      </w:r>
    </w:p>
    <w:p w14:paraId="6732B4AA">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若堆放材料、设备不符合平面布置位置要求，限期不整改的，由承包人安排对其进行清理及外运至场外堆场，所产生人工、机械、场地租金等费用由分包人承担。</w:t>
      </w:r>
    </w:p>
    <w:p w14:paraId="28B85864">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由于施工平面布置阶段转换引起的堆场调整，承包人将提前3天通知分包人，分包人需无条件配合对场地进行调整。</w:t>
      </w:r>
    </w:p>
    <w:p w14:paraId="565B847E">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16）工程完工后，分包人自用工具、机械和设备应及时清运出场，并负责清理本工程项目的标志、污斑、指印、油污和脏污等，达到交工前的清理标准。</w:t>
      </w:r>
    </w:p>
    <w:p w14:paraId="1F4AB6A3">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7）负责工作面范围内半成品、成品的保护工作，承担修复责任。参与交工验收，并负责修复质量缺陷，直至满足交工验收质量标准。</w:t>
      </w:r>
    </w:p>
    <w:p w14:paraId="500C683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18）建设单位对承包人的各项要求和标准均是分包人应履行的义务。分包人应无条件服从和执行承包人、建设单位、监理所提出的整改要求。</w:t>
      </w:r>
    </w:p>
    <w:p w14:paraId="3755298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19）如分包人认为承包人违约或存在分包人需要索赔的事项，应在事件发生后【7天】内向承包人提出书面报告及支撑资料，逾期视为分包人放弃索赔权利，将无权得到任何赔偿或补偿。</w:t>
      </w:r>
    </w:p>
    <w:p w14:paraId="449894A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20）在施工过程中，若分包人擅自停工，视为分包人违约，除承担停工给承包人造成的损失外，</w:t>
      </w:r>
      <w:r>
        <w:rPr>
          <w:rFonts w:hint="eastAsia" w:asciiTheme="minorEastAsia" w:hAnsiTheme="minorEastAsia" w:eastAsiaTheme="minorEastAsia"/>
          <w:color w:val="000000" w:themeColor="text1"/>
          <w14:textFill>
            <w14:solidFill>
              <w14:schemeClr w14:val="tx1"/>
            </w14:solidFill>
          </w14:textFill>
        </w:rPr>
        <w:t>另承担【</w:t>
      </w:r>
      <w:r>
        <w:rPr>
          <w:rFonts w:asciiTheme="minorEastAsia" w:hAnsiTheme="minorEastAsia" w:eastAsiaTheme="minorEastAsia"/>
          <w:color w:val="000000" w:themeColor="text1"/>
          <w14:textFill>
            <w14:solidFill>
              <w14:schemeClr w14:val="tx1"/>
            </w14:solidFill>
          </w14:textFill>
        </w:rPr>
        <w:t xml:space="preserve"> 20000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/天的违约金，停工超过【5天】承包人可单方解除合同，分包人需向承包人承担本合同签约合同价【5】%的违约金。</w:t>
      </w:r>
    </w:p>
    <w:p w14:paraId="01F3501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 xml:space="preserve">21）分包人现场必须派专人负责工人生活区及施工作业面清理工作，如经承包人、监理检查不符合现场管理规定，分包人除限期整改外，须承担【 2000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/次的惩罚性违约金。</w:t>
      </w:r>
    </w:p>
    <w:p w14:paraId="65C9175E">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2）承包人另行分包的工程，分包人应积极配合，做好与其他分包穿插及配合施工。</w:t>
      </w:r>
    </w:p>
    <w:p w14:paraId="1B115EE9">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23）施工过程中按承包人要求对施工现场临时设施、堆场、工作面、现场内外临时道路等进行清理，对周转料具等分类整理、码放，迎接相关检查。若分包人未做到或无故拖延，承包人将委托他人代为清理，清理产生的费用由分包人承担，在付款时直接自分包人的应得款项中双倍扣除。</w:t>
      </w:r>
    </w:p>
    <w:p w14:paraId="1823619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4）配合承包人进行绿色施工管理。</w:t>
      </w:r>
    </w:p>
    <w:p w14:paraId="30451EA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25）因施工需拆除安全防护装置或设施的，经承包人批准后方准实施，并在施工完成后负责恢复。作业面内存在交叉施工作业时，做好与相关单位的协调工作，并负责本单位施工区域交叉作业安全防护设置工作。分包人未做到或无故拖延，承包人将委托他人代为执行，期间因防护不到位发生生产安全事故或产生其他损失的，由分包人承担，相关费用或损失在付款时直接自分包人的应得款项中扣除。</w:t>
      </w:r>
    </w:p>
    <w:p w14:paraId="6651E91B">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26）分包人负责工作面范围内“四口”“五临边”安全防护安装、维护工作。临时安全防护的标准需满足相关规范、标准及承包人要求。需安装定型化防护设施的，在其未安装到位前，分包人负责相应区域临时防护设施的安装。无承包人允许不得私自拆除安全防护范围内的防护措施，否则造成的后果由分包人承担。</w:t>
      </w:r>
    </w:p>
    <w:p w14:paraId="71BCD746">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27）保证施工中使用的各类中小型设备、移动式操作平台、临时消防器材、辅助设施或工具的安全性能，确保其安全防护设施、装置安全可靠。</w:t>
      </w:r>
    </w:p>
    <w:p w14:paraId="4E1F7A1B">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28）分包人施工中应杜绝“十项零容忍安全隐患”的发生，对承包人提出的安全隐患整改意见应在规定的期限内整改完成并组织回复。安全隐患整改不及时，承包人有权依照相关管理规定对分包人进行处罚。</w:t>
      </w:r>
    </w:p>
    <w:p w14:paraId="0ED8C197">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29）按照国家法律法规要求，分包人配合承包人做好农民工工资分账制管理工作，工程款与人工费分开核算。分包人配合承包人进行项目施工现场实名制管理</w:t>
      </w:r>
      <w:r>
        <w:rPr>
          <w:rFonts w:hint="eastAsia" w:asciiTheme="minorEastAsia" w:hAnsiTheme="minorEastAsia" w:eastAsiaTheme="minorEastAsia"/>
          <w:color w:val="000000" w:themeColor="text1"/>
          <w14:textFill>
            <w14:solidFill>
              <w14:schemeClr w14:val="tx1"/>
            </w14:solidFill>
          </w14:textFill>
        </w:rPr>
        <w:t>工作，按月编制农民工工资发放表并报送承包人审核后从农民工工资专用账户代发农民工工资。</w:t>
      </w:r>
    </w:p>
    <w:p w14:paraId="61E8991C">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30）本协议履行期间，若因分包人与其合作方的债务纠纷出现合作方向承包人追索情形，分包人应承担因此对承包人造成的所有损失并按【10000】元/次进行赔偿。</w:t>
      </w:r>
    </w:p>
    <w:p w14:paraId="71BF4DF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31）分包人应与其雇用人员签订雇佣合同按时发放工资，不得无故拖欠或克扣所雇用人员工资。</w:t>
      </w:r>
    </w:p>
    <w:p w14:paraId="432668A8">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32）对于分包人所雇用的工人出现的伤亡事故或损失，应由分包人自行负责，包括伤亡或损失的索赔、诉讼、损害赔偿及其他费用。</w:t>
      </w:r>
    </w:p>
    <w:p w14:paraId="2A57EEA6">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33）分包人应当清楚地预计到施工期间对外界可能产生的必需的不可能避免的干扰，并为此保证主动努力减少这些干扰对外界的影响，且应当积极主动与外界进行协调。</w:t>
      </w:r>
    </w:p>
    <w:p w14:paraId="22071B02">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34）按法律规定和合同约定采取施工安全和环境保护措施，办理工伤保险，确保工程及人员、材料、设备和设施的安全。</w:t>
      </w:r>
    </w:p>
    <w:p w14:paraId="6A9453BB">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35）在进行合同约定的各项工作时，不得侵害他人使用公用道路、水源、市政管网等公共设施的权利，避免对邻近的公共设施产生干扰。分包人占用或使用他人的施工场地，影响他人作业或生活的，应承担相应责任。</w:t>
      </w:r>
    </w:p>
    <w:p w14:paraId="73580AB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36）分包人应按照分包合同的约定，对分包工程进行深化设计（分包合同有约定时）、施工、竣工和保修。分包人在审阅分包合同和（或）总承包合同的相关内容时，或在分包合同的施工中，如发现分包工程的设计或工程建设标准、技术要求存在错误、遗漏、失误或其他缺陷，应立即通知承包人。</w:t>
      </w:r>
    </w:p>
    <w:p w14:paraId="49027E06">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1.2未经承包人书面准许，分包人不得擅自调整和撤走进驻工地人员。私自调整进驻工地人员，所导致的经济损失由分包人负责，除承担因此造成的损失外，每发现一次处以【 10000 </w:t>
      </w:r>
      <w:r>
        <w:rPr>
          <w:rFonts w:hint="eastAsia" w:asciiTheme="minorEastAsia" w:hAnsiTheme="minorEastAsia" w:eastAsiaTheme="minorEastAsia"/>
          <w:color w:val="000000" w:themeColor="text1"/>
          <w14:textFill>
            <w14:solidFill>
              <w14:schemeClr w14:val="tx1"/>
            </w14:solidFill>
          </w14:textFill>
        </w:rPr>
        <w:t>】元惩罚性违约金。</w:t>
      </w:r>
    </w:p>
    <w:p w14:paraId="21B9456E">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1.3分包人对承包人指令持有异议，应在收到指令后的【24小时】内提出书面报告，逾期视为认可。</w:t>
      </w:r>
    </w:p>
    <w:p w14:paraId="670A84E6">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1.4</w:t>
      </w:r>
      <w:r>
        <w:rPr>
          <w:rFonts w:hint="eastAsia" w:asciiTheme="minorEastAsia" w:hAnsiTheme="minorEastAsia" w:eastAsiaTheme="minorEastAsia"/>
          <w:color w:val="000000" w:themeColor="text1"/>
          <w14:textFill>
            <w14:solidFill>
              <w14:schemeClr w14:val="tx1"/>
            </w14:solidFill>
          </w14:textFill>
        </w:rPr>
        <w:t>分包人投标书中承诺的人员及现场委托的负责人非经承包人事先书面同意不得擅自更换。如分包人擅自更换前述人员，承包人有权解除合同，承包人解除合同的，分包人需向承包人支付签约合同价【</w:t>
      </w:r>
      <w:r>
        <w:rPr>
          <w:rFonts w:asciiTheme="minorEastAsia" w:hAnsiTheme="minorEastAsia" w:eastAsiaTheme="minorEastAsia"/>
          <w:color w:val="000000" w:themeColor="text1"/>
          <w14:textFill>
            <w14:solidFill>
              <w14:schemeClr w14:val="tx1"/>
            </w14:solidFill>
          </w14:textFill>
        </w:rPr>
        <w:t xml:space="preserve">3】%的违约金。分包人现场代表外出办事需向承包人请假，未经批准擅自离开工地的，承担【 2000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 xml:space="preserve">/天的违约金，其他管理人员承担【 1000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/天的违约金。</w:t>
      </w:r>
    </w:p>
    <w:p w14:paraId="37D36D1C">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5分包人已知晓本合同的付款条件，分包人不得以任何理由向承包人提出超出本合同支付条款以外的任何工程款的支付请求。</w:t>
      </w:r>
    </w:p>
    <w:p w14:paraId="27EC5617">
      <w:pPr>
        <w:pStyle w:val="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（二）质量管理要求</w:t>
      </w:r>
    </w:p>
    <w:p w14:paraId="4B6A4591">
      <w:pPr>
        <w:widowControl/>
        <w:ind w:firstLine="240" w:firstLineChars="1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各分项工程开工前，承包人应制定质量精细化管理验收手册，明确质量标准，严控施工过程质量，经监理人及发包人审批后对施工管理人员及班组进行详细交底。在每分项工程完工后</w:t>
      </w:r>
      <w:r>
        <w:rPr>
          <w:rFonts w:asciiTheme="minorEastAsia" w:hAnsiTheme="minorEastAsia" w:eastAsiaTheme="minorEastAsia"/>
          <w:color w:val="000000" w:themeColor="text1"/>
          <w14:textFill>
            <w14:solidFill>
              <w14:schemeClr w14:val="tx1"/>
            </w14:solidFill>
          </w14:textFill>
        </w:rPr>
        <w:t>14天内完成改分项工程施工总结，并将总结报告上报监理人及发包人。</w:t>
      </w:r>
    </w:p>
    <w:p w14:paraId="535B270A">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针对发包人上级单位第三方评估检查，承包人需应在开工后</w:t>
      </w:r>
      <w:r>
        <w:rPr>
          <w:rFonts w:asciiTheme="minorEastAsia" w:hAnsiTheme="minorEastAsia" w:eastAsiaTheme="minorEastAsia"/>
          <w:color w:val="000000" w:themeColor="text1"/>
          <w14:textFill>
            <w14:solidFill>
              <w14:schemeClr w14:val="tx1"/>
            </w14:solidFill>
          </w14:textFill>
        </w:rPr>
        <w:t>14天内提出可行的实施策划方案，报监理人和发包人审批后执行，并在过程中对第三方评估检查实施方案的检查内容的变化修正策划实施方案报监理人审批后执行，应对第三方评估检查承包人应设专职负责人，全面组织迎检工作的部署和落实。深投控系统质量检查目标：深投控系统前三名。</w:t>
      </w:r>
    </w:p>
    <w:p w14:paraId="2B74B9A9">
      <w:pPr>
        <w:pStyle w:val="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（三）作业安全</w:t>
      </w:r>
    </w:p>
    <w:p w14:paraId="458FA91B">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3.1 </w:t>
      </w:r>
      <w:r>
        <w:rPr>
          <w:rFonts w:hint="eastAsia" w:asciiTheme="minorEastAsia" w:hAnsiTheme="minorEastAsia" w:eastAsiaTheme="minorEastAsia"/>
          <w:color w:val="000000" w:themeColor="text1"/>
          <w14:textFill>
            <w14:solidFill>
              <w14:schemeClr w14:val="tx1"/>
            </w14:solidFill>
          </w14:textFill>
        </w:rPr>
        <w:t>乙方应按照建质〔</w:t>
      </w:r>
      <w:r>
        <w:rPr>
          <w:rFonts w:asciiTheme="minorEastAsia" w:hAnsiTheme="minorEastAsia" w:eastAsiaTheme="minorEastAsia"/>
          <w:color w:val="000000" w:themeColor="text1"/>
          <w14:textFill>
            <w14:solidFill>
              <w14:schemeClr w14:val="tx1"/>
            </w14:solidFill>
          </w14:textFill>
        </w:rPr>
        <w:t>2008〕91号文件规定配备专职安全管理人员，现场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专业承包单位应当配置至少1人，并根据所承担的分部分项工程的工程量和施工危险程度增加）。</w:t>
      </w:r>
    </w:p>
    <w:p w14:paraId="6FB36BCE">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专职安全管理人员配备不足的，限【</w:t>
      </w:r>
      <w:r>
        <w:rPr>
          <w:rFonts w:asciiTheme="minorEastAsia" w:hAnsiTheme="minorEastAsia" w:eastAsiaTheme="minorEastAsia"/>
          <w:color w:val="000000" w:themeColor="text1"/>
          <w14:textFill>
            <w14:solidFill>
              <w14:schemeClr w14:val="tx1"/>
            </w14:solidFill>
          </w14:textFill>
        </w:rPr>
        <w:t>3】日内改正，逾期没有改正的，每缺少1人，每天承担违约金【1000】元；甲方、乙方专职安全管理人员集中办公，办公地点由甲方指定，甲方每月对乙方专职安全管理人员到岗情况及工作质量进行考核，缺勤费用及违约金从当月工程报量中予以扣除。</w:t>
      </w:r>
    </w:p>
    <w:p w14:paraId="0C2E3495">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3.2 </w:t>
      </w:r>
      <w:r>
        <w:rPr>
          <w:rFonts w:hint="eastAsia" w:asciiTheme="minorEastAsia" w:hAnsiTheme="minorEastAsia" w:eastAsiaTheme="minorEastAsia"/>
          <w:color w:val="000000" w:themeColor="text1"/>
          <w14:textFill>
            <w14:solidFill>
              <w14:schemeClr w14:val="tx1"/>
            </w14:solidFill>
          </w14:textFill>
        </w:rPr>
        <w:t>乙方应明确拒绝甲方违反工程建设安全生产有关管理规定的指示。</w:t>
      </w:r>
    </w:p>
    <w:p w14:paraId="568EBA67">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3.3 </w:t>
      </w:r>
      <w:r>
        <w:rPr>
          <w:rFonts w:hint="eastAsia" w:asciiTheme="minorEastAsia" w:hAnsiTheme="minorEastAsia" w:eastAsiaTheme="minorEastAsia"/>
          <w:color w:val="000000" w:themeColor="text1"/>
          <w14:textFill>
            <w14:solidFill>
              <w14:schemeClr w14:val="tx1"/>
            </w14:solidFill>
          </w14:textFill>
        </w:rPr>
        <w:t>乙方应遵守工程建设安全生产有关管理规定，严格按安全标准进行作业，并随时接受行业安全检查人员依法实施的监督检查，采取必要的安全防护措施，消除事故隐患。</w:t>
      </w:r>
    </w:p>
    <w:p w14:paraId="51B6A1E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3.4 </w:t>
      </w:r>
      <w:r>
        <w:rPr>
          <w:rFonts w:hint="eastAsia" w:asciiTheme="minorEastAsia" w:hAnsiTheme="minorEastAsia" w:eastAsiaTheme="minorEastAsia"/>
          <w:color w:val="000000" w:themeColor="text1"/>
          <w14:textFill>
            <w14:solidFill>
              <w14:schemeClr w14:val="tx1"/>
            </w14:solidFill>
          </w14:textFill>
        </w:rPr>
        <w:t>乙方应遵守国家现行的《中华人民共和国安全生产法》《中华人民共和国建筑法》《中华人民共和国劳动法》《安全生产许可证条例》《建设工程安全生产管理条例》等有关安全生产的法律法规，严格执行《建筑安全施工检查标准》</w:t>
      </w:r>
      <w:r>
        <w:rPr>
          <w:rFonts w:asciiTheme="minorEastAsia" w:hAnsiTheme="minorEastAsia" w:eastAsiaTheme="minorEastAsia"/>
          <w:color w:val="000000" w:themeColor="text1"/>
          <w14:textFill>
            <w14:solidFill>
              <w14:schemeClr w14:val="tx1"/>
            </w14:solidFill>
          </w14:textFill>
        </w:rPr>
        <w:t>JGJ59—2011等标准、规程、规范。</w:t>
      </w:r>
    </w:p>
    <w:p w14:paraId="1C5EBDAC">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3.5 </w:t>
      </w:r>
      <w:r>
        <w:rPr>
          <w:rFonts w:hint="eastAsia" w:asciiTheme="minorEastAsia" w:hAnsiTheme="minorEastAsia" w:eastAsiaTheme="minorEastAsia"/>
          <w:color w:val="000000" w:themeColor="text1"/>
          <w14:textFill>
            <w14:solidFill>
              <w14:schemeClr w14:val="tx1"/>
            </w14:solidFill>
          </w14:textFill>
        </w:rPr>
        <w:t>乙方必须接受甲方管理人员对施工现场安全生产的指导、监督，服从甲方管理人员的指挥。</w:t>
      </w:r>
    </w:p>
    <w:p w14:paraId="12854089">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3.6 </w:t>
      </w:r>
      <w:r>
        <w:rPr>
          <w:rFonts w:hint="eastAsia" w:asciiTheme="minorEastAsia" w:hAnsiTheme="minorEastAsia" w:eastAsiaTheme="minorEastAsia"/>
          <w:color w:val="000000" w:themeColor="text1"/>
          <w14:textFill>
            <w14:solidFill>
              <w14:schemeClr w14:val="tx1"/>
            </w14:solidFill>
          </w14:textFill>
        </w:rPr>
        <w:t>乙方应配合甲方建立安全保证体系。</w:t>
      </w:r>
    </w:p>
    <w:p w14:paraId="3AE5DC5C">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3.7 </w:t>
      </w:r>
      <w:r>
        <w:rPr>
          <w:rFonts w:hint="eastAsia" w:asciiTheme="minorEastAsia" w:hAnsiTheme="minorEastAsia" w:eastAsiaTheme="minorEastAsia"/>
          <w:color w:val="000000" w:themeColor="text1"/>
          <w14:textFill>
            <w14:solidFill>
              <w14:schemeClr w14:val="tx1"/>
            </w14:solidFill>
          </w14:textFill>
        </w:rPr>
        <w:t>乙方应在所招用农民工进场前组织对农民工的进场的三级安全教育，教育内容不限于安全生产教育、合理合法维权方法及上述有关内容，要积极组织相关考试，并将教育情况、考试情况录入劳务实名制管理平台，并配合甲方项目部做好入场教育。</w:t>
      </w:r>
    </w:p>
    <w:p w14:paraId="6B2C4626">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乙方每日进入施工现场前，必须进行班前教育。</w:t>
      </w:r>
    </w:p>
    <w:p w14:paraId="3C62FCE9">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乙方应接受甲方对安全教育的监督，并配合甲方自行组织的教育活动开展。</w:t>
      </w:r>
    </w:p>
    <w:p w14:paraId="73B21E2F">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乙方班组长应参加甲方组织的周安全教育和警示教育。</w:t>
      </w:r>
    </w:p>
    <w:p w14:paraId="431B0384">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3.8 </w:t>
      </w:r>
      <w:r>
        <w:rPr>
          <w:rFonts w:hint="eastAsia" w:asciiTheme="minorEastAsia" w:hAnsiTheme="minorEastAsia" w:eastAsiaTheme="minorEastAsia"/>
          <w:color w:val="000000" w:themeColor="text1"/>
          <w14:textFill>
            <w14:solidFill>
              <w14:schemeClr w14:val="tx1"/>
            </w14:solidFill>
          </w14:textFill>
        </w:rPr>
        <w:t>乙方随时接受并配合甲方对安全措施落实执行情况的检查、并按照甲方要求对检查出的问题进行整改，落实到人。</w:t>
      </w:r>
    </w:p>
    <w:p w14:paraId="0C430C3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3.9 </w:t>
      </w:r>
      <w:r>
        <w:rPr>
          <w:rFonts w:hint="eastAsia" w:asciiTheme="minorEastAsia" w:hAnsiTheme="minorEastAsia" w:eastAsiaTheme="minorEastAsia"/>
          <w:color w:val="000000" w:themeColor="text1"/>
          <w14:textFill>
            <w14:solidFill>
              <w14:schemeClr w14:val="tx1"/>
            </w14:solidFill>
          </w14:textFill>
        </w:rPr>
        <w:t>乙方要配合甲方落实好“进入施工现场必须佩戴安全帽”，可能涉及高处作业人员应佩戴安全带、每日组织班前安全教育活动、“行为安全之星”评选等管理制度或措施。</w:t>
      </w:r>
    </w:p>
    <w:p w14:paraId="52B14013">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3.10 </w:t>
      </w:r>
      <w:r>
        <w:rPr>
          <w:rFonts w:hint="eastAsia" w:asciiTheme="minorEastAsia" w:hAnsiTheme="minorEastAsia" w:eastAsiaTheme="minorEastAsia"/>
          <w:color w:val="000000" w:themeColor="text1"/>
          <w14:textFill>
            <w14:solidFill>
              <w14:schemeClr w14:val="tx1"/>
            </w14:solidFill>
          </w14:textFill>
        </w:rPr>
        <w:t>乙方需严格落实十项“零容忍”安全隐患及其他相关安全管理制度。严格按照甲方关于重大危险源管控的相关要求，遵守重大危险源管控流程，做好危险源日常管理。</w:t>
      </w:r>
    </w:p>
    <w:p w14:paraId="0812B81E">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3.11 </w:t>
      </w:r>
      <w:r>
        <w:rPr>
          <w:rFonts w:hint="eastAsia" w:asciiTheme="minorEastAsia" w:hAnsiTheme="minorEastAsia" w:eastAsiaTheme="minorEastAsia"/>
          <w:color w:val="000000" w:themeColor="text1"/>
          <w14:textFill>
            <w14:solidFill>
              <w14:schemeClr w14:val="tx1"/>
            </w14:solidFill>
          </w14:textFill>
        </w:rPr>
        <w:t>若乙方未执行</w:t>
      </w:r>
      <w:r>
        <w:rPr>
          <w:rFonts w:asciiTheme="minorEastAsia" w:hAnsiTheme="minorEastAsia" w:eastAsiaTheme="minorEastAsia"/>
          <w:color w:val="000000" w:themeColor="text1"/>
          <w14:textFill>
            <w14:solidFill>
              <w14:schemeClr w14:val="tx1"/>
            </w14:solidFill>
          </w14:textFill>
        </w:rPr>
        <w:t>3.2-3.10的任一约定，每发现一次乙方需向甲方支付【2000】元惩罚性违约金。</w:t>
      </w:r>
    </w:p>
    <w:p w14:paraId="3F09E083">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3.12 </w:t>
      </w:r>
      <w:r>
        <w:rPr>
          <w:rFonts w:hint="eastAsia" w:asciiTheme="minorEastAsia" w:hAnsiTheme="minorEastAsia" w:eastAsiaTheme="minorEastAsia"/>
          <w:color w:val="000000" w:themeColor="text1"/>
          <w14:textFill>
            <w14:solidFill>
              <w14:schemeClr w14:val="tx1"/>
            </w14:solidFill>
          </w14:textFill>
        </w:rPr>
        <w:t>如在本工程中发生安全事故，应立即向甲方报告，并做出书面记录或影像资料，重大事故按规定上报有关部门，如因乙方未及时报告，导致甲方被行政部门问责或被连带起诉，每发生一次乙方需向甲方支付违约金【</w:t>
      </w:r>
      <w:r>
        <w:rPr>
          <w:rFonts w:asciiTheme="minorEastAsia" w:hAnsiTheme="minorEastAsia" w:eastAsiaTheme="minorEastAsia"/>
          <w:color w:val="000000" w:themeColor="text1"/>
          <w14:textFill>
            <w14:solidFill>
              <w14:schemeClr w14:val="tx1"/>
            </w14:solidFill>
          </w14:textFill>
        </w:rPr>
        <w:t>5000】元。事故发生后，乙方应全力出人出资组织抢救，防止事态扩大，并支付抢救、医疗、赔偿金等相关费用，做好受害方安抚工作。若乙方不及时支付费用，在任何第三方证明下，甲方可先行垫付，该费用从应付款项中扣除。且每发生一次按垫付数额的【3】</w:t>
      </w:r>
      <w:r>
        <w:rPr>
          <w:rFonts w:hint="eastAsia" w:asciiTheme="minorEastAsia" w:hAnsiTheme="minorEastAsia" w:eastAsiaTheme="minorEastAsia"/>
          <w:color w:val="000000" w:themeColor="text1"/>
          <w14:textFill>
            <w14:solidFill>
              <w14:schemeClr w14:val="tx1"/>
            </w14:solidFill>
          </w14:textFill>
        </w:rPr>
        <w:t>倍向甲方支付违约金，如果违约金不足以弥补甲方损失的，乙方还应承担赔偿责任。</w:t>
      </w:r>
    </w:p>
    <w:p w14:paraId="7753E035">
      <w:pPr>
        <w:pStyle w:val="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（四）职业健康</w:t>
      </w:r>
    </w:p>
    <w:p w14:paraId="6A7C30E8">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4.1 </w:t>
      </w:r>
      <w:r>
        <w:rPr>
          <w:rFonts w:hint="eastAsia" w:asciiTheme="minorEastAsia" w:hAnsiTheme="minorEastAsia" w:eastAsiaTheme="minorEastAsia"/>
          <w:color w:val="000000" w:themeColor="text1"/>
          <w14:textFill>
            <w14:solidFill>
              <w14:schemeClr w14:val="tx1"/>
            </w14:solidFill>
          </w14:textFill>
        </w:rPr>
        <w:t>乙方应按法律规定安排分包作业人员的劳动和休息时间，保证其雇佣人员享有休息和休假的权利。</w:t>
      </w:r>
    </w:p>
    <w:p w14:paraId="1E57515E">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4.2 </w:t>
      </w:r>
      <w:r>
        <w:rPr>
          <w:rFonts w:hint="eastAsia" w:asciiTheme="minorEastAsia" w:hAnsiTheme="minorEastAsia" w:eastAsiaTheme="minorEastAsia"/>
          <w:color w:val="000000" w:themeColor="text1"/>
          <w14:textFill>
            <w14:solidFill>
              <w14:schemeClr w14:val="tx1"/>
            </w14:solidFill>
          </w14:textFill>
        </w:rPr>
        <w:t>如果甲方提供住宿，则甲方应为乙方雇用的分包作业人员提供必要的临建板房。甲方应按工程所在地行政管理机关的标准和要求对分包作业人员的宿舍和食堂进行管理。</w:t>
      </w:r>
    </w:p>
    <w:p w14:paraId="3B951BF6">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4.3 </w:t>
      </w:r>
      <w:r>
        <w:rPr>
          <w:rFonts w:hint="eastAsia" w:asciiTheme="minorEastAsia" w:hAnsiTheme="minorEastAsia" w:eastAsiaTheme="minorEastAsia"/>
          <w:color w:val="000000" w:themeColor="text1"/>
          <w14:textFill>
            <w14:solidFill>
              <w14:schemeClr w14:val="tx1"/>
            </w14:solidFill>
          </w14:textFill>
        </w:rPr>
        <w:t>乙方应按照行政管理机关的要求为外来务工人员办理暂住证等一切所需证件。</w:t>
      </w:r>
    </w:p>
    <w:p w14:paraId="10B241FF">
      <w:pPr>
        <w:pStyle w:val="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（五）环境保护</w:t>
      </w:r>
    </w:p>
    <w:p w14:paraId="251E911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合同履行期间，乙方应采取合理措施保护分包作业现场环境。对分包作业过程中可能引起的大气、水、噪音以及固体废物等污染采取具体可行的防范措施，确保符合甲方的环境管理体系目标和要求。乙方应当遵守甲方关于分包作业现场环境保护的要求。</w:t>
      </w:r>
    </w:p>
    <w:p w14:paraId="5B839822">
      <w:pPr>
        <w:widowControl/>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乙方应承担因其原因引起的环境污染侵权损害赔偿责任，因上述环境污染引起纠纷而导致分包作业暂停的，由此增加的费用和（或）延误的工期由乙方承担。</w:t>
      </w:r>
    </w:p>
    <w:p w14:paraId="64BC970E">
      <w:pPr>
        <w:pStyle w:val="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（六）文明施工</w:t>
      </w:r>
    </w:p>
    <w:p w14:paraId="0DA15D3B">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乙方应严格执行建设主管部门及环保、环卫、消防等有关部门对施工现场管理的规定及甲方的有关管理制度和</w:t>
      </w:r>
      <w:r>
        <w:rPr>
          <w:rFonts w:asciiTheme="minorEastAsia" w:hAnsiTheme="minorEastAsia" w:eastAsiaTheme="minorEastAsia"/>
          <w:color w:val="000000" w:themeColor="text1"/>
          <w14:textFill>
            <w14:solidFill>
              <w14:schemeClr w14:val="tx1"/>
            </w14:solidFill>
          </w14:textFill>
        </w:rPr>
        <w:t>CI标化工地标准，确保现场管理达标，创造标化工地。</w:t>
      </w:r>
    </w:p>
    <w:p w14:paraId="45D39387">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6.1</w:t>
      </w:r>
      <w:r>
        <w:rPr>
          <w:rFonts w:asciiTheme="minorEastAsia" w:hAnsiTheme="minorEastAsia" w:eastAsiaTheme="minorEastAsia"/>
          <w:color w:val="000000" w:themeColor="text1"/>
          <w14:textFill>
            <w14:solidFill>
              <w14:schemeClr w14:val="tx1"/>
            </w14:solidFill>
          </w14:textFill>
        </w:rPr>
        <w:t>按甲方的统一规划搭设临时设施，分类整齐堆放材料、机具，挂牌标识。</w:t>
      </w:r>
    </w:p>
    <w:p w14:paraId="634582DC">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6.2</w:t>
      </w:r>
      <w:r>
        <w:rPr>
          <w:rFonts w:asciiTheme="minorEastAsia" w:hAnsiTheme="minorEastAsia" w:eastAsiaTheme="minorEastAsia"/>
          <w:color w:val="000000" w:themeColor="text1"/>
          <w14:textFill>
            <w14:solidFill>
              <w14:schemeClr w14:val="tx1"/>
            </w14:solidFill>
          </w14:textFill>
        </w:rPr>
        <w:t>按标化工地要求完成场地硬化覆盖，设置标牌，做好现场美化，做到</w:t>
      </w:r>
      <w:r>
        <w:rPr>
          <w:rFonts w:hint="eastAsia" w:asciiTheme="minorEastAsia" w:hAnsiTheme="minorEastAsia" w:eastAsiaTheme="minorEastAsia"/>
          <w:color w:val="000000" w:themeColor="text1"/>
          <w14:textFill>
            <w14:solidFill>
              <w14:schemeClr w14:val="tx1"/>
            </w14:solidFill>
          </w14:textFill>
        </w:rPr>
        <w:t>每天工完场清，保持现场整洁。</w:t>
      </w:r>
    </w:p>
    <w:p w14:paraId="2BDD8E64">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w:t>
      </w:r>
      <w:r>
        <w:rPr>
          <w:rFonts w:asciiTheme="minorEastAsia" w:hAnsiTheme="minorEastAsia" w:eastAsiaTheme="minorEastAsia"/>
          <w:color w:val="000000" w:themeColor="text1"/>
          <w14:textFill>
            <w14:solidFill>
              <w14:schemeClr w14:val="tx1"/>
            </w14:solidFill>
          </w14:textFill>
        </w:rPr>
        <w:t>乙方进场后，派专人负责工作面及生活区卫生清理工作，并将垃圾清理装车运输到甲方指定位置满足甲方项目管理要求。否则，甲方有权安排其他人完成此项工作，相关费用由乙方承担。负责施工现场的垃圾清理、堆放、装车工作，做到工完场清。</w:t>
      </w:r>
    </w:p>
    <w:p w14:paraId="40D890F6">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6.4</w:t>
      </w:r>
      <w:r>
        <w:rPr>
          <w:rFonts w:asciiTheme="minorEastAsia" w:hAnsiTheme="minorEastAsia" w:eastAsiaTheme="minorEastAsia"/>
          <w:color w:val="000000" w:themeColor="text1"/>
          <w14:textFill>
            <w14:solidFill>
              <w14:schemeClr w14:val="tx1"/>
            </w14:solidFill>
          </w14:textFill>
        </w:rPr>
        <w:t>乙方施工现场人员服装，由甲方统一提供样式，或由甲方统一订制，费用由乙方承担。乙方应做好生活区管理，做好自身责任区的治安保卫工作。</w:t>
      </w:r>
    </w:p>
    <w:p w14:paraId="15242098">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6.5</w:t>
      </w:r>
      <w:r>
        <w:rPr>
          <w:rFonts w:asciiTheme="minorEastAsia" w:hAnsiTheme="minorEastAsia" w:eastAsiaTheme="minorEastAsia"/>
          <w:color w:val="000000" w:themeColor="text1"/>
          <w14:textFill>
            <w14:solidFill>
              <w14:schemeClr w14:val="tx1"/>
            </w14:solidFill>
          </w14:textFill>
        </w:rPr>
        <w:t>按甲方要求设置消防设施，负责自用部分消防设施的费用。乙方负责该消防设施的维护、保管，损坏照价赔偿。</w:t>
      </w:r>
    </w:p>
    <w:p w14:paraId="2F1EA939">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6.6</w:t>
      </w:r>
      <w:r>
        <w:rPr>
          <w:rFonts w:asciiTheme="minorEastAsia" w:hAnsiTheme="minorEastAsia" w:eastAsiaTheme="minorEastAsia"/>
          <w:color w:val="000000" w:themeColor="text1"/>
          <w14:textFill>
            <w14:solidFill>
              <w14:schemeClr w14:val="tx1"/>
            </w14:solidFill>
          </w14:textFill>
        </w:rPr>
        <w:t>因乙方原因文明施工、标化工地达不到要求，甲方有权要求乙方赔偿全部损失，并从乙方进度款中扣除安全文明施工费。</w:t>
      </w:r>
    </w:p>
    <w:p w14:paraId="6C68FEBB">
      <w:pPr>
        <w:pStyle w:val="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（七）绿色施工</w:t>
      </w:r>
    </w:p>
    <w:p w14:paraId="3F19391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乙方必须遵守国家、当地政府部门的有关绿色施工的规定、标准和要求，定期对自有管理人员及劳务工人进行绿色施工法规、技术知识培训等，并接受相关单位的监督管理。</w:t>
      </w:r>
    </w:p>
    <w:p w14:paraId="7A8FEED2">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乙方应按照相关行政管理规定，建立绿色施工组织架构和绿色施工管理体系，设专人负责绿色施工管理工作，责任落实到人，并保证有效运行，真正做到“四节一环保”即：节水、节能、节地、节材和环境保护。</w:t>
      </w:r>
    </w:p>
    <w:p w14:paraId="2160ABA3">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1）建筑余料应合理使用：施工现场建筑余料要合理利用，如混凝土用于</w:t>
      </w:r>
      <w:r>
        <w:rPr>
          <w:rFonts w:hint="eastAsia" w:asciiTheme="minorEastAsia" w:hAnsiTheme="minorEastAsia" w:eastAsiaTheme="minorEastAsia"/>
          <w:color w:val="000000" w:themeColor="text1"/>
          <w14:textFill>
            <w14:solidFill>
              <w14:schemeClr w14:val="tx1"/>
            </w14:solidFill>
          </w14:textFill>
        </w:rPr>
        <w:t>制作路牙石，预制过梁等，钢筋制作马镫，定位筋等；</w:t>
      </w:r>
    </w:p>
    <w:p w14:paraId="4AA4E7E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2）板材、块材等下脚料和撒落混凝土及砂浆应科学利用：下脚料等分规格</w:t>
      </w:r>
      <w:r>
        <w:rPr>
          <w:rFonts w:hint="eastAsia" w:asciiTheme="minorEastAsia" w:hAnsiTheme="minorEastAsia" w:eastAsiaTheme="minorEastAsia"/>
          <w:color w:val="000000" w:themeColor="text1"/>
          <w14:textFill>
            <w14:solidFill>
              <w14:schemeClr w14:val="tx1"/>
            </w14:solidFill>
          </w14:textFill>
        </w:rPr>
        <w:t>后合理进行利用；</w:t>
      </w:r>
    </w:p>
    <w:p w14:paraId="4038B57F">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3）混凝土养护和砂浆搅拌用水应合理，应有节水措施：混凝土养护宜采用覆膜养护或喷雾养护等节水措施；</w:t>
      </w:r>
    </w:p>
    <w:p w14:paraId="46D9512F">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4）管网和用水器具不应有渗漏：对管网及用水器具要定期进行检查维修；</w:t>
      </w:r>
    </w:p>
    <w:p w14:paraId="33401E87">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5）对施工现场的生产、生活、办公和主要耗能施工设备应设有节能的控制措施：主要耗能设备要有自动控制等相关控制措施，避免造成能源浪费；</w:t>
      </w:r>
    </w:p>
    <w:p w14:paraId="634D5AF0">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6）国家、行业、地方政府明令淘汰的施工设备、机具和产品不应使用：施工现场严禁使用国家明令淘汰的用能设备及生产工艺；</w:t>
      </w:r>
    </w:p>
    <w:p w14:paraId="411A2AEB">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7）应采用节能型设施：现场临电设备、小型机具、照明灯具等应采用带有国家能源效率标识的产品；</w:t>
      </w:r>
    </w:p>
    <w:p w14:paraId="796BC49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8）临时用电应设置合理，管理制度应齐全并应落实到位：施工现场临时用电要规范，制定相关管理制度，有专人负责；</w:t>
      </w:r>
    </w:p>
    <w:p w14:paraId="2A074E1E">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9）应采用能源利用效率高的施工机械设备：现场施工应选用功率与负载相匹配的施工机械设备；</w:t>
      </w:r>
    </w:p>
    <w:p w14:paraId="5C2C292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10）施工机具资源应共享：合理进行施工平面布置，塔吊、加工厂等要充分考虑多区域共同利用；</w:t>
      </w:r>
    </w:p>
    <w:p w14:paraId="359FDFB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11）应定期监控重点耗能设备的能源利用情况，并有记录：塔吊、施工电梯等重点耗能设备要单独安装电表；</w:t>
      </w:r>
    </w:p>
    <w:p w14:paraId="6C201D62">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12）建筑材料的选用应缩短运输距离，减少能源消耗：500km以内的建筑材料用量</w:t>
      </w:r>
      <w:r>
        <w:rPr>
          <w:rFonts w:hint="eastAsia" w:asciiTheme="minorEastAsia" w:hAnsiTheme="minorEastAsia" w:eastAsiaTheme="minorEastAsia"/>
          <w:color w:val="000000" w:themeColor="text1"/>
          <w14:textFill>
            <w14:solidFill>
              <w14:schemeClr w14:val="tx1"/>
            </w14:solidFill>
          </w14:textFill>
        </w:rPr>
        <w:t>占施工使用的建筑材料总重量的</w:t>
      </w:r>
      <w:r>
        <w:rPr>
          <w:rFonts w:asciiTheme="minorEastAsia" w:hAnsiTheme="minorEastAsia" w:eastAsiaTheme="minorEastAsia"/>
          <w:color w:val="000000" w:themeColor="text1"/>
          <w14:textFill>
            <w14:solidFill>
              <w14:schemeClr w14:val="tx1"/>
            </w14:solidFill>
          </w14:textFill>
        </w:rPr>
        <w:t>70%以上；</w:t>
      </w:r>
    </w:p>
    <w:p w14:paraId="2C921925">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13）应采用能耗少的施工工艺：改进施工工艺，节能降耗。如采用逆作法等，降低扬尘及</w:t>
      </w:r>
      <w:r>
        <w:rPr>
          <w:rFonts w:hint="eastAsia" w:asciiTheme="minorEastAsia" w:hAnsiTheme="minorEastAsia" w:eastAsiaTheme="minorEastAsia"/>
          <w:color w:val="000000" w:themeColor="text1"/>
          <w14:textFill>
            <w14:solidFill>
              <w14:schemeClr w14:val="tx1"/>
            </w14:solidFill>
          </w14:textFill>
        </w:rPr>
        <w:t>噪音、减少材料消耗、避免使用大型设备能源；</w:t>
      </w:r>
    </w:p>
    <w:p w14:paraId="5E5DF4ED">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14）应合理安排施工工序和施工进度：在既定施工目标条件下，做到均衡施工、流水施工。特别要避免突击赶工期造成的无序施工、人力物力财力浪费等现象</w:t>
      </w:r>
      <w:r>
        <w:rPr>
          <w:rFonts w:hint="eastAsia" w:asciiTheme="minorEastAsia" w:hAnsiTheme="minorEastAsia" w:eastAsiaTheme="minorEastAsia"/>
          <w:color w:val="000000" w:themeColor="text1"/>
          <w14:textFill>
            <w14:solidFill>
              <w14:schemeClr w14:val="tx1"/>
            </w14:solidFill>
          </w14:textFill>
        </w:rPr>
        <w:t>。</w:t>
      </w:r>
    </w:p>
    <w:p w14:paraId="0D7B6FFF">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分包人进场后应知悉发包人对承包人的工程管理方面相关条款要求，发包人对分包人的要求与发包人对承包人同类要求不一致时，按更严格的条款执行。</w:t>
      </w:r>
    </w:p>
    <w:p w14:paraId="4AF554CB">
      <w:pPr>
        <w:widowControl/>
        <w:ind w:firstLine="480" w:firstLineChars="200"/>
        <w:jc w:val="left"/>
        <w:rPr>
          <w:rFonts w:asciiTheme="minorEastAsia" w:hAnsiTheme="minorEastAsia" w:eastAsiaTheme="minorEastAsia"/>
          <w:color w:val="000000" w:themeColor="text1"/>
          <w14:textFill>
            <w14:solidFill>
              <w14:schemeClr w14:val="tx1"/>
            </w14:solidFill>
          </w14:textFill>
        </w:rPr>
      </w:pPr>
      <w:r>
        <w:rPr>
          <w:rFonts w:ascii="Times New Roman" w:hAnsi="Times New Roman" w:eastAsiaTheme="minorEastAsia"/>
          <w:color w:val="000000" w:themeColor="text1"/>
          <w14:textFill>
            <w14:solidFill>
              <w14:schemeClr w14:val="tx1"/>
            </w14:solidFill>
          </w14:textFill>
        </w:rPr>
        <w:t> </w:t>
      </w:r>
      <w:r>
        <w:rPr>
          <w:rFonts w:asciiTheme="minorEastAsia" w:hAnsiTheme="minorEastAsia" w:eastAsiaTheme="minorEastAsia"/>
          <w:color w:val="000000" w:themeColor="text1"/>
          <w14:textFill>
            <w14:solidFill>
              <w14:schemeClr w14:val="tx1"/>
            </w14:solidFill>
          </w14:textFill>
        </w:rPr>
        <w:br w:type="page"/>
      </w:r>
    </w:p>
    <w:p w14:paraId="5998DCD0">
      <w:pPr>
        <w:pStyle w:val="3"/>
        <w:spacing w:before="0" w:after="0" w:line="240" w:lineRule="auto"/>
        <w:rPr>
          <w:rFonts w:ascii="仿宋" w:hAnsi="仿宋" w:eastAsia="仿宋" w:cs="宋体"/>
          <w:color w:val="000000" w:themeColor="text1"/>
          <w:sz w:val="36"/>
          <w:szCs w:val="28"/>
          <w14:textFill>
            <w14:solidFill>
              <w14:schemeClr w14:val="tx1"/>
            </w14:solidFill>
          </w14:textFill>
        </w:rPr>
      </w:pPr>
      <w:bookmarkStart w:id="908" w:name="_Toc27989"/>
      <w:bookmarkStart w:id="909" w:name="_Toc31486"/>
      <w:r>
        <w:rPr>
          <w:rFonts w:hint="eastAsia" w:ascii="仿宋" w:hAnsi="仿宋" w:eastAsia="仿宋" w:cs="宋体"/>
          <w:color w:val="000000" w:themeColor="text1"/>
          <w:sz w:val="36"/>
          <w:szCs w:val="28"/>
          <w14:textFill>
            <w14:solidFill>
              <w14:schemeClr w14:val="tx1"/>
            </w14:solidFill>
          </w14:textFill>
        </w:rPr>
        <w:t>三 违约责任</w:t>
      </w:r>
      <w:bookmarkEnd w:id="908"/>
      <w:bookmarkEnd w:id="909"/>
    </w:p>
    <w:p w14:paraId="5B30D456">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发生分包人违约行为，本合同中同时具备多项条款时，按更高者、对分包人更严格的条款执行，且所有违约处理承包人、发包人有权直接从当期应支付于分包人的工程款中直接扣除，不足部分由分包人补足。分包人还应赔偿因其违约行为造成承包人、发包人的全部损失；</w:t>
      </w:r>
    </w:p>
    <w:p w14:paraId="0F5653E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安全生产相关违约责任详见附件《施工现场安全生产协议书》相关约定；</w:t>
      </w:r>
    </w:p>
    <w:p w14:paraId="28FCFB43">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工期进度类相关违约金为暂扣，如竣工备案完成节点能按照目标节点完成，则此前工期节点延误相关暂扣违约金分包人可以申请返还，如竣工备案完成节点不能按照目标节点完成，则前期暂扣违约金不予返还。</w:t>
      </w:r>
    </w:p>
    <w:p w14:paraId="638E90DE">
      <w:pPr>
        <w:ind w:firstLine="482" w:firstLineChars="200"/>
        <w:rPr>
          <w:rFonts w:asciiTheme="minorEastAsia" w:hAnsiTheme="minorEastAsia" w:eastAsiaTheme="minorEastAsia"/>
          <w:b/>
          <w:bCs/>
          <w:color w:val="000000" w:themeColor="text1"/>
          <w:szCs w:val="28"/>
          <w14:textFill>
            <w14:solidFill>
              <w14:schemeClr w14:val="tx1"/>
            </w14:solidFill>
          </w14:textFill>
        </w:rPr>
      </w:pPr>
      <w:r>
        <w:rPr>
          <w:rFonts w:hint="eastAsia" w:asciiTheme="minorEastAsia" w:hAnsiTheme="minorEastAsia" w:eastAsiaTheme="minorEastAsia"/>
          <w:b/>
          <w:bCs/>
          <w:color w:val="000000" w:themeColor="text1"/>
          <w:szCs w:val="28"/>
          <w14:textFill>
            <w14:solidFill>
              <w14:schemeClr w14:val="tx1"/>
            </w14:solidFill>
          </w14:textFill>
        </w:rPr>
        <w:t>3.1分包人对发包人相关违约责任：</w:t>
      </w:r>
    </w:p>
    <w:tbl>
      <w:tblPr>
        <w:tblStyle w:val="41"/>
        <w:tblW w:w="4864" w:type="pct"/>
        <w:tblInd w:w="5" w:type="dxa"/>
        <w:tblLayout w:type="fixed"/>
        <w:tblCellMar>
          <w:top w:w="0" w:type="dxa"/>
          <w:left w:w="108" w:type="dxa"/>
          <w:bottom w:w="0" w:type="dxa"/>
          <w:right w:w="108" w:type="dxa"/>
        </w:tblCellMar>
      </w:tblPr>
      <w:tblGrid>
        <w:gridCol w:w="700"/>
        <w:gridCol w:w="4391"/>
        <w:gridCol w:w="3392"/>
      </w:tblGrid>
      <w:tr w14:paraId="61D46B46">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193B1A8">
            <w:pPr>
              <w:rPr>
                <w:color w:val="000000"/>
                <w:szCs w:val="24"/>
              </w:rPr>
            </w:pPr>
            <w:r>
              <w:rPr>
                <w:rFonts w:hint="eastAsia"/>
                <w:color w:val="000000"/>
                <w:szCs w:val="24"/>
              </w:rPr>
              <w:t>序号</w:t>
            </w:r>
          </w:p>
        </w:tc>
        <w:tc>
          <w:tcPr>
            <w:tcW w:w="2588" w:type="pct"/>
            <w:tcBorders>
              <w:top w:val="single" w:color="000000" w:sz="4" w:space="0"/>
              <w:left w:val="single" w:color="000000" w:sz="4" w:space="0"/>
              <w:bottom w:val="single" w:color="000000" w:sz="4" w:space="0"/>
              <w:right w:val="single" w:color="000000" w:sz="4" w:space="0"/>
            </w:tcBorders>
            <w:vAlign w:val="center"/>
          </w:tcPr>
          <w:p w14:paraId="5C1E4670">
            <w:pPr>
              <w:rPr>
                <w:color w:val="000000"/>
                <w:szCs w:val="24"/>
              </w:rPr>
            </w:pPr>
            <w:r>
              <w:rPr>
                <w:rFonts w:hint="eastAsia"/>
                <w:color w:val="000000"/>
                <w:szCs w:val="24"/>
              </w:rPr>
              <w:t>内容</w:t>
            </w:r>
          </w:p>
        </w:tc>
        <w:tc>
          <w:tcPr>
            <w:tcW w:w="1998" w:type="pct"/>
            <w:tcBorders>
              <w:top w:val="single" w:color="000000" w:sz="4" w:space="0"/>
              <w:left w:val="single" w:color="000000" w:sz="4" w:space="0"/>
              <w:bottom w:val="single" w:color="000000" w:sz="4" w:space="0"/>
              <w:right w:val="single" w:color="000000" w:sz="4" w:space="0"/>
            </w:tcBorders>
            <w:vAlign w:val="center"/>
          </w:tcPr>
          <w:p w14:paraId="7A246BFA">
            <w:pPr>
              <w:rPr>
                <w:color w:val="000000"/>
                <w:szCs w:val="24"/>
              </w:rPr>
            </w:pPr>
            <w:r>
              <w:rPr>
                <w:rFonts w:hint="eastAsia"/>
                <w:color w:val="000000"/>
                <w:szCs w:val="24"/>
              </w:rPr>
              <w:t>违约处理</w:t>
            </w:r>
          </w:p>
        </w:tc>
      </w:tr>
      <w:tr w14:paraId="547404FD">
        <w:tblPrEx>
          <w:tblCellMar>
            <w:top w:w="0" w:type="dxa"/>
            <w:left w:w="108" w:type="dxa"/>
            <w:bottom w:w="0" w:type="dxa"/>
            <w:right w:w="108" w:type="dxa"/>
          </w:tblCellMar>
        </w:tblPrEx>
        <w:trPr>
          <w:trHeight w:val="40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5DC7D6B5">
            <w:pPr>
              <w:jc w:val="center"/>
              <w:rPr>
                <w:color w:val="000000"/>
                <w:szCs w:val="24"/>
              </w:rPr>
            </w:pPr>
            <w:r>
              <w:rPr>
                <w:rFonts w:hint="eastAsia"/>
                <w:color w:val="000000"/>
                <w:szCs w:val="24"/>
              </w:rPr>
              <w:t>人员管理相关违约责任</w:t>
            </w:r>
          </w:p>
        </w:tc>
      </w:tr>
      <w:tr w14:paraId="1EEFF6CF">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927DCB6">
            <w:pPr>
              <w:rPr>
                <w:rFonts w:ascii="仿宋" w:hAnsi="仿宋" w:eastAsia="仿宋" w:cs="仿宋"/>
                <w:kern w:val="0"/>
                <w:szCs w:val="24"/>
              </w:rPr>
            </w:pPr>
            <w:r>
              <w:rPr>
                <w:rFonts w:hint="eastAsia"/>
                <w:color w:val="000000"/>
                <w:sz w:val="22"/>
              </w:rPr>
              <w:t>1</w:t>
            </w:r>
          </w:p>
        </w:tc>
        <w:tc>
          <w:tcPr>
            <w:tcW w:w="2588" w:type="pct"/>
            <w:tcBorders>
              <w:top w:val="single" w:color="000000" w:sz="4" w:space="0"/>
              <w:left w:val="single" w:color="000000" w:sz="4" w:space="0"/>
              <w:bottom w:val="single" w:color="000000" w:sz="4" w:space="0"/>
              <w:right w:val="single" w:color="000000" w:sz="4" w:space="0"/>
            </w:tcBorders>
            <w:vAlign w:val="center"/>
          </w:tcPr>
          <w:p w14:paraId="30D03532">
            <w:pPr>
              <w:rPr>
                <w:rFonts w:ascii="仿宋" w:hAnsi="仿宋" w:eastAsia="仿宋" w:cs="仿宋"/>
                <w:kern w:val="0"/>
                <w:szCs w:val="24"/>
              </w:rPr>
            </w:pPr>
            <w:r>
              <w:rPr>
                <w:rFonts w:hint="eastAsia" w:ascii="宋体" w:hAnsi="宋体" w:cs="宋体"/>
                <w:color w:val="000000"/>
                <w:lang w:bidi="ar"/>
              </w:rPr>
              <w:t>经承包人、监理人、发包人审核明确的主要管理人员，未经发包人书面同意不得擅自变更，开工时或施工过程中若有擅自变更，则分包人应向发包人支付的违约金</w:t>
            </w:r>
            <w:r>
              <w:rPr>
                <w:rFonts w:hint="eastAsia" w:cs="宋体"/>
                <w:color w:val="000000"/>
                <w:lang w:bidi="ar"/>
              </w:rPr>
              <w:t>。</w:t>
            </w:r>
            <w:r>
              <w:rPr>
                <w:rFonts w:hint="eastAsia" w:ascii="仿宋" w:hAnsi="仿宋" w:eastAsia="仿宋" w:cs="仿宋"/>
                <w:kern w:val="0"/>
                <w:szCs w:val="24"/>
              </w:rPr>
              <w:t xml:space="preserve"> </w:t>
            </w:r>
          </w:p>
        </w:tc>
        <w:tc>
          <w:tcPr>
            <w:tcW w:w="1998" w:type="pct"/>
            <w:tcBorders>
              <w:top w:val="single" w:color="000000" w:sz="4" w:space="0"/>
              <w:left w:val="single" w:color="000000" w:sz="4" w:space="0"/>
              <w:bottom w:val="single" w:color="000000" w:sz="4" w:space="0"/>
              <w:right w:val="single" w:color="000000" w:sz="4" w:space="0"/>
            </w:tcBorders>
            <w:vAlign w:val="center"/>
          </w:tcPr>
          <w:p w14:paraId="55C0F6D7">
            <w:pPr>
              <w:textAlignment w:val="center"/>
              <w:rPr>
                <w:rFonts w:ascii="宋体" w:hAnsi="宋体" w:cs="宋体"/>
                <w:color w:val="000000"/>
                <w:lang w:bidi="ar"/>
              </w:rPr>
            </w:pPr>
            <w:r>
              <w:rPr>
                <w:rFonts w:hint="eastAsia" w:ascii="宋体" w:hAnsi="宋体" w:cs="宋体"/>
                <w:color w:val="000000"/>
                <w:lang w:bidi="ar"/>
              </w:rPr>
              <w:t xml:space="preserve">①擅自更换项目负责人违约金20万元／次； </w:t>
            </w:r>
          </w:p>
          <w:p w14:paraId="6B9CEEFC">
            <w:pPr>
              <w:textAlignment w:val="center"/>
              <w:rPr>
                <w:rFonts w:ascii="宋体" w:hAnsi="宋体" w:cs="宋体"/>
                <w:color w:val="000000"/>
                <w:lang w:bidi="ar"/>
              </w:rPr>
            </w:pPr>
            <w:r>
              <w:rPr>
                <w:rFonts w:hint="eastAsia" w:ascii="宋体" w:hAnsi="宋体" w:cs="宋体"/>
                <w:color w:val="000000"/>
                <w:lang w:bidi="ar"/>
              </w:rPr>
              <w:t xml:space="preserve">②擅自更换技术负责人违约金10万元／次； </w:t>
            </w:r>
          </w:p>
          <w:p w14:paraId="5FFE4B86">
            <w:pPr>
              <w:rPr>
                <w:rFonts w:ascii="宋体" w:hAnsi="宋体" w:cs="宋体"/>
                <w:color w:val="000000"/>
                <w:lang w:bidi="ar"/>
              </w:rPr>
            </w:pPr>
            <w:r>
              <w:rPr>
                <w:rFonts w:hint="eastAsia" w:ascii="宋体" w:hAnsi="宋体" w:cs="宋体"/>
                <w:color w:val="000000"/>
                <w:lang w:bidi="ar"/>
              </w:rPr>
              <w:t>③擅自更换项目副经理、设计经理、质量总监、安全总监、商务经理违约金5万元／次；</w:t>
            </w:r>
          </w:p>
        </w:tc>
      </w:tr>
      <w:tr w14:paraId="7476CEF3">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528235E">
            <w:pPr>
              <w:rPr>
                <w:rFonts w:ascii="仿宋" w:hAnsi="仿宋" w:eastAsia="仿宋" w:cs="仿宋"/>
                <w:kern w:val="0"/>
                <w:szCs w:val="24"/>
              </w:rPr>
            </w:pPr>
            <w:r>
              <w:rPr>
                <w:rFonts w:hint="eastAsia"/>
                <w:color w:val="000000"/>
                <w:sz w:val="22"/>
              </w:rPr>
              <w:t>2</w:t>
            </w:r>
          </w:p>
        </w:tc>
        <w:tc>
          <w:tcPr>
            <w:tcW w:w="2588" w:type="pct"/>
            <w:tcBorders>
              <w:top w:val="single" w:color="000000" w:sz="4" w:space="0"/>
              <w:left w:val="single" w:color="000000" w:sz="4" w:space="0"/>
              <w:bottom w:val="single" w:color="000000" w:sz="4" w:space="0"/>
              <w:right w:val="single" w:color="000000" w:sz="4" w:space="0"/>
            </w:tcBorders>
            <w:vAlign w:val="center"/>
          </w:tcPr>
          <w:p w14:paraId="3E0E9945">
            <w:pPr>
              <w:rPr>
                <w:rFonts w:ascii="仿宋" w:hAnsi="仿宋" w:eastAsia="仿宋" w:cs="仿宋"/>
                <w:kern w:val="0"/>
                <w:szCs w:val="24"/>
              </w:rPr>
            </w:pPr>
            <w:r>
              <w:rPr>
                <w:rFonts w:hint="eastAsia" w:ascii="宋体" w:hAnsi="宋体" w:cs="宋体"/>
                <w:color w:val="000000"/>
                <w:lang w:bidi="ar"/>
              </w:rPr>
              <w:t>发包人书面通知分包人更换不称职的项目负责人、技术负责人、项目副经理等主要管理人员的，承包人应在收到发包人书面通知后14个日历天内完成更换，同时须向发包人支付违约金。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121DAF1B">
            <w:pPr>
              <w:textAlignment w:val="center"/>
              <w:rPr>
                <w:rFonts w:ascii="宋体" w:hAnsi="宋体" w:cs="宋体"/>
                <w:color w:val="000000"/>
                <w:lang w:bidi="ar"/>
              </w:rPr>
            </w:pPr>
            <w:r>
              <w:rPr>
                <w:rFonts w:hint="eastAsia" w:ascii="宋体" w:hAnsi="宋体" w:cs="宋体"/>
                <w:color w:val="000000"/>
                <w:lang w:bidi="ar"/>
              </w:rPr>
              <w:t xml:space="preserve">①更换项目负责人违约金20万元／次； </w:t>
            </w:r>
          </w:p>
          <w:p w14:paraId="3E922026">
            <w:pPr>
              <w:textAlignment w:val="center"/>
              <w:rPr>
                <w:rFonts w:ascii="宋体" w:hAnsi="宋体" w:cs="宋体"/>
                <w:color w:val="000000"/>
                <w:lang w:bidi="ar"/>
              </w:rPr>
            </w:pPr>
            <w:r>
              <w:rPr>
                <w:rFonts w:hint="eastAsia" w:ascii="宋体" w:hAnsi="宋体" w:cs="宋体"/>
                <w:color w:val="000000"/>
                <w:lang w:bidi="ar"/>
              </w:rPr>
              <w:t xml:space="preserve">②更换技术负责人违约金10万元／次； </w:t>
            </w:r>
          </w:p>
          <w:p w14:paraId="608CBA91">
            <w:pPr>
              <w:rPr>
                <w:rFonts w:ascii="仿宋" w:hAnsi="仿宋" w:eastAsia="仿宋" w:cs="仿宋"/>
                <w:kern w:val="0"/>
                <w:szCs w:val="24"/>
              </w:rPr>
            </w:pPr>
            <w:r>
              <w:rPr>
                <w:rFonts w:hint="eastAsia" w:ascii="宋体" w:hAnsi="宋体" w:cs="宋体"/>
                <w:color w:val="000000"/>
                <w:lang w:bidi="ar"/>
              </w:rPr>
              <w:t>③更换项目副经理、深化设计负责人、质量总监、安全总监、商务经理违约金5万元／次；</w:t>
            </w:r>
          </w:p>
        </w:tc>
      </w:tr>
      <w:tr w14:paraId="6A8DAE0E">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2938D14">
            <w:pPr>
              <w:rPr>
                <w:rFonts w:ascii="仿宋" w:hAnsi="仿宋" w:eastAsia="仿宋" w:cs="仿宋"/>
                <w:kern w:val="0"/>
                <w:szCs w:val="24"/>
              </w:rPr>
            </w:pPr>
            <w:r>
              <w:rPr>
                <w:rFonts w:hint="eastAsia" w:ascii="仿宋" w:hAnsi="仿宋" w:eastAsia="仿宋" w:cs="仿宋"/>
                <w:kern w:val="0"/>
                <w:szCs w:val="24"/>
              </w:rPr>
              <w:t>3</w:t>
            </w:r>
          </w:p>
        </w:tc>
        <w:tc>
          <w:tcPr>
            <w:tcW w:w="2588" w:type="pct"/>
            <w:tcBorders>
              <w:top w:val="single" w:color="000000" w:sz="4" w:space="0"/>
              <w:left w:val="single" w:color="000000" w:sz="4" w:space="0"/>
              <w:bottom w:val="single" w:color="000000" w:sz="4" w:space="0"/>
              <w:right w:val="single" w:color="000000" w:sz="4" w:space="0"/>
            </w:tcBorders>
            <w:vAlign w:val="center"/>
          </w:tcPr>
          <w:p w14:paraId="0FD7BE2E">
            <w:pPr>
              <w:rPr>
                <w:rFonts w:ascii="仿宋" w:hAnsi="仿宋" w:eastAsia="仿宋" w:cs="仿宋"/>
                <w:kern w:val="0"/>
                <w:szCs w:val="24"/>
              </w:rPr>
            </w:pPr>
            <w:r>
              <w:rPr>
                <w:rFonts w:hint="eastAsia" w:ascii="宋体" w:hAnsi="宋体" w:cs="宋体"/>
                <w:color w:val="000000"/>
                <w:lang w:bidi="ar"/>
              </w:rPr>
              <w:t>项目负责人、技术负责人、生产负责人等主要管理人员①因重病或重伤（持有三甲医院证明）两个月以上不能履行职责的；②主动辞职或调离原工作单位的；③无能力履行合同的责任和义务，造成严重后果，发包人要求更换的；④因违法被责令停止执业的；⑤因涉嫌犯罪被羁押或判刑的，经发包人同意后允许更换，不记录不良行为，发包人有权要求分包人支付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7806EBE8">
            <w:pPr>
              <w:textAlignment w:val="center"/>
              <w:rPr>
                <w:rFonts w:ascii="宋体" w:hAnsi="宋体" w:cs="宋体"/>
                <w:color w:val="000000"/>
                <w:lang w:bidi="ar"/>
              </w:rPr>
            </w:pPr>
            <w:r>
              <w:rPr>
                <w:rFonts w:hint="eastAsia" w:ascii="宋体" w:hAnsi="宋体" w:cs="宋体"/>
                <w:color w:val="000000"/>
                <w:lang w:bidi="ar"/>
              </w:rPr>
              <w:t xml:space="preserve">①更换项目负责人违约金10万元／次； </w:t>
            </w:r>
          </w:p>
          <w:p w14:paraId="27D02572">
            <w:pPr>
              <w:textAlignment w:val="center"/>
              <w:rPr>
                <w:rFonts w:ascii="宋体" w:hAnsi="宋体" w:cs="宋体"/>
                <w:color w:val="000000"/>
                <w:lang w:bidi="ar"/>
              </w:rPr>
            </w:pPr>
            <w:r>
              <w:rPr>
                <w:rFonts w:hint="eastAsia" w:ascii="宋体" w:hAnsi="宋体" w:cs="宋体"/>
                <w:color w:val="000000"/>
                <w:lang w:bidi="ar"/>
              </w:rPr>
              <w:t xml:space="preserve">②更换技术负责人违约金5万元／次； </w:t>
            </w:r>
          </w:p>
          <w:p w14:paraId="4EA273EB">
            <w:pPr>
              <w:rPr>
                <w:rFonts w:ascii="仿宋" w:hAnsi="仿宋" w:eastAsia="仿宋" w:cs="仿宋"/>
                <w:kern w:val="0"/>
                <w:szCs w:val="24"/>
              </w:rPr>
            </w:pPr>
            <w:r>
              <w:rPr>
                <w:rFonts w:hint="eastAsia" w:ascii="宋体" w:hAnsi="宋体" w:cs="宋体"/>
                <w:color w:val="000000"/>
                <w:lang w:bidi="ar"/>
              </w:rPr>
              <w:t>③更换项目副经理、深化设计负责人、质量总监、安全总监、商务经理违约金3万元／次；</w:t>
            </w:r>
          </w:p>
        </w:tc>
      </w:tr>
      <w:tr w14:paraId="4CF924AA">
        <w:tblPrEx>
          <w:tblCellMar>
            <w:top w:w="0" w:type="dxa"/>
            <w:left w:w="108" w:type="dxa"/>
            <w:bottom w:w="0" w:type="dxa"/>
            <w:right w:w="108" w:type="dxa"/>
          </w:tblCellMar>
        </w:tblPrEx>
        <w:trPr>
          <w:trHeight w:val="57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45EC48AA">
            <w:pPr>
              <w:jc w:val="center"/>
              <w:rPr>
                <w:rFonts w:ascii="仿宋" w:hAnsi="仿宋" w:eastAsia="仿宋" w:cs="仿宋"/>
                <w:kern w:val="0"/>
                <w:szCs w:val="24"/>
              </w:rPr>
            </w:pPr>
            <w:r>
              <w:rPr>
                <w:rFonts w:hint="eastAsia"/>
                <w:color w:val="000000"/>
                <w:szCs w:val="24"/>
              </w:rPr>
              <w:t>工期相关违约责任</w:t>
            </w:r>
          </w:p>
        </w:tc>
      </w:tr>
      <w:tr w14:paraId="32E568DB">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85029E4">
            <w:pPr>
              <w:rPr>
                <w:rFonts w:ascii="仿宋" w:hAnsi="仿宋" w:eastAsia="仿宋" w:cs="仿宋"/>
                <w:kern w:val="0"/>
                <w:szCs w:val="24"/>
              </w:rPr>
            </w:pPr>
            <w:r>
              <w:rPr>
                <w:rFonts w:hint="eastAsia" w:ascii="仿宋" w:hAnsi="仿宋" w:eastAsia="仿宋" w:cs="仿宋"/>
                <w:kern w:val="0"/>
                <w:szCs w:val="24"/>
              </w:rPr>
              <w:t>1</w:t>
            </w:r>
          </w:p>
        </w:tc>
        <w:tc>
          <w:tcPr>
            <w:tcW w:w="2588" w:type="pct"/>
            <w:tcBorders>
              <w:top w:val="single" w:color="000000" w:sz="4" w:space="0"/>
              <w:left w:val="single" w:color="000000" w:sz="4" w:space="0"/>
              <w:bottom w:val="single" w:color="000000" w:sz="4" w:space="0"/>
              <w:right w:val="single" w:color="000000" w:sz="4" w:space="0"/>
            </w:tcBorders>
            <w:vAlign w:val="center"/>
          </w:tcPr>
          <w:p w14:paraId="4605B914">
            <w:pPr>
              <w:rPr>
                <w:rFonts w:ascii="宋体" w:hAnsi="宋体" w:cs="宋体"/>
                <w:color w:val="000000"/>
                <w:lang w:bidi="ar"/>
              </w:rPr>
            </w:pPr>
            <w:r>
              <w:rPr>
                <w:rFonts w:hint="eastAsia" w:ascii="宋体" w:hAnsi="宋体" w:cs="宋体"/>
                <w:color w:val="000000"/>
                <w:lang w:bidi="ar"/>
              </w:rPr>
              <w:t>因分包人原因造成的，项目整体未在合同约定时间节点完成项目竣工备案（联合验收），发包人有权要求分包人承担违约金。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3CFC858F">
            <w:pPr>
              <w:rPr>
                <w:rFonts w:ascii="宋体" w:hAnsi="宋体" w:cs="宋体"/>
                <w:color w:val="000000"/>
                <w:lang w:bidi="ar"/>
              </w:rPr>
            </w:pPr>
            <w:r>
              <w:rPr>
                <w:rFonts w:hint="eastAsia" w:ascii="宋体" w:hAnsi="宋体" w:cs="宋体"/>
                <w:color w:val="000000"/>
                <w:lang w:bidi="ar"/>
              </w:rPr>
              <w:t>延误1万元/天，上限为合同价款的5%。</w:t>
            </w:r>
          </w:p>
        </w:tc>
      </w:tr>
      <w:tr w14:paraId="53035496">
        <w:tblPrEx>
          <w:tblCellMar>
            <w:top w:w="0" w:type="dxa"/>
            <w:left w:w="108" w:type="dxa"/>
            <w:bottom w:w="0" w:type="dxa"/>
            <w:right w:w="108" w:type="dxa"/>
          </w:tblCellMar>
        </w:tblPrEx>
        <w:trPr>
          <w:trHeight w:val="57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6CF1A8FA">
            <w:pPr>
              <w:jc w:val="center"/>
              <w:rPr>
                <w:rFonts w:ascii="仿宋" w:hAnsi="仿宋" w:eastAsia="仿宋" w:cs="仿宋"/>
                <w:kern w:val="0"/>
                <w:szCs w:val="24"/>
              </w:rPr>
            </w:pPr>
            <w:r>
              <w:rPr>
                <w:rFonts w:hint="eastAsia"/>
                <w:color w:val="000000"/>
                <w:szCs w:val="24"/>
              </w:rPr>
              <w:t>项目目标相关违约责任</w:t>
            </w:r>
          </w:p>
        </w:tc>
      </w:tr>
      <w:tr w14:paraId="30798996">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47504F5">
            <w:pPr>
              <w:rPr>
                <w:rFonts w:ascii="仿宋" w:hAnsi="仿宋" w:eastAsia="仿宋" w:cs="仿宋"/>
                <w:kern w:val="0"/>
                <w:szCs w:val="24"/>
              </w:rPr>
            </w:pPr>
            <w:r>
              <w:rPr>
                <w:rFonts w:hint="eastAsia" w:ascii="仿宋" w:hAnsi="仿宋" w:eastAsia="仿宋" w:cs="仿宋"/>
                <w:kern w:val="0"/>
                <w:szCs w:val="24"/>
              </w:rPr>
              <w:t>1</w:t>
            </w:r>
          </w:p>
        </w:tc>
        <w:tc>
          <w:tcPr>
            <w:tcW w:w="2588" w:type="pct"/>
            <w:tcBorders>
              <w:top w:val="single" w:color="000000" w:sz="4" w:space="0"/>
              <w:left w:val="single" w:color="000000" w:sz="4" w:space="0"/>
              <w:bottom w:val="single" w:color="000000" w:sz="4" w:space="0"/>
              <w:right w:val="single" w:color="000000" w:sz="4" w:space="0"/>
            </w:tcBorders>
            <w:vAlign w:val="center"/>
          </w:tcPr>
          <w:p w14:paraId="4B1A67B3">
            <w:pPr>
              <w:rPr>
                <w:rFonts w:ascii="宋体" w:hAnsi="宋体" w:cs="宋体"/>
                <w:color w:val="000000"/>
                <w:lang w:bidi="ar"/>
              </w:rPr>
            </w:pPr>
            <w:r>
              <w:rPr>
                <w:rFonts w:hint="eastAsia" w:ascii="宋体" w:hAnsi="宋体" w:cs="宋体"/>
                <w:color w:val="000000"/>
                <w:lang w:bidi="ar"/>
              </w:rPr>
              <w:t>项目未获得广东省优秀建筑装饰工程奖，因分包人原因造成的，发包人有权要求分包人承担违约金。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046239F4">
            <w:pPr>
              <w:rPr>
                <w:rFonts w:ascii="宋体" w:hAnsi="宋体" w:cs="宋体"/>
                <w:color w:val="000000"/>
                <w:lang w:bidi="ar"/>
              </w:rPr>
            </w:pPr>
            <w:r>
              <w:rPr>
                <w:rFonts w:hint="eastAsia" w:ascii="宋体" w:hAnsi="宋体" w:cs="宋体"/>
                <w:color w:val="000000"/>
                <w:lang w:bidi="ar"/>
              </w:rPr>
              <w:t>10万元</w:t>
            </w:r>
          </w:p>
        </w:tc>
      </w:tr>
      <w:tr w14:paraId="05712460">
        <w:tblPrEx>
          <w:tblCellMar>
            <w:top w:w="0" w:type="dxa"/>
            <w:left w:w="108" w:type="dxa"/>
            <w:bottom w:w="0" w:type="dxa"/>
            <w:right w:w="108" w:type="dxa"/>
          </w:tblCellMar>
        </w:tblPrEx>
        <w:trPr>
          <w:trHeight w:val="142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504DF74">
            <w:pPr>
              <w:rPr>
                <w:rFonts w:ascii="仿宋" w:hAnsi="仿宋" w:eastAsia="仿宋" w:cs="仿宋"/>
                <w:kern w:val="0"/>
                <w:szCs w:val="24"/>
              </w:rPr>
            </w:pPr>
            <w:r>
              <w:rPr>
                <w:rFonts w:hint="eastAsia" w:ascii="仿宋" w:hAnsi="仿宋" w:eastAsia="仿宋" w:cs="仿宋"/>
                <w:kern w:val="0"/>
                <w:szCs w:val="24"/>
              </w:rPr>
              <w:t>2</w:t>
            </w:r>
          </w:p>
        </w:tc>
        <w:tc>
          <w:tcPr>
            <w:tcW w:w="2588" w:type="pct"/>
            <w:tcBorders>
              <w:top w:val="single" w:color="000000" w:sz="4" w:space="0"/>
              <w:left w:val="single" w:color="000000" w:sz="4" w:space="0"/>
              <w:bottom w:val="single" w:color="000000" w:sz="4" w:space="0"/>
              <w:right w:val="single" w:color="000000" w:sz="4" w:space="0"/>
            </w:tcBorders>
            <w:vAlign w:val="center"/>
          </w:tcPr>
          <w:p w14:paraId="1597EF12">
            <w:pPr>
              <w:rPr>
                <w:rFonts w:ascii="宋体" w:hAnsi="宋体" w:cs="宋体"/>
                <w:color w:val="000000"/>
                <w:lang w:bidi="ar"/>
              </w:rPr>
            </w:pPr>
            <w:r>
              <w:rPr>
                <w:rFonts w:hint="eastAsia" w:ascii="宋体" w:hAnsi="宋体" w:cs="宋体"/>
                <w:color w:val="000000"/>
                <w:lang w:bidi="ar"/>
              </w:rPr>
              <w:t>项目未获得广东省建设工程金匠奖，因分包人原因造成的，发包人有权要求分包人承担违约金。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19A24B7E">
            <w:pPr>
              <w:rPr>
                <w:rFonts w:ascii="宋体" w:hAnsi="宋体" w:cs="宋体"/>
                <w:color w:val="000000"/>
                <w:lang w:bidi="ar"/>
              </w:rPr>
            </w:pPr>
            <w:r>
              <w:rPr>
                <w:rFonts w:hint="eastAsia" w:ascii="宋体" w:hAnsi="宋体" w:cs="宋体"/>
                <w:color w:val="000000"/>
                <w:lang w:bidi="ar"/>
              </w:rPr>
              <w:t>5万元</w:t>
            </w:r>
          </w:p>
        </w:tc>
      </w:tr>
      <w:tr w14:paraId="5C140319">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42D105F">
            <w:pPr>
              <w:rPr>
                <w:rFonts w:ascii="仿宋" w:hAnsi="仿宋" w:eastAsia="仿宋" w:cs="仿宋"/>
                <w:kern w:val="0"/>
                <w:szCs w:val="24"/>
              </w:rPr>
            </w:pPr>
            <w:r>
              <w:rPr>
                <w:rFonts w:hint="eastAsia" w:ascii="仿宋" w:hAnsi="仿宋" w:eastAsia="仿宋" w:cs="仿宋"/>
                <w:kern w:val="0"/>
                <w:szCs w:val="24"/>
              </w:rPr>
              <w:t>3</w:t>
            </w:r>
          </w:p>
        </w:tc>
        <w:tc>
          <w:tcPr>
            <w:tcW w:w="2588" w:type="pct"/>
            <w:tcBorders>
              <w:top w:val="single" w:color="000000" w:sz="4" w:space="0"/>
              <w:left w:val="single" w:color="000000" w:sz="4" w:space="0"/>
              <w:bottom w:val="single" w:color="000000" w:sz="4" w:space="0"/>
              <w:right w:val="single" w:color="000000" w:sz="4" w:space="0"/>
            </w:tcBorders>
            <w:vAlign w:val="center"/>
          </w:tcPr>
          <w:p w14:paraId="11EB5FA0">
            <w:pPr>
              <w:rPr>
                <w:rFonts w:ascii="宋体" w:hAnsi="宋体" w:cs="宋体"/>
                <w:color w:val="000000"/>
                <w:lang w:bidi="ar"/>
              </w:rPr>
            </w:pPr>
            <w:r>
              <w:rPr>
                <w:rFonts w:hint="eastAsia" w:ascii="宋体" w:hAnsi="宋体" w:cs="宋体"/>
                <w:color w:val="000000"/>
                <w:lang w:bidi="ar"/>
              </w:rPr>
              <w:t>项目未获得广东省安全文明双优工地，因分包人原因造成的，发包人有权要求分包人承担违约金。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44270E2B">
            <w:pPr>
              <w:rPr>
                <w:rFonts w:ascii="宋体" w:hAnsi="宋体" w:cs="宋体"/>
                <w:color w:val="000000"/>
                <w:lang w:bidi="ar"/>
              </w:rPr>
            </w:pPr>
            <w:r>
              <w:rPr>
                <w:rFonts w:hint="eastAsia" w:ascii="宋体" w:hAnsi="宋体" w:cs="宋体"/>
                <w:color w:val="000000"/>
                <w:lang w:bidi="ar"/>
              </w:rPr>
              <w:t>5万元</w:t>
            </w:r>
          </w:p>
        </w:tc>
      </w:tr>
      <w:tr w14:paraId="0B32004D">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654C378">
            <w:pPr>
              <w:rPr>
                <w:rFonts w:ascii="仿宋" w:hAnsi="仿宋" w:eastAsia="仿宋" w:cs="仿宋"/>
                <w:kern w:val="0"/>
                <w:szCs w:val="24"/>
              </w:rPr>
            </w:pPr>
            <w:r>
              <w:rPr>
                <w:rFonts w:hint="eastAsia" w:ascii="仿宋" w:hAnsi="仿宋" w:eastAsia="仿宋" w:cs="仿宋"/>
                <w:kern w:val="0"/>
                <w:szCs w:val="24"/>
              </w:rPr>
              <w:t>4</w:t>
            </w:r>
          </w:p>
        </w:tc>
        <w:tc>
          <w:tcPr>
            <w:tcW w:w="2588" w:type="pct"/>
            <w:tcBorders>
              <w:top w:val="single" w:color="000000" w:sz="4" w:space="0"/>
              <w:left w:val="single" w:color="000000" w:sz="4" w:space="0"/>
              <w:bottom w:val="single" w:color="000000" w:sz="4" w:space="0"/>
              <w:right w:val="single" w:color="000000" w:sz="4" w:space="0"/>
            </w:tcBorders>
            <w:vAlign w:val="center"/>
          </w:tcPr>
          <w:p w14:paraId="6C59A4AA">
            <w:pPr>
              <w:rPr>
                <w:rFonts w:ascii="宋体" w:hAnsi="宋体" w:cs="宋体"/>
                <w:color w:val="000000"/>
                <w:lang w:bidi="ar"/>
              </w:rPr>
            </w:pPr>
            <w:r>
              <w:rPr>
                <w:rFonts w:hint="eastAsia" w:ascii="宋体" w:hAnsi="宋体" w:cs="宋体"/>
                <w:color w:val="000000"/>
                <w:lang w:bidi="ar"/>
              </w:rPr>
              <w:t>项目未获得国标绿建二星评价，因分包人原因造成的，发包人有权要求分包人承担违约金。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3CE886E7">
            <w:pPr>
              <w:rPr>
                <w:rFonts w:ascii="宋体" w:hAnsi="宋体" w:cs="宋体"/>
                <w:color w:val="000000"/>
                <w:lang w:bidi="ar"/>
              </w:rPr>
            </w:pPr>
            <w:r>
              <w:rPr>
                <w:rFonts w:hint="eastAsia" w:ascii="宋体" w:hAnsi="宋体" w:cs="宋体"/>
                <w:color w:val="000000"/>
                <w:lang w:bidi="ar"/>
              </w:rPr>
              <w:t>10万元</w:t>
            </w:r>
          </w:p>
        </w:tc>
      </w:tr>
      <w:tr w14:paraId="4716A0B2">
        <w:tblPrEx>
          <w:tblCellMar>
            <w:top w:w="0" w:type="dxa"/>
            <w:left w:w="108" w:type="dxa"/>
            <w:bottom w:w="0" w:type="dxa"/>
            <w:right w:w="108" w:type="dxa"/>
          </w:tblCellMar>
        </w:tblPrEx>
        <w:trPr>
          <w:trHeight w:val="57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20D8DE89">
            <w:pPr>
              <w:jc w:val="center"/>
              <w:rPr>
                <w:rFonts w:ascii="宋体" w:hAnsi="宋体" w:cs="宋体"/>
                <w:color w:val="000000"/>
                <w:lang w:bidi="ar"/>
              </w:rPr>
            </w:pPr>
            <w:r>
              <w:rPr>
                <w:rFonts w:hint="eastAsia" w:asciiTheme="minorEastAsia" w:hAnsiTheme="minorEastAsia" w:eastAsiaTheme="minorEastAsia"/>
                <w:b/>
                <w:bCs/>
                <w:color w:val="000000" w:themeColor="text1"/>
                <w:sz w:val="22"/>
                <w:szCs w:val="24"/>
                <w14:textFill>
                  <w14:solidFill>
                    <w14:schemeClr w14:val="tx1"/>
                  </w14:solidFill>
                </w14:textFill>
              </w:rPr>
              <w:t>成</w:t>
            </w:r>
            <w:r>
              <w:rPr>
                <w:rFonts w:hint="eastAsia"/>
                <w:color w:val="000000"/>
                <w:szCs w:val="24"/>
              </w:rPr>
              <w:t>本违约责任</w:t>
            </w:r>
          </w:p>
        </w:tc>
      </w:tr>
      <w:tr w14:paraId="58C3E678">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D5668B7">
            <w:pPr>
              <w:rPr>
                <w:color w:val="000000"/>
                <w:sz w:val="22"/>
              </w:rPr>
            </w:pPr>
            <w:r>
              <w:rPr>
                <w:rFonts w:hint="eastAsia"/>
                <w:color w:val="000000"/>
                <w:sz w:val="22"/>
              </w:rPr>
              <w:t>1</w:t>
            </w:r>
          </w:p>
        </w:tc>
        <w:tc>
          <w:tcPr>
            <w:tcW w:w="2588" w:type="pct"/>
            <w:tcBorders>
              <w:top w:val="single" w:color="000000" w:sz="4" w:space="0"/>
              <w:left w:val="single" w:color="000000" w:sz="4" w:space="0"/>
              <w:bottom w:val="single" w:color="000000" w:sz="4" w:space="0"/>
              <w:right w:val="single" w:color="000000" w:sz="4" w:space="0"/>
            </w:tcBorders>
            <w:vAlign w:val="center"/>
          </w:tcPr>
          <w:p w14:paraId="54C33493">
            <w:pPr>
              <w:rPr>
                <w:color w:val="000000"/>
                <w:sz w:val="22"/>
              </w:rPr>
            </w:pPr>
            <w:r>
              <w:rPr>
                <w:rFonts w:hint="eastAsia"/>
                <w:color w:val="000000"/>
                <w:sz w:val="22"/>
              </w:rPr>
              <w:t>发包人有权发出指令要求变更，经承包人书面确认后，分包人不得拒绝，发包人通过承包人通知分包人后，分包人拒绝施工的，发包人有权要求承包人将该部分工程另行委托其它施工单位完成，分包人应向发包人承担违约责任。</w:t>
            </w:r>
          </w:p>
        </w:tc>
        <w:tc>
          <w:tcPr>
            <w:tcW w:w="1998" w:type="pct"/>
            <w:tcBorders>
              <w:top w:val="single" w:color="000000" w:sz="4" w:space="0"/>
              <w:left w:val="single" w:color="000000" w:sz="4" w:space="0"/>
              <w:bottom w:val="single" w:color="000000" w:sz="4" w:space="0"/>
              <w:right w:val="single" w:color="000000" w:sz="4" w:space="0"/>
            </w:tcBorders>
            <w:vAlign w:val="center"/>
          </w:tcPr>
          <w:p w14:paraId="3291744C">
            <w:pPr>
              <w:rPr>
                <w:color w:val="FF0000"/>
                <w:sz w:val="22"/>
              </w:rPr>
            </w:pPr>
            <w:r>
              <w:rPr>
                <w:rFonts w:hint="eastAsia"/>
                <w:color w:val="000000"/>
                <w:sz w:val="22"/>
              </w:rPr>
              <w:t>承担该部分工程费用30%的违约金。</w:t>
            </w:r>
          </w:p>
        </w:tc>
      </w:tr>
      <w:tr w14:paraId="4D3D6A1F">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51AFC23">
            <w:pPr>
              <w:rPr>
                <w:rFonts w:ascii="仿宋" w:hAnsi="仿宋" w:eastAsia="仿宋" w:cs="仿宋"/>
                <w:kern w:val="0"/>
                <w:szCs w:val="24"/>
              </w:rPr>
            </w:pPr>
            <w:r>
              <w:rPr>
                <w:rFonts w:hint="eastAsia"/>
                <w:sz w:val="22"/>
              </w:rPr>
              <w:t>2</w:t>
            </w:r>
          </w:p>
        </w:tc>
        <w:tc>
          <w:tcPr>
            <w:tcW w:w="2588" w:type="pct"/>
            <w:tcBorders>
              <w:top w:val="single" w:color="000000" w:sz="4" w:space="0"/>
              <w:left w:val="single" w:color="000000" w:sz="4" w:space="0"/>
              <w:bottom w:val="single" w:color="000000" w:sz="4" w:space="0"/>
              <w:right w:val="single" w:color="000000" w:sz="4" w:space="0"/>
            </w:tcBorders>
            <w:vAlign w:val="center"/>
          </w:tcPr>
          <w:p w14:paraId="74C13127">
            <w:pPr>
              <w:rPr>
                <w:rFonts w:ascii="仿宋" w:hAnsi="仿宋" w:eastAsia="仿宋" w:cs="仿宋"/>
                <w:kern w:val="0"/>
                <w:szCs w:val="24"/>
              </w:rPr>
            </w:pPr>
            <w:r>
              <w:rPr>
                <w:rFonts w:hint="eastAsia"/>
                <w:sz w:val="22"/>
              </w:rPr>
              <w:t>如设计变更未经发包人批准或承包人书面确认的，分包人安排施工，分包人按次向发包人承担违约责任，如因设计变更不合理，其施工费用、恢复费用、延误工期及由此造成的损失由分包人承担。</w:t>
            </w:r>
          </w:p>
        </w:tc>
        <w:tc>
          <w:tcPr>
            <w:tcW w:w="1998" w:type="pct"/>
            <w:tcBorders>
              <w:top w:val="single" w:color="000000" w:sz="4" w:space="0"/>
              <w:left w:val="single" w:color="000000" w:sz="4" w:space="0"/>
              <w:bottom w:val="single" w:color="000000" w:sz="4" w:space="0"/>
              <w:right w:val="single" w:color="000000" w:sz="4" w:space="0"/>
            </w:tcBorders>
            <w:vAlign w:val="center"/>
          </w:tcPr>
          <w:p w14:paraId="704AEB4F">
            <w:pPr>
              <w:rPr>
                <w:rFonts w:ascii="仿宋" w:hAnsi="仿宋" w:eastAsia="仿宋" w:cs="仿宋"/>
                <w:kern w:val="0"/>
                <w:szCs w:val="24"/>
              </w:rPr>
            </w:pPr>
            <w:r>
              <w:rPr>
                <w:rFonts w:hint="eastAsia"/>
                <w:sz w:val="22"/>
              </w:rPr>
              <w:t>5000元/次</w:t>
            </w:r>
          </w:p>
        </w:tc>
      </w:tr>
      <w:tr w14:paraId="3C0A603F">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84AF8B9">
            <w:pPr>
              <w:rPr>
                <w:rFonts w:ascii="仿宋" w:hAnsi="仿宋" w:eastAsia="仿宋" w:cs="仿宋"/>
                <w:kern w:val="0"/>
                <w:szCs w:val="24"/>
              </w:rPr>
            </w:pPr>
            <w:r>
              <w:rPr>
                <w:rFonts w:hint="eastAsia" w:ascii="仿宋" w:hAnsi="仿宋" w:eastAsia="仿宋" w:cs="仿宋"/>
                <w:kern w:val="0"/>
                <w:szCs w:val="24"/>
              </w:rPr>
              <w:t>3</w:t>
            </w:r>
          </w:p>
        </w:tc>
        <w:tc>
          <w:tcPr>
            <w:tcW w:w="2588" w:type="pct"/>
            <w:tcBorders>
              <w:top w:val="single" w:color="000000" w:sz="4" w:space="0"/>
              <w:left w:val="single" w:color="000000" w:sz="4" w:space="0"/>
              <w:bottom w:val="single" w:color="000000" w:sz="4" w:space="0"/>
              <w:right w:val="single" w:color="000000" w:sz="4" w:space="0"/>
            </w:tcBorders>
            <w:vAlign w:val="center"/>
          </w:tcPr>
          <w:p w14:paraId="1704CDAA">
            <w:pPr>
              <w:rPr>
                <w:rFonts w:ascii="宋体" w:hAnsi="宋体" w:cs="宋体"/>
                <w:lang w:bidi="ar"/>
              </w:rPr>
            </w:pPr>
            <w:r>
              <w:rPr>
                <w:rFonts w:hint="eastAsia"/>
                <w:sz w:val="22"/>
              </w:rPr>
              <w:t>当分包人预（结）算的送审价高出发包人审定价在10%（不含本数）~20%（含本数）时</w:t>
            </w:r>
          </w:p>
        </w:tc>
        <w:tc>
          <w:tcPr>
            <w:tcW w:w="1998" w:type="pct"/>
            <w:tcBorders>
              <w:top w:val="single" w:color="000000" w:sz="4" w:space="0"/>
              <w:left w:val="single" w:color="000000" w:sz="4" w:space="0"/>
              <w:bottom w:val="single" w:color="000000" w:sz="4" w:space="0"/>
              <w:right w:val="single" w:color="000000" w:sz="4" w:space="0"/>
            </w:tcBorders>
            <w:vAlign w:val="center"/>
          </w:tcPr>
          <w:p w14:paraId="6AF15510">
            <w:pPr>
              <w:rPr>
                <w:rFonts w:ascii="宋体" w:hAnsi="宋体" w:cs="宋体"/>
                <w:lang w:bidi="ar"/>
              </w:rPr>
            </w:pPr>
            <w:r>
              <w:rPr>
                <w:rFonts w:hint="eastAsia"/>
                <w:sz w:val="22"/>
              </w:rPr>
              <w:t>(分包人预（结）算送审造价－发包人预（结）算审定价×1.1)×5%</w:t>
            </w:r>
          </w:p>
        </w:tc>
      </w:tr>
      <w:tr w14:paraId="398E02FB">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91C76AE">
            <w:pPr>
              <w:rPr>
                <w:rFonts w:ascii="仿宋" w:hAnsi="仿宋" w:eastAsia="仿宋" w:cs="仿宋"/>
                <w:kern w:val="0"/>
                <w:szCs w:val="24"/>
              </w:rPr>
            </w:pPr>
            <w:r>
              <w:rPr>
                <w:rFonts w:hint="eastAsia" w:ascii="仿宋" w:hAnsi="仿宋" w:eastAsia="仿宋" w:cs="仿宋"/>
                <w:kern w:val="0"/>
                <w:szCs w:val="24"/>
              </w:rPr>
              <w:t>4</w:t>
            </w:r>
          </w:p>
        </w:tc>
        <w:tc>
          <w:tcPr>
            <w:tcW w:w="2588" w:type="pct"/>
            <w:tcBorders>
              <w:top w:val="single" w:color="000000" w:sz="4" w:space="0"/>
              <w:left w:val="single" w:color="000000" w:sz="4" w:space="0"/>
              <w:bottom w:val="single" w:color="000000" w:sz="4" w:space="0"/>
              <w:right w:val="single" w:color="000000" w:sz="4" w:space="0"/>
            </w:tcBorders>
            <w:vAlign w:val="center"/>
          </w:tcPr>
          <w:p w14:paraId="4B1B1095">
            <w:pPr>
              <w:rPr>
                <w:rFonts w:ascii="宋体" w:hAnsi="宋体" w:cs="宋体"/>
                <w:lang w:bidi="ar"/>
              </w:rPr>
            </w:pPr>
            <w:r>
              <w:rPr>
                <w:rFonts w:hint="eastAsia"/>
                <w:sz w:val="22"/>
              </w:rPr>
              <w:t>当分包人预（结）算的送审价高出发包人审定价20%以上时，分包人需向发包人支付违约金。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30869D35">
            <w:pPr>
              <w:rPr>
                <w:rFonts w:ascii="宋体" w:hAnsi="宋体" w:cs="宋体"/>
                <w:lang w:bidi="ar"/>
              </w:rPr>
            </w:pPr>
            <w:r>
              <w:rPr>
                <w:rFonts w:hint="eastAsia"/>
                <w:sz w:val="22"/>
              </w:rPr>
              <w:t>违约金＝(分包人预（结）算送审造价－发包人预（结）算审定价×1.2)×10%</w:t>
            </w:r>
          </w:p>
        </w:tc>
      </w:tr>
      <w:tr w14:paraId="400D7560">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AA35453">
            <w:pPr>
              <w:rPr>
                <w:rFonts w:ascii="仿宋" w:hAnsi="仿宋" w:eastAsia="仿宋" w:cs="仿宋"/>
                <w:kern w:val="0"/>
                <w:szCs w:val="24"/>
              </w:rPr>
            </w:pPr>
            <w:r>
              <w:rPr>
                <w:rFonts w:hint="eastAsia" w:ascii="仿宋" w:hAnsi="仿宋" w:eastAsia="仿宋" w:cs="仿宋"/>
                <w:kern w:val="0"/>
                <w:szCs w:val="24"/>
              </w:rPr>
              <w:t>5</w:t>
            </w:r>
          </w:p>
        </w:tc>
        <w:tc>
          <w:tcPr>
            <w:tcW w:w="2588" w:type="pct"/>
            <w:tcBorders>
              <w:top w:val="single" w:color="000000" w:sz="4" w:space="0"/>
              <w:left w:val="single" w:color="000000" w:sz="4" w:space="0"/>
              <w:bottom w:val="single" w:color="000000" w:sz="4" w:space="0"/>
              <w:right w:val="single" w:color="000000" w:sz="4" w:space="0"/>
            </w:tcBorders>
            <w:vAlign w:val="center"/>
          </w:tcPr>
          <w:p w14:paraId="1AF18561">
            <w:pPr>
              <w:rPr>
                <w:rFonts w:ascii="仿宋" w:hAnsi="仿宋" w:eastAsia="仿宋" w:cs="仿宋"/>
                <w:kern w:val="0"/>
                <w:szCs w:val="24"/>
              </w:rPr>
            </w:pPr>
            <w:r>
              <w:rPr>
                <w:rFonts w:hint="eastAsia"/>
                <w:sz w:val="22"/>
              </w:rPr>
              <w:t>分包人拒不配合竣工结算的，发包人有权进行单面结算或委托第三方中介机构结算。结算结果送达分包人后15天内分包人未向承包人反馈结算书面确认信息的，视为分包人已默认并同意结算结果。该等情形下，分包人需向发包人支付违约金，且发包人有权在应付分包人的工程款中直接扣留该款项。</w:t>
            </w:r>
          </w:p>
        </w:tc>
        <w:tc>
          <w:tcPr>
            <w:tcW w:w="1998" w:type="pct"/>
            <w:tcBorders>
              <w:top w:val="single" w:color="000000" w:sz="4" w:space="0"/>
              <w:left w:val="single" w:color="000000" w:sz="4" w:space="0"/>
              <w:bottom w:val="single" w:color="000000" w:sz="4" w:space="0"/>
              <w:right w:val="single" w:color="000000" w:sz="4" w:space="0"/>
            </w:tcBorders>
            <w:vAlign w:val="center"/>
          </w:tcPr>
          <w:p w14:paraId="7712B62A">
            <w:pPr>
              <w:rPr>
                <w:rFonts w:ascii="仿宋" w:hAnsi="仿宋" w:eastAsia="仿宋" w:cs="仿宋"/>
                <w:kern w:val="0"/>
                <w:szCs w:val="24"/>
              </w:rPr>
            </w:pPr>
            <w:r>
              <w:rPr>
                <w:rFonts w:hint="eastAsia"/>
                <w:sz w:val="22"/>
              </w:rPr>
              <w:t>按本合同签约合同价的0.5%支付违约金</w:t>
            </w:r>
          </w:p>
        </w:tc>
      </w:tr>
    </w:tbl>
    <w:p w14:paraId="73661757">
      <w:pPr>
        <w:ind w:firstLine="442" w:firstLineChars="200"/>
        <w:rPr>
          <w:rFonts w:asciiTheme="minorEastAsia" w:hAnsiTheme="minorEastAsia" w:eastAsiaTheme="minorEastAsia"/>
          <w:b/>
          <w:bCs/>
          <w:sz w:val="22"/>
          <w:szCs w:val="24"/>
        </w:rPr>
      </w:pPr>
    </w:p>
    <w:p w14:paraId="7CEFD383">
      <w:pPr>
        <w:ind w:firstLine="482" w:firstLineChars="200"/>
        <w:rPr>
          <w:rFonts w:asciiTheme="minorEastAsia" w:hAnsiTheme="minorEastAsia" w:eastAsiaTheme="minorEastAsia"/>
          <w:b/>
          <w:bCs/>
          <w:szCs w:val="28"/>
        </w:rPr>
      </w:pPr>
      <w:r>
        <w:rPr>
          <w:rFonts w:asciiTheme="minorEastAsia" w:hAnsiTheme="minorEastAsia" w:eastAsiaTheme="minorEastAsia"/>
          <w:b/>
          <w:bCs/>
          <w:szCs w:val="28"/>
        </w:rPr>
        <w:t>3.</w:t>
      </w:r>
      <w:r>
        <w:rPr>
          <w:rFonts w:hint="eastAsia" w:asciiTheme="minorEastAsia" w:hAnsiTheme="minorEastAsia" w:eastAsiaTheme="minorEastAsia"/>
          <w:b/>
          <w:bCs/>
          <w:szCs w:val="28"/>
        </w:rPr>
        <w:t>2分包人对承包人相关</w:t>
      </w:r>
      <w:r>
        <w:rPr>
          <w:rFonts w:asciiTheme="minorEastAsia" w:hAnsiTheme="minorEastAsia" w:eastAsiaTheme="minorEastAsia"/>
          <w:b/>
          <w:bCs/>
          <w:szCs w:val="28"/>
        </w:rPr>
        <w:t>违约责任：</w:t>
      </w:r>
    </w:p>
    <w:tbl>
      <w:tblPr>
        <w:tblStyle w:val="41"/>
        <w:tblW w:w="4994" w:type="pct"/>
        <w:tblInd w:w="5" w:type="dxa"/>
        <w:tblLayout w:type="fixed"/>
        <w:tblCellMar>
          <w:top w:w="0" w:type="dxa"/>
          <w:left w:w="108" w:type="dxa"/>
          <w:bottom w:w="0" w:type="dxa"/>
          <w:right w:w="108" w:type="dxa"/>
        </w:tblCellMar>
      </w:tblPr>
      <w:tblGrid>
        <w:gridCol w:w="720"/>
        <w:gridCol w:w="5847"/>
        <w:gridCol w:w="2143"/>
      </w:tblGrid>
      <w:tr w14:paraId="7A41C316">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52D7F728">
            <w:pPr>
              <w:rPr>
                <w:rFonts w:ascii="仿宋" w:hAnsi="仿宋" w:eastAsia="仿宋" w:cs="仿宋"/>
                <w:b/>
                <w:bCs/>
                <w:kern w:val="0"/>
                <w:szCs w:val="24"/>
              </w:rPr>
            </w:pPr>
            <w:r>
              <w:rPr>
                <w:rFonts w:asciiTheme="minorEastAsia" w:hAnsiTheme="minorEastAsia" w:eastAsiaTheme="minorEastAsia"/>
                <w:b/>
                <w:bCs/>
                <w:sz w:val="22"/>
                <w:szCs w:val="24"/>
              </w:rPr>
              <w:t>3.</w:t>
            </w:r>
            <w:r>
              <w:rPr>
                <w:rFonts w:hint="eastAsia" w:asciiTheme="minorEastAsia" w:hAnsiTheme="minorEastAsia" w:eastAsiaTheme="minorEastAsia"/>
                <w:b/>
                <w:bCs/>
                <w:sz w:val="22"/>
                <w:szCs w:val="24"/>
              </w:rPr>
              <w:t>2.1</w:t>
            </w:r>
            <w:r>
              <w:rPr>
                <w:rFonts w:asciiTheme="minorEastAsia" w:hAnsiTheme="minorEastAsia" w:eastAsiaTheme="minorEastAsia"/>
                <w:b/>
                <w:bCs/>
                <w:sz w:val="22"/>
                <w:szCs w:val="24"/>
              </w:rPr>
              <w:t>人员及组织架构方面的违约责任：</w:t>
            </w:r>
          </w:p>
        </w:tc>
      </w:tr>
      <w:tr w14:paraId="66E70330">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206C882">
            <w:pPr>
              <w:rPr>
                <w:sz w:val="22"/>
              </w:rPr>
            </w:pPr>
            <w:r>
              <w:rPr>
                <w:rFonts w:hint="eastAsia"/>
                <w:sz w:val="22"/>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3E77C0A0">
            <w:pPr>
              <w:rPr>
                <w:sz w:val="22"/>
              </w:rPr>
            </w:pPr>
            <w:r>
              <w:rPr>
                <w:rFonts w:hint="eastAsia"/>
                <w:sz w:val="22"/>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5843904B">
            <w:pPr>
              <w:rPr>
                <w:sz w:val="22"/>
              </w:rPr>
            </w:pPr>
            <w:r>
              <w:rPr>
                <w:rFonts w:hint="eastAsia"/>
                <w:sz w:val="22"/>
              </w:rPr>
              <w:t>违约处理</w:t>
            </w:r>
          </w:p>
        </w:tc>
      </w:tr>
      <w:tr w14:paraId="7449EF2F">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68E4DF6">
            <w:pPr>
              <w:rPr>
                <w:rFonts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2277A461">
            <w:pPr>
              <w:rPr>
                <w:rFonts w:ascii="仿宋" w:hAnsi="仿宋" w:eastAsia="仿宋" w:cs="仿宋"/>
                <w:kern w:val="0"/>
                <w:szCs w:val="24"/>
              </w:rPr>
            </w:pPr>
            <w:r>
              <w:rPr>
                <w:rFonts w:hint="eastAsia"/>
                <w:sz w:val="22"/>
              </w:rPr>
              <w:t>经承包人、发包人和监理人审核明确的其他管理人员，不得擅自变更。开工时或施工过程中若有擅自变更，则分包人应向承包人支付的违约金。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0C49369E">
            <w:pPr>
              <w:rPr>
                <w:rFonts w:ascii="仿宋" w:hAnsi="仿宋" w:eastAsia="仿宋" w:cs="仿宋"/>
                <w:kern w:val="0"/>
                <w:szCs w:val="24"/>
              </w:rPr>
            </w:pPr>
            <w:r>
              <w:rPr>
                <w:rFonts w:hint="eastAsia"/>
                <w:sz w:val="22"/>
              </w:rPr>
              <w:t>1万元/次</w:t>
            </w:r>
          </w:p>
        </w:tc>
      </w:tr>
      <w:tr w14:paraId="653A9927">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31A8E0C">
            <w:pPr>
              <w:rPr>
                <w:rFonts w:ascii="仿宋" w:hAnsi="仿宋" w:eastAsia="仿宋" w:cs="仿宋"/>
                <w:kern w:val="0"/>
                <w:szCs w:val="24"/>
              </w:rPr>
            </w:pPr>
            <w:r>
              <w:rPr>
                <w:rFonts w:hint="eastAsia" w:ascii="仿宋" w:hAnsi="仿宋" w:eastAsia="仿宋" w:cs="仿宋"/>
                <w:kern w:val="0"/>
                <w:szCs w:val="24"/>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126466B2">
            <w:pPr>
              <w:rPr>
                <w:rFonts w:ascii="仿宋" w:hAnsi="仿宋" w:eastAsia="仿宋" w:cs="仿宋"/>
                <w:kern w:val="0"/>
                <w:szCs w:val="24"/>
              </w:rPr>
            </w:pPr>
            <w:r>
              <w:rPr>
                <w:rFonts w:hint="eastAsia"/>
                <w:sz w:val="22"/>
              </w:rPr>
              <w:t>分包人的所有管理人员均需专职在岗，向承包人、发包人提供不少于一年在分包人公司的社保证明，分包人管理人员存在其他项目兼职，或未能提供社保证明须向承包人支付违约金，直到满足项目要求或另派管理人员。</w:t>
            </w:r>
          </w:p>
        </w:tc>
        <w:tc>
          <w:tcPr>
            <w:tcW w:w="1230" w:type="pct"/>
            <w:tcBorders>
              <w:top w:val="single" w:color="000000" w:sz="4" w:space="0"/>
              <w:left w:val="single" w:color="000000" w:sz="4" w:space="0"/>
              <w:bottom w:val="single" w:color="000000" w:sz="4" w:space="0"/>
              <w:right w:val="single" w:color="000000" w:sz="4" w:space="0"/>
            </w:tcBorders>
            <w:vAlign w:val="center"/>
          </w:tcPr>
          <w:p w14:paraId="5CA3CE79">
            <w:pPr>
              <w:rPr>
                <w:rFonts w:ascii="仿宋" w:hAnsi="仿宋" w:eastAsia="仿宋" w:cs="仿宋"/>
                <w:kern w:val="0"/>
                <w:szCs w:val="24"/>
              </w:rPr>
            </w:pPr>
            <w:r>
              <w:rPr>
                <w:rFonts w:hint="eastAsia"/>
                <w:sz w:val="22"/>
              </w:rPr>
              <w:t>2000元/人/次</w:t>
            </w:r>
          </w:p>
        </w:tc>
      </w:tr>
      <w:tr w14:paraId="68BAD36E">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9B73EAD">
            <w:pPr>
              <w:rPr>
                <w:rFonts w:ascii="仿宋" w:hAnsi="仿宋" w:eastAsia="仿宋" w:cs="仿宋"/>
                <w:kern w:val="0"/>
                <w:szCs w:val="24"/>
              </w:rPr>
            </w:pPr>
            <w:r>
              <w:rPr>
                <w:rFonts w:hint="eastAsia" w:ascii="仿宋" w:hAnsi="仿宋" w:eastAsia="仿宋" w:cs="仿宋"/>
                <w:kern w:val="0"/>
                <w:szCs w:val="24"/>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0335FFB6">
            <w:pPr>
              <w:rPr>
                <w:rFonts w:ascii="仿宋" w:hAnsi="仿宋" w:eastAsia="仿宋" w:cs="仿宋"/>
                <w:kern w:val="0"/>
                <w:szCs w:val="24"/>
              </w:rPr>
            </w:pPr>
            <w:r>
              <w:rPr>
                <w:rFonts w:hint="eastAsia"/>
                <w:sz w:val="22"/>
              </w:rPr>
              <w:t>如分包人未按合同约定（当投标文件中人员配备高于招标文件要求时以投标文件人员配备为准，当投标文件中人员配备低于招标文件要求时以招标文件中人员配备要求为准）投入管理人员，未能按合同要求在10天内增补到位的，承包人有权扣除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0877B2EA">
            <w:pPr>
              <w:rPr>
                <w:rFonts w:ascii="仿宋" w:hAnsi="仿宋" w:eastAsia="仿宋" w:cs="仿宋"/>
                <w:kern w:val="0"/>
                <w:szCs w:val="24"/>
              </w:rPr>
            </w:pPr>
            <w:r>
              <w:rPr>
                <w:rFonts w:hint="eastAsia"/>
                <w:sz w:val="22"/>
              </w:rPr>
              <w:t>1000元/人/天</w:t>
            </w:r>
          </w:p>
        </w:tc>
      </w:tr>
      <w:tr w14:paraId="21D4A2C4">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64D1AE5">
            <w:pPr>
              <w:rPr>
                <w:rFonts w:ascii="仿宋" w:hAnsi="仿宋" w:eastAsia="仿宋" w:cs="仿宋"/>
                <w:kern w:val="0"/>
                <w:szCs w:val="24"/>
              </w:rPr>
            </w:pPr>
            <w:r>
              <w:rPr>
                <w:rFonts w:hint="eastAsia" w:ascii="仿宋" w:hAnsi="仿宋" w:eastAsia="仿宋" w:cs="仿宋"/>
                <w:kern w:val="0"/>
                <w:szCs w:val="24"/>
              </w:rPr>
              <w:t>4</w:t>
            </w:r>
          </w:p>
        </w:tc>
        <w:tc>
          <w:tcPr>
            <w:tcW w:w="3357" w:type="pct"/>
            <w:tcBorders>
              <w:top w:val="single" w:color="000000" w:sz="4" w:space="0"/>
              <w:left w:val="single" w:color="000000" w:sz="4" w:space="0"/>
              <w:bottom w:val="single" w:color="000000" w:sz="4" w:space="0"/>
              <w:right w:val="single" w:color="000000" w:sz="4" w:space="0"/>
            </w:tcBorders>
            <w:vAlign w:val="center"/>
          </w:tcPr>
          <w:p w14:paraId="7F49B45C">
            <w:pPr>
              <w:rPr>
                <w:rFonts w:ascii="仿宋" w:hAnsi="仿宋" w:eastAsia="仿宋" w:cs="仿宋"/>
                <w:kern w:val="0"/>
                <w:szCs w:val="24"/>
              </w:rPr>
            </w:pPr>
            <w:r>
              <w:rPr>
                <w:rFonts w:hint="eastAsia"/>
                <w:sz w:val="22"/>
              </w:rPr>
              <w:t>分包人主要管理人员等专业知识、业务水平及管理、协调能力须能满足承包人、发包人的要求和服从承包人的管理，经发包人书面确认，承包人有权撤换专业知识、业务水平及管理、协调能力差的分包人项目管理人员。若分包人拒不撤换相关人员或撤换的人员仍不合格的，分包人须向承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4D1077C3">
            <w:pPr>
              <w:rPr>
                <w:rFonts w:ascii="仿宋" w:hAnsi="仿宋" w:eastAsia="仿宋" w:cs="仿宋"/>
                <w:kern w:val="0"/>
                <w:szCs w:val="24"/>
              </w:rPr>
            </w:pPr>
            <w:r>
              <w:rPr>
                <w:rFonts w:hint="eastAsia"/>
                <w:sz w:val="22"/>
              </w:rPr>
              <w:t>1万元/人</w:t>
            </w:r>
          </w:p>
        </w:tc>
      </w:tr>
      <w:tr w14:paraId="5DA1B309">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ECFA1C7">
            <w:pPr>
              <w:rPr>
                <w:rFonts w:ascii="仿宋" w:hAnsi="仿宋" w:eastAsia="仿宋" w:cs="仿宋"/>
                <w:kern w:val="0"/>
                <w:szCs w:val="24"/>
              </w:rPr>
            </w:pPr>
            <w:r>
              <w:rPr>
                <w:rFonts w:hint="eastAsia"/>
                <w:sz w:val="22"/>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6A3E0DD5">
            <w:pPr>
              <w:rPr>
                <w:rFonts w:ascii="仿宋" w:hAnsi="仿宋" w:eastAsia="仿宋" w:cs="仿宋"/>
                <w:kern w:val="0"/>
                <w:szCs w:val="24"/>
              </w:rPr>
            </w:pPr>
            <w:r>
              <w:rPr>
                <w:rFonts w:hint="eastAsia"/>
                <w:sz w:val="22"/>
              </w:rPr>
              <w:t>分包人在收到承包人有关撤换人员的书面通知后，应在7天内递交更换相关人员的相关资料，经承包人审核确认后的3日内到岗，撤换人员自接替的对应管理人员到岗后3日内调离。若分包人未及时调离撤换人员或更换后的管理人员延迟到岗、延迟递交更换人员资料的，每逾期一日，分包人须向承包人支付人民币1000元/人/天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1E2B4C9E">
            <w:pPr>
              <w:rPr>
                <w:rFonts w:ascii="仿宋" w:hAnsi="仿宋" w:eastAsia="仿宋" w:cs="仿宋"/>
                <w:kern w:val="0"/>
                <w:szCs w:val="24"/>
              </w:rPr>
            </w:pPr>
            <w:r>
              <w:rPr>
                <w:rFonts w:hint="eastAsia"/>
                <w:sz w:val="22"/>
              </w:rPr>
              <w:t>1000元/人/天</w:t>
            </w:r>
          </w:p>
        </w:tc>
      </w:tr>
      <w:tr w14:paraId="6C57ED67">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B61E9CF">
            <w:pPr>
              <w:rPr>
                <w:rFonts w:ascii="仿宋" w:hAnsi="仿宋" w:eastAsia="仿宋" w:cs="仿宋"/>
                <w:kern w:val="0"/>
                <w:szCs w:val="24"/>
              </w:rPr>
            </w:pPr>
            <w:r>
              <w:rPr>
                <w:rFonts w:hint="eastAsia"/>
                <w:sz w:val="22"/>
              </w:rPr>
              <w:t>6</w:t>
            </w:r>
          </w:p>
        </w:tc>
        <w:tc>
          <w:tcPr>
            <w:tcW w:w="3357" w:type="pct"/>
            <w:tcBorders>
              <w:top w:val="single" w:color="000000" w:sz="4" w:space="0"/>
              <w:left w:val="single" w:color="000000" w:sz="4" w:space="0"/>
              <w:bottom w:val="single" w:color="000000" w:sz="4" w:space="0"/>
              <w:right w:val="single" w:color="000000" w:sz="4" w:space="0"/>
            </w:tcBorders>
            <w:vAlign w:val="center"/>
          </w:tcPr>
          <w:p w14:paraId="09F2027D">
            <w:pPr>
              <w:rPr>
                <w:rFonts w:ascii="仿宋" w:hAnsi="仿宋" w:eastAsia="仿宋" w:cs="仿宋"/>
                <w:kern w:val="0"/>
                <w:szCs w:val="24"/>
              </w:rPr>
            </w:pPr>
            <w:r>
              <w:rPr>
                <w:rFonts w:hint="eastAsia"/>
                <w:sz w:val="22"/>
              </w:rPr>
              <w:t>在与造价咨询人员进行结算核对过程中，分包人不得向造价咨询人员请客送礼、赠送钱物，发现一次，视情节严重程度分包人须向承包人支付违约金。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3A8487CD">
            <w:pPr>
              <w:rPr>
                <w:rFonts w:ascii="仿宋" w:hAnsi="仿宋" w:eastAsia="仿宋" w:cs="仿宋"/>
                <w:kern w:val="0"/>
                <w:szCs w:val="24"/>
              </w:rPr>
            </w:pPr>
            <w:r>
              <w:rPr>
                <w:rFonts w:hint="eastAsia"/>
                <w:sz w:val="22"/>
              </w:rPr>
              <w:t>1-10万元/次</w:t>
            </w:r>
          </w:p>
        </w:tc>
      </w:tr>
      <w:tr w14:paraId="66D2E447">
        <w:tblPrEx>
          <w:tblCellMar>
            <w:top w:w="0" w:type="dxa"/>
            <w:left w:w="108" w:type="dxa"/>
            <w:bottom w:w="0" w:type="dxa"/>
            <w:right w:w="108" w:type="dxa"/>
          </w:tblCellMar>
        </w:tblPrEx>
        <w:trPr>
          <w:trHeight w:val="142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7EAC292">
            <w:pPr>
              <w:rPr>
                <w:rFonts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vAlign w:val="center"/>
          </w:tcPr>
          <w:p w14:paraId="3DF7EB8C">
            <w:pPr>
              <w:rPr>
                <w:rFonts w:ascii="仿宋" w:hAnsi="仿宋" w:eastAsia="仿宋" w:cs="仿宋"/>
                <w:kern w:val="0"/>
                <w:szCs w:val="24"/>
              </w:rPr>
            </w:pPr>
            <w:r>
              <w:rPr>
                <w:rFonts w:hint="eastAsia"/>
                <w:sz w:val="22"/>
              </w:rPr>
              <w:t>合同约定的施工期按日历天计算，不考虑假期，分包人根据有关规定或自行安排员工假期的，分包人应将项目部管理人员周末及法定假期值班名单于每月初3天内以及法定假期前7个日历天交承包人、发包人审批，审批后需变更人员的，分包人应及时通知工程师补办审批手续。分包人安排放假而无人值班的，按每人次每天向承包人支付违约金，造成工程进度滞后或其他质量、安全事故的，由分包人承担全部责任。</w:t>
            </w:r>
          </w:p>
        </w:tc>
        <w:tc>
          <w:tcPr>
            <w:tcW w:w="1230" w:type="pct"/>
            <w:tcBorders>
              <w:top w:val="single" w:color="000000" w:sz="4" w:space="0"/>
              <w:left w:val="single" w:color="000000" w:sz="4" w:space="0"/>
              <w:bottom w:val="single" w:color="000000" w:sz="4" w:space="0"/>
              <w:right w:val="single" w:color="000000" w:sz="4" w:space="0"/>
            </w:tcBorders>
            <w:vAlign w:val="center"/>
          </w:tcPr>
          <w:p w14:paraId="3676C857">
            <w:pPr>
              <w:rPr>
                <w:rFonts w:ascii="仿宋" w:hAnsi="仿宋" w:eastAsia="仿宋" w:cs="仿宋"/>
                <w:kern w:val="0"/>
                <w:szCs w:val="24"/>
              </w:rPr>
            </w:pPr>
            <w:r>
              <w:rPr>
                <w:rFonts w:hint="eastAsia"/>
                <w:sz w:val="22"/>
              </w:rPr>
              <w:t>5000元/人次/天</w:t>
            </w:r>
          </w:p>
        </w:tc>
      </w:tr>
      <w:tr w14:paraId="416FC15C">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098425B">
            <w:pPr>
              <w:rPr>
                <w:rFonts w:ascii="仿宋" w:hAnsi="仿宋" w:eastAsia="仿宋" w:cs="仿宋"/>
                <w:kern w:val="0"/>
                <w:szCs w:val="24"/>
              </w:rPr>
            </w:pPr>
            <w:r>
              <w:rPr>
                <w:rFonts w:hint="eastAsia"/>
                <w:color w:val="000000"/>
                <w:sz w:val="22"/>
              </w:rPr>
              <w:t>8</w:t>
            </w:r>
          </w:p>
        </w:tc>
        <w:tc>
          <w:tcPr>
            <w:tcW w:w="3357" w:type="pct"/>
            <w:tcBorders>
              <w:top w:val="single" w:color="000000" w:sz="4" w:space="0"/>
              <w:left w:val="single" w:color="000000" w:sz="4" w:space="0"/>
              <w:bottom w:val="single" w:color="000000" w:sz="4" w:space="0"/>
              <w:right w:val="single" w:color="000000" w:sz="4" w:space="0"/>
            </w:tcBorders>
            <w:vAlign w:val="center"/>
          </w:tcPr>
          <w:p w14:paraId="10A02234">
            <w:pPr>
              <w:rPr>
                <w:rFonts w:ascii="仿宋" w:hAnsi="仿宋" w:eastAsia="仿宋" w:cs="仿宋"/>
                <w:kern w:val="0"/>
                <w:szCs w:val="24"/>
              </w:rPr>
            </w:pPr>
            <w:r>
              <w:rPr>
                <w:rFonts w:hint="eastAsia"/>
                <w:color w:val="000000"/>
                <w:sz w:val="22"/>
              </w:rPr>
              <w:t>合同期间实际投入的管理人员替换率超过30%的属于违约行为，经发包人书面确认，承包人有权解除合同，且每发生一次该违约行为，承包人有权向分包人要求支付违约金。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24B2FCCF">
            <w:pPr>
              <w:rPr>
                <w:rFonts w:ascii="仿宋" w:hAnsi="仿宋" w:eastAsia="仿宋" w:cs="仿宋"/>
                <w:kern w:val="0"/>
                <w:szCs w:val="24"/>
              </w:rPr>
            </w:pPr>
            <w:r>
              <w:rPr>
                <w:rFonts w:hint="eastAsia"/>
                <w:color w:val="000000"/>
                <w:sz w:val="22"/>
              </w:rPr>
              <w:t>1万/次</w:t>
            </w:r>
          </w:p>
        </w:tc>
      </w:tr>
      <w:tr w14:paraId="0891950F">
        <w:tblPrEx>
          <w:tblCellMar>
            <w:top w:w="0" w:type="dxa"/>
            <w:left w:w="108" w:type="dxa"/>
            <w:bottom w:w="0" w:type="dxa"/>
            <w:right w:w="108" w:type="dxa"/>
          </w:tblCellMar>
        </w:tblPrEx>
        <w:trPr>
          <w:trHeight w:val="369"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D645879">
            <w:pPr>
              <w:rPr>
                <w:rFonts w:ascii="仿宋" w:hAnsi="仿宋" w:eastAsia="仿宋" w:cs="仿宋"/>
                <w:kern w:val="0"/>
                <w:szCs w:val="24"/>
              </w:rPr>
            </w:pPr>
            <w:r>
              <w:rPr>
                <w:rFonts w:hint="eastAsia"/>
                <w:color w:val="000000"/>
                <w:sz w:val="22"/>
              </w:rPr>
              <w:t>9</w:t>
            </w:r>
          </w:p>
        </w:tc>
        <w:tc>
          <w:tcPr>
            <w:tcW w:w="3357" w:type="pct"/>
            <w:tcBorders>
              <w:top w:val="single" w:color="000000" w:sz="4" w:space="0"/>
              <w:left w:val="single" w:color="000000" w:sz="4" w:space="0"/>
              <w:bottom w:val="single" w:color="000000" w:sz="4" w:space="0"/>
              <w:right w:val="single" w:color="000000" w:sz="4" w:space="0"/>
            </w:tcBorders>
            <w:vAlign w:val="center"/>
          </w:tcPr>
          <w:p w14:paraId="128D9C24">
            <w:pPr>
              <w:rPr>
                <w:rFonts w:ascii="仿宋" w:hAnsi="仿宋" w:eastAsia="仿宋" w:cs="仿宋"/>
                <w:kern w:val="0"/>
                <w:szCs w:val="24"/>
              </w:rPr>
            </w:pPr>
            <w:r>
              <w:rPr>
                <w:rFonts w:hint="eastAsia"/>
                <w:color w:val="000000"/>
                <w:sz w:val="22"/>
              </w:rPr>
              <w:t>分包人项目管理人员须常驻现场：主要管理人员每月在现场工作时间不得少于26天、每天工作时间不得少于8小时；项目管理人员离开工地需经承包人、发包人及监理人同意；若无正当理由且未经承包人、发包人及监理人同意不在工地的或出勤不满足以上要求的，承包人有权视情况按每天每人向分包人收取违约金；若分包人管理人员无故连续3天不在工地，又无发包人可以接受的理由，则发包人有权要求分包人将其更换。</w:t>
            </w:r>
          </w:p>
        </w:tc>
        <w:tc>
          <w:tcPr>
            <w:tcW w:w="1230" w:type="pct"/>
            <w:tcBorders>
              <w:top w:val="single" w:color="000000" w:sz="4" w:space="0"/>
              <w:left w:val="single" w:color="000000" w:sz="4" w:space="0"/>
              <w:bottom w:val="single" w:color="000000" w:sz="4" w:space="0"/>
              <w:right w:val="single" w:color="000000" w:sz="4" w:space="0"/>
            </w:tcBorders>
            <w:vAlign w:val="center"/>
          </w:tcPr>
          <w:p w14:paraId="288721CD">
            <w:pPr>
              <w:rPr>
                <w:rFonts w:ascii="仿宋" w:hAnsi="仿宋" w:eastAsia="仿宋" w:cs="仿宋"/>
                <w:kern w:val="0"/>
                <w:szCs w:val="24"/>
              </w:rPr>
            </w:pPr>
            <w:r>
              <w:rPr>
                <w:rFonts w:hint="eastAsia"/>
                <w:color w:val="000000"/>
                <w:sz w:val="22"/>
              </w:rPr>
              <w:t>1000-5000元/天</w:t>
            </w:r>
          </w:p>
        </w:tc>
      </w:tr>
      <w:tr w14:paraId="7DCD8989">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D2A257A">
            <w:pPr>
              <w:rPr>
                <w:rFonts w:ascii="仿宋" w:hAnsi="仿宋" w:eastAsia="仿宋" w:cs="仿宋"/>
                <w:kern w:val="0"/>
                <w:szCs w:val="24"/>
              </w:rPr>
            </w:pPr>
            <w:r>
              <w:rPr>
                <w:rFonts w:hint="eastAsia"/>
                <w:color w:val="000000"/>
                <w:sz w:val="22"/>
              </w:rPr>
              <w:t>10</w:t>
            </w:r>
          </w:p>
        </w:tc>
        <w:tc>
          <w:tcPr>
            <w:tcW w:w="3357" w:type="pct"/>
            <w:tcBorders>
              <w:top w:val="single" w:color="000000" w:sz="4" w:space="0"/>
              <w:left w:val="single" w:color="000000" w:sz="4" w:space="0"/>
              <w:bottom w:val="single" w:color="000000" w:sz="4" w:space="0"/>
              <w:right w:val="single" w:color="000000" w:sz="4" w:space="0"/>
            </w:tcBorders>
            <w:vAlign w:val="center"/>
          </w:tcPr>
          <w:p w14:paraId="4EF4D73D">
            <w:pPr>
              <w:rPr>
                <w:rFonts w:ascii="仿宋" w:hAnsi="仿宋" w:eastAsia="仿宋" w:cs="仿宋"/>
                <w:kern w:val="0"/>
                <w:szCs w:val="24"/>
              </w:rPr>
            </w:pPr>
            <w:r>
              <w:rPr>
                <w:rFonts w:hint="eastAsia"/>
                <w:color w:val="000000"/>
                <w:sz w:val="22"/>
              </w:rPr>
              <w:t>如出现分包人工程施工期间无管理人员在岗的，一经发现，分包人应按1万/次标准向承包人支付违约金。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0E7FB513">
            <w:pPr>
              <w:rPr>
                <w:rFonts w:ascii="仿宋" w:hAnsi="仿宋" w:eastAsia="仿宋" w:cs="仿宋"/>
                <w:kern w:val="0"/>
                <w:szCs w:val="24"/>
              </w:rPr>
            </w:pPr>
            <w:r>
              <w:rPr>
                <w:rFonts w:hint="eastAsia"/>
                <w:color w:val="000000"/>
                <w:sz w:val="22"/>
              </w:rPr>
              <w:t>1万/次</w:t>
            </w:r>
          </w:p>
        </w:tc>
      </w:tr>
      <w:tr w14:paraId="3B39E3C4">
        <w:tblPrEx>
          <w:tblCellMar>
            <w:top w:w="0" w:type="dxa"/>
            <w:left w:w="108" w:type="dxa"/>
            <w:bottom w:w="0" w:type="dxa"/>
            <w:right w:w="108" w:type="dxa"/>
          </w:tblCellMar>
        </w:tblPrEx>
        <w:trPr>
          <w:trHeight w:val="416"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EA296FF">
            <w:pPr>
              <w:rPr>
                <w:color w:val="000000"/>
                <w:sz w:val="22"/>
              </w:rPr>
            </w:pPr>
            <w:r>
              <w:rPr>
                <w:rFonts w:hint="eastAsia"/>
                <w:color w:val="000000"/>
                <w:sz w:val="22"/>
              </w:rPr>
              <w:t>11</w:t>
            </w:r>
          </w:p>
        </w:tc>
        <w:tc>
          <w:tcPr>
            <w:tcW w:w="3357" w:type="pct"/>
            <w:tcBorders>
              <w:top w:val="single" w:color="000000" w:sz="4" w:space="0"/>
              <w:left w:val="single" w:color="000000" w:sz="4" w:space="0"/>
              <w:bottom w:val="single" w:color="000000" w:sz="4" w:space="0"/>
              <w:right w:val="single" w:color="000000" w:sz="4" w:space="0"/>
            </w:tcBorders>
            <w:vAlign w:val="center"/>
          </w:tcPr>
          <w:p w14:paraId="3A9F242E">
            <w:pPr>
              <w:rPr>
                <w:color w:val="000000"/>
                <w:sz w:val="22"/>
              </w:rPr>
            </w:pPr>
            <w:r>
              <w:rPr>
                <w:rFonts w:hint="eastAsia"/>
                <w:color w:val="000000"/>
                <w:sz w:val="22"/>
              </w:rPr>
              <w:t>若发现分包人未与工人签订劳动用工合同或者签订劳动合同不真实，分包人承担1万元/人次违约金并赔偿因此给承包人造成的损失</w:t>
            </w:r>
          </w:p>
        </w:tc>
        <w:tc>
          <w:tcPr>
            <w:tcW w:w="1230" w:type="pct"/>
            <w:tcBorders>
              <w:top w:val="single" w:color="000000" w:sz="4" w:space="0"/>
              <w:left w:val="single" w:color="000000" w:sz="4" w:space="0"/>
              <w:bottom w:val="single" w:color="000000" w:sz="4" w:space="0"/>
              <w:right w:val="single" w:color="000000" w:sz="4" w:space="0"/>
            </w:tcBorders>
            <w:vAlign w:val="center"/>
          </w:tcPr>
          <w:p w14:paraId="4AC1DECC">
            <w:pPr>
              <w:rPr>
                <w:color w:val="000000"/>
                <w:sz w:val="22"/>
              </w:rPr>
            </w:pPr>
            <w:r>
              <w:rPr>
                <w:rFonts w:hint="eastAsia"/>
                <w:color w:val="000000"/>
                <w:sz w:val="22"/>
              </w:rPr>
              <w:t>1万元/人次</w:t>
            </w:r>
          </w:p>
        </w:tc>
      </w:tr>
      <w:tr w14:paraId="52A5698D">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BF134D7">
            <w:pPr>
              <w:rPr>
                <w:color w:val="000000"/>
                <w:sz w:val="22"/>
              </w:rPr>
            </w:pPr>
            <w:r>
              <w:rPr>
                <w:rFonts w:hint="eastAsia"/>
                <w:color w:val="000000"/>
                <w:sz w:val="22"/>
              </w:rPr>
              <w:t>12</w:t>
            </w:r>
          </w:p>
        </w:tc>
        <w:tc>
          <w:tcPr>
            <w:tcW w:w="3357" w:type="pct"/>
            <w:tcBorders>
              <w:top w:val="single" w:color="000000" w:sz="4" w:space="0"/>
              <w:left w:val="single" w:color="000000" w:sz="4" w:space="0"/>
              <w:bottom w:val="single" w:color="000000" w:sz="4" w:space="0"/>
              <w:right w:val="single" w:color="000000" w:sz="4" w:space="0"/>
            </w:tcBorders>
            <w:vAlign w:val="center"/>
          </w:tcPr>
          <w:p w14:paraId="15FA3AEE">
            <w:pPr>
              <w:rPr>
                <w:color w:val="000000"/>
                <w:sz w:val="22"/>
              </w:rPr>
            </w:pPr>
            <w:r>
              <w:rPr>
                <w:rFonts w:hint="eastAsia"/>
                <w:color w:val="000000"/>
                <w:sz w:val="22"/>
              </w:rPr>
              <w:t>分包人未如期支付作业人员工资及法定社会保险费用，导致分包人作业人员投诉、上访或引发纠纷的或影响承包人及承包人项目正常工作的，分包人承担5000元/次的违约金，情节严重的承包人有权单方面解除合同</w:t>
            </w:r>
          </w:p>
        </w:tc>
        <w:tc>
          <w:tcPr>
            <w:tcW w:w="1230" w:type="pct"/>
            <w:tcBorders>
              <w:top w:val="single" w:color="000000" w:sz="4" w:space="0"/>
              <w:left w:val="single" w:color="000000" w:sz="4" w:space="0"/>
              <w:bottom w:val="single" w:color="000000" w:sz="4" w:space="0"/>
              <w:right w:val="single" w:color="000000" w:sz="4" w:space="0"/>
            </w:tcBorders>
            <w:vAlign w:val="center"/>
          </w:tcPr>
          <w:p w14:paraId="7A0AE62B">
            <w:pPr>
              <w:rPr>
                <w:color w:val="000000"/>
                <w:sz w:val="22"/>
              </w:rPr>
            </w:pPr>
            <w:r>
              <w:rPr>
                <w:rFonts w:hint="eastAsia"/>
                <w:color w:val="000000"/>
                <w:sz w:val="22"/>
              </w:rPr>
              <w:t>5000元/次</w:t>
            </w:r>
          </w:p>
        </w:tc>
      </w:tr>
      <w:tr w14:paraId="714A2087">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4984E6E">
            <w:pPr>
              <w:rPr>
                <w:sz w:val="22"/>
              </w:rPr>
            </w:pPr>
            <w:r>
              <w:rPr>
                <w:rFonts w:hint="eastAsia"/>
                <w:sz w:val="22"/>
              </w:rPr>
              <w:t>13</w:t>
            </w:r>
          </w:p>
        </w:tc>
        <w:tc>
          <w:tcPr>
            <w:tcW w:w="3357" w:type="pct"/>
            <w:tcBorders>
              <w:top w:val="single" w:color="000000" w:sz="4" w:space="0"/>
              <w:left w:val="single" w:color="000000" w:sz="4" w:space="0"/>
              <w:bottom w:val="single" w:color="000000" w:sz="4" w:space="0"/>
              <w:right w:val="single" w:color="000000" w:sz="4" w:space="0"/>
            </w:tcBorders>
            <w:vAlign w:val="center"/>
          </w:tcPr>
          <w:p w14:paraId="3B900341">
            <w:pPr>
              <w:rPr>
                <w:sz w:val="22"/>
              </w:rPr>
            </w:pPr>
            <w:r>
              <w:rPr>
                <w:rFonts w:hint="eastAsia"/>
                <w:sz w:val="22"/>
              </w:rPr>
              <w:t>特种作业人员必须按照有关规定取得相应职业资格证书，并保证人证合一，否则承包人有权禁止未获得相应资格证书的特种作业人员进入分包作业现场，并对分包人处以5000元/人次惩罚性违约金。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1203E7DC">
            <w:pPr>
              <w:rPr>
                <w:sz w:val="22"/>
              </w:rPr>
            </w:pPr>
            <w:r>
              <w:rPr>
                <w:rFonts w:hint="eastAsia"/>
                <w:sz w:val="22"/>
              </w:rPr>
              <w:t>5000元/人次</w:t>
            </w:r>
          </w:p>
        </w:tc>
      </w:tr>
      <w:tr w14:paraId="24FE9780">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FF1CE5C">
            <w:pPr>
              <w:rPr>
                <w:sz w:val="22"/>
              </w:rPr>
            </w:pPr>
            <w:r>
              <w:rPr>
                <w:rFonts w:hint="eastAsia"/>
                <w:sz w:val="22"/>
              </w:rPr>
              <w:t>14</w:t>
            </w:r>
          </w:p>
        </w:tc>
        <w:tc>
          <w:tcPr>
            <w:tcW w:w="3357" w:type="pct"/>
            <w:tcBorders>
              <w:top w:val="single" w:color="000000" w:sz="4" w:space="0"/>
              <w:left w:val="single" w:color="000000" w:sz="4" w:space="0"/>
              <w:bottom w:val="single" w:color="000000" w:sz="4" w:space="0"/>
              <w:right w:val="single" w:color="000000" w:sz="4" w:space="0"/>
            </w:tcBorders>
            <w:vAlign w:val="center"/>
          </w:tcPr>
          <w:p w14:paraId="6E4F1F6C">
            <w:pPr>
              <w:rPr>
                <w:sz w:val="22"/>
              </w:rPr>
            </w:pPr>
            <w:r>
              <w:rPr>
                <w:rFonts w:hint="eastAsia"/>
                <w:sz w:val="22"/>
              </w:rPr>
              <w:t>承包人要求撤换违章作业的分包作业人员时，分包人应当立即撤换。分包人无正当理由拒绝撤换的，应承担违约金2000元/人次。</w:t>
            </w:r>
          </w:p>
        </w:tc>
        <w:tc>
          <w:tcPr>
            <w:tcW w:w="1230" w:type="pct"/>
            <w:tcBorders>
              <w:top w:val="single" w:color="000000" w:sz="4" w:space="0"/>
              <w:left w:val="single" w:color="000000" w:sz="4" w:space="0"/>
              <w:bottom w:val="single" w:color="000000" w:sz="4" w:space="0"/>
              <w:right w:val="single" w:color="000000" w:sz="4" w:space="0"/>
            </w:tcBorders>
            <w:vAlign w:val="center"/>
          </w:tcPr>
          <w:p w14:paraId="669B819F">
            <w:pPr>
              <w:rPr>
                <w:sz w:val="22"/>
              </w:rPr>
            </w:pPr>
            <w:r>
              <w:rPr>
                <w:rFonts w:hint="eastAsia"/>
                <w:sz w:val="22"/>
              </w:rPr>
              <w:t>2000元/人次</w:t>
            </w:r>
          </w:p>
        </w:tc>
      </w:tr>
      <w:tr w14:paraId="04FDFF0E">
        <w:tblPrEx>
          <w:tblCellMar>
            <w:top w:w="0" w:type="dxa"/>
            <w:left w:w="108" w:type="dxa"/>
            <w:bottom w:w="0" w:type="dxa"/>
            <w:right w:w="108" w:type="dxa"/>
          </w:tblCellMar>
        </w:tblPrEx>
        <w:trPr>
          <w:trHeight w:val="270" w:hRule="atLeast"/>
        </w:trPr>
        <w:tc>
          <w:tcPr>
            <w:tcW w:w="413" w:type="pct"/>
            <w:tcBorders>
              <w:top w:val="nil"/>
              <w:left w:val="nil"/>
              <w:bottom w:val="nil"/>
              <w:right w:val="nil"/>
            </w:tcBorders>
            <w:noWrap/>
            <w:vAlign w:val="center"/>
          </w:tcPr>
          <w:p w14:paraId="0A8AAFF3">
            <w:pPr>
              <w:rPr>
                <w:rFonts w:ascii="仿宋" w:hAnsi="仿宋" w:eastAsia="仿宋" w:cs="仿宋"/>
                <w:kern w:val="0"/>
                <w:szCs w:val="24"/>
              </w:rPr>
            </w:pPr>
          </w:p>
        </w:tc>
        <w:tc>
          <w:tcPr>
            <w:tcW w:w="3357" w:type="pct"/>
            <w:tcBorders>
              <w:top w:val="nil"/>
              <w:left w:val="nil"/>
              <w:bottom w:val="nil"/>
              <w:right w:val="nil"/>
            </w:tcBorders>
            <w:noWrap/>
            <w:vAlign w:val="center"/>
          </w:tcPr>
          <w:p w14:paraId="1A2E24C7">
            <w:pPr>
              <w:rPr>
                <w:rFonts w:ascii="仿宋" w:hAnsi="仿宋" w:eastAsia="仿宋" w:cs="仿宋"/>
                <w:kern w:val="0"/>
                <w:szCs w:val="24"/>
              </w:rPr>
            </w:pPr>
          </w:p>
        </w:tc>
        <w:tc>
          <w:tcPr>
            <w:tcW w:w="1230" w:type="pct"/>
            <w:tcBorders>
              <w:top w:val="nil"/>
              <w:left w:val="nil"/>
              <w:bottom w:val="nil"/>
              <w:right w:val="nil"/>
            </w:tcBorders>
            <w:noWrap/>
            <w:vAlign w:val="center"/>
          </w:tcPr>
          <w:p w14:paraId="3062A120">
            <w:pPr>
              <w:rPr>
                <w:rFonts w:ascii="仿宋" w:hAnsi="仿宋" w:eastAsia="仿宋" w:cs="仿宋"/>
                <w:kern w:val="0"/>
                <w:szCs w:val="24"/>
              </w:rPr>
            </w:pPr>
          </w:p>
        </w:tc>
      </w:tr>
      <w:tr w14:paraId="335BBC91">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2F01F5E6">
            <w:pPr>
              <w:rPr>
                <w:rFonts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.2</w:t>
            </w:r>
            <w:r>
              <w:rPr>
                <w:rFonts w:hint="eastAsia" w:asciiTheme="minorEastAsia" w:hAnsiTheme="minorEastAsia" w:eastAsiaTheme="minorEastAsia"/>
                <w:b/>
                <w:bCs/>
                <w:sz w:val="22"/>
                <w:szCs w:val="24"/>
              </w:rPr>
              <w:t>工期控制违约责任：</w:t>
            </w:r>
          </w:p>
        </w:tc>
      </w:tr>
      <w:tr w14:paraId="02799F7E">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CA9168F">
            <w:pPr>
              <w:rPr>
                <w:sz w:val="22"/>
              </w:rPr>
            </w:pPr>
            <w:r>
              <w:rPr>
                <w:rFonts w:hint="eastAsia"/>
                <w:sz w:val="22"/>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31F620B4">
            <w:pPr>
              <w:rPr>
                <w:sz w:val="22"/>
              </w:rPr>
            </w:pPr>
            <w:r>
              <w:rPr>
                <w:rFonts w:hint="eastAsia"/>
                <w:sz w:val="22"/>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2290B295">
            <w:pPr>
              <w:rPr>
                <w:sz w:val="22"/>
              </w:rPr>
            </w:pPr>
            <w:r>
              <w:rPr>
                <w:rFonts w:hint="eastAsia"/>
                <w:sz w:val="22"/>
              </w:rPr>
              <w:t>违约处理</w:t>
            </w:r>
          </w:p>
        </w:tc>
      </w:tr>
      <w:tr w14:paraId="27E6F047">
        <w:tblPrEx>
          <w:tblCellMar>
            <w:top w:w="0" w:type="dxa"/>
            <w:left w:w="108" w:type="dxa"/>
            <w:bottom w:w="0" w:type="dxa"/>
            <w:right w:w="108" w:type="dxa"/>
          </w:tblCellMar>
        </w:tblPrEx>
        <w:trPr>
          <w:trHeight w:val="128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448FD54">
            <w:pPr>
              <w:rPr>
                <w:rFonts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114B8217">
            <w:pPr>
              <w:rPr>
                <w:rFonts w:ascii="仿宋" w:hAnsi="仿宋" w:eastAsia="仿宋" w:cs="仿宋"/>
                <w:kern w:val="0"/>
                <w:szCs w:val="24"/>
              </w:rPr>
            </w:pPr>
            <w:r>
              <w:rPr>
                <w:rFonts w:hint="eastAsia"/>
                <w:sz w:val="22"/>
              </w:rPr>
              <w:t>分包人在样板定样后15天内完成施工图纸节点方案深化设计。否则，每超过一天，承包人有权收取违约金，且不免除分包人需完成的深化设计任务。</w:t>
            </w:r>
          </w:p>
        </w:tc>
        <w:tc>
          <w:tcPr>
            <w:tcW w:w="1230" w:type="pct"/>
            <w:tcBorders>
              <w:top w:val="single" w:color="000000" w:sz="4" w:space="0"/>
              <w:left w:val="single" w:color="000000" w:sz="4" w:space="0"/>
              <w:bottom w:val="single" w:color="000000" w:sz="4" w:space="0"/>
              <w:right w:val="single" w:color="000000" w:sz="4" w:space="0"/>
            </w:tcBorders>
            <w:vAlign w:val="center"/>
          </w:tcPr>
          <w:p w14:paraId="3FB35B12">
            <w:pPr>
              <w:rPr>
                <w:rFonts w:ascii="仿宋" w:hAnsi="仿宋" w:eastAsia="仿宋" w:cs="仿宋"/>
                <w:kern w:val="0"/>
                <w:szCs w:val="24"/>
              </w:rPr>
            </w:pPr>
            <w:r>
              <w:rPr>
                <w:rFonts w:hint="eastAsia"/>
                <w:sz w:val="22"/>
              </w:rPr>
              <w:t>2000元/天</w:t>
            </w:r>
          </w:p>
        </w:tc>
      </w:tr>
      <w:tr w14:paraId="43D47819">
        <w:tblPrEx>
          <w:tblCellMar>
            <w:top w:w="0" w:type="dxa"/>
            <w:left w:w="108" w:type="dxa"/>
            <w:bottom w:w="0" w:type="dxa"/>
            <w:right w:w="108" w:type="dxa"/>
          </w:tblCellMar>
        </w:tblPrEx>
        <w:trPr>
          <w:trHeight w:val="128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0AEA12A">
            <w:pPr>
              <w:rPr>
                <w:sz w:val="22"/>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19E4BBEB">
            <w:pPr>
              <w:rPr>
                <w:sz w:val="22"/>
              </w:rPr>
            </w:pPr>
            <w:r>
              <w:rPr>
                <w:rFonts w:hint="eastAsia"/>
                <w:sz w:val="22"/>
              </w:rPr>
              <w:t>分包人报送施工进度计划经监理人、发包人确认后，对进度计划中得关键工期节点，分包人未按约定完成，每延迟一天，承包人有权按1万元/天的标准收取违约金。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27084350">
            <w:pPr>
              <w:rPr>
                <w:sz w:val="22"/>
              </w:rPr>
            </w:pPr>
            <w:r>
              <w:rPr>
                <w:rFonts w:hint="eastAsia"/>
                <w:sz w:val="22"/>
              </w:rPr>
              <w:t>1万元/天</w:t>
            </w:r>
          </w:p>
        </w:tc>
      </w:tr>
      <w:tr w14:paraId="72422AB9">
        <w:tblPrEx>
          <w:tblCellMar>
            <w:top w:w="0" w:type="dxa"/>
            <w:left w:w="108" w:type="dxa"/>
            <w:bottom w:w="0" w:type="dxa"/>
            <w:right w:w="108" w:type="dxa"/>
          </w:tblCellMar>
        </w:tblPrEx>
        <w:trPr>
          <w:trHeight w:val="1219"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74F14E4">
            <w:pPr>
              <w:rPr>
                <w:rFonts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66BB722E">
            <w:pPr>
              <w:rPr>
                <w:rFonts w:ascii="仿宋" w:hAnsi="仿宋" w:eastAsia="仿宋" w:cs="仿宋"/>
                <w:kern w:val="0"/>
                <w:szCs w:val="24"/>
              </w:rPr>
            </w:pPr>
            <w:r>
              <w:rPr>
                <w:rFonts w:hint="eastAsia"/>
                <w:sz w:val="22"/>
              </w:rPr>
              <w:t>本工程竣工验收且移交后，分包人的施工人员、材料、设备必须按承包人要求在 15天内全部退出现场，每延迟一天退场承包人有权收取分包人违约金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6B5984A0">
            <w:pPr>
              <w:rPr>
                <w:rFonts w:ascii="仿宋" w:hAnsi="仿宋" w:eastAsia="仿宋" w:cs="仿宋"/>
                <w:kern w:val="0"/>
                <w:szCs w:val="24"/>
              </w:rPr>
            </w:pPr>
            <w:r>
              <w:rPr>
                <w:rFonts w:hint="eastAsia"/>
                <w:sz w:val="22"/>
              </w:rPr>
              <w:t>5000元/天</w:t>
            </w:r>
          </w:p>
        </w:tc>
      </w:tr>
      <w:tr w14:paraId="420B59ED">
        <w:tblPrEx>
          <w:tblCellMar>
            <w:top w:w="0" w:type="dxa"/>
            <w:left w:w="108" w:type="dxa"/>
            <w:bottom w:w="0" w:type="dxa"/>
            <w:right w:w="108" w:type="dxa"/>
          </w:tblCellMar>
        </w:tblPrEx>
        <w:trPr>
          <w:trHeight w:val="72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BA81A10">
            <w:pPr>
              <w:rPr>
                <w:rFonts w:ascii="仿宋" w:hAnsi="仿宋" w:eastAsia="仿宋" w:cs="仿宋"/>
                <w:kern w:val="0"/>
                <w:szCs w:val="24"/>
              </w:rPr>
            </w:pPr>
            <w:r>
              <w:rPr>
                <w:rFonts w:hint="eastAsia"/>
                <w:sz w:val="22"/>
              </w:rPr>
              <w:t>4</w:t>
            </w:r>
          </w:p>
        </w:tc>
        <w:tc>
          <w:tcPr>
            <w:tcW w:w="3357" w:type="pct"/>
            <w:tcBorders>
              <w:top w:val="single" w:color="000000" w:sz="4" w:space="0"/>
              <w:left w:val="single" w:color="000000" w:sz="4" w:space="0"/>
              <w:bottom w:val="single" w:color="000000" w:sz="4" w:space="0"/>
              <w:right w:val="single" w:color="000000" w:sz="4" w:space="0"/>
            </w:tcBorders>
            <w:vAlign w:val="center"/>
          </w:tcPr>
          <w:p w14:paraId="786FB2C4">
            <w:pPr>
              <w:rPr>
                <w:rFonts w:ascii="仿宋" w:hAnsi="仿宋" w:eastAsia="仿宋" w:cs="仿宋"/>
                <w:kern w:val="0"/>
                <w:szCs w:val="24"/>
              </w:rPr>
            </w:pPr>
            <w:r>
              <w:rPr>
                <w:rFonts w:hint="eastAsia"/>
                <w:sz w:val="22"/>
              </w:rPr>
              <w:t>无论因何原因按照约定或法定解除合同的，分包人的施工人员、材料、设备必须在15天内清场并全部退出现场，如逾期退场或拒绝退场的，每延迟一天退场，承包人收取分包人违约金。分包人拒绝清场的，应同时承担承包人委托第三方清场的费用。</w:t>
            </w:r>
          </w:p>
        </w:tc>
        <w:tc>
          <w:tcPr>
            <w:tcW w:w="1230" w:type="pct"/>
            <w:tcBorders>
              <w:top w:val="single" w:color="000000" w:sz="4" w:space="0"/>
              <w:left w:val="single" w:color="000000" w:sz="4" w:space="0"/>
              <w:bottom w:val="single" w:color="000000" w:sz="4" w:space="0"/>
              <w:right w:val="single" w:color="000000" w:sz="4" w:space="0"/>
            </w:tcBorders>
            <w:vAlign w:val="center"/>
          </w:tcPr>
          <w:p w14:paraId="098774D4">
            <w:pPr>
              <w:rPr>
                <w:rFonts w:ascii="仿宋" w:hAnsi="仿宋" w:eastAsia="仿宋" w:cs="仿宋"/>
                <w:kern w:val="0"/>
                <w:szCs w:val="24"/>
              </w:rPr>
            </w:pPr>
            <w:r>
              <w:rPr>
                <w:rFonts w:hint="eastAsia"/>
                <w:sz w:val="22"/>
              </w:rPr>
              <w:t>5000元/天</w:t>
            </w:r>
          </w:p>
        </w:tc>
      </w:tr>
      <w:tr w14:paraId="2B4B8845">
        <w:tblPrEx>
          <w:tblCellMar>
            <w:top w:w="0" w:type="dxa"/>
            <w:left w:w="108" w:type="dxa"/>
            <w:bottom w:w="0" w:type="dxa"/>
            <w:right w:w="108" w:type="dxa"/>
          </w:tblCellMar>
        </w:tblPrEx>
        <w:trPr>
          <w:trHeight w:val="11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AE9EBF4">
            <w:pPr>
              <w:rPr>
                <w:rFonts w:ascii="仿宋" w:hAnsi="仿宋" w:eastAsia="仿宋" w:cs="仿宋"/>
                <w:kern w:val="0"/>
                <w:szCs w:val="24"/>
              </w:rPr>
            </w:pPr>
            <w:r>
              <w:rPr>
                <w:rFonts w:hint="eastAsia"/>
                <w:sz w:val="22"/>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2AE93A4C">
            <w:pPr>
              <w:rPr>
                <w:rFonts w:ascii="仿宋" w:hAnsi="仿宋" w:eastAsia="仿宋" w:cs="仿宋"/>
                <w:kern w:val="0"/>
                <w:szCs w:val="24"/>
              </w:rPr>
            </w:pPr>
            <w:r>
              <w:rPr>
                <w:rFonts w:hint="eastAsia"/>
              </w:rPr>
              <w:t>分包人应按合同和承包人的要求提交承包人所需要的全部资料和文件，</w:t>
            </w:r>
            <w:r>
              <w:rPr>
                <w:rFonts w:hint="eastAsia"/>
                <w:sz w:val="22"/>
              </w:rPr>
              <w:t>分包人延迟提供相关方案、图纸、资料等，每延迟1天，向承包人支付违约金。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698EB849">
            <w:pPr>
              <w:rPr>
                <w:rFonts w:ascii="仿宋" w:hAnsi="仿宋" w:eastAsia="仿宋" w:cs="仿宋"/>
                <w:kern w:val="0"/>
                <w:szCs w:val="24"/>
              </w:rPr>
            </w:pPr>
            <w:r>
              <w:rPr>
                <w:rFonts w:hint="eastAsia"/>
                <w:sz w:val="22"/>
              </w:rPr>
              <w:t>3000元/天</w:t>
            </w:r>
          </w:p>
        </w:tc>
      </w:tr>
      <w:tr w14:paraId="7B26F58C">
        <w:tblPrEx>
          <w:tblCellMar>
            <w:top w:w="0" w:type="dxa"/>
            <w:left w:w="108" w:type="dxa"/>
            <w:bottom w:w="0" w:type="dxa"/>
            <w:right w:w="108" w:type="dxa"/>
          </w:tblCellMar>
        </w:tblPrEx>
        <w:trPr>
          <w:trHeight w:val="134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0215413">
            <w:pPr>
              <w:rPr>
                <w:rFonts w:ascii="仿宋" w:hAnsi="仿宋" w:eastAsia="仿宋" w:cs="仿宋"/>
                <w:kern w:val="0"/>
                <w:szCs w:val="24"/>
              </w:rPr>
            </w:pPr>
            <w:r>
              <w:rPr>
                <w:rFonts w:hint="eastAsia"/>
                <w:sz w:val="22"/>
              </w:rPr>
              <w:t>6</w:t>
            </w:r>
          </w:p>
        </w:tc>
        <w:tc>
          <w:tcPr>
            <w:tcW w:w="3357" w:type="pct"/>
            <w:tcBorders>
              <w:top w:val="single" w:color="000000" w:sz="4" w:space="0"/>
              <w:left w:val="single" w:color="000000" w:sz="4" w:space="0"/>
              <w:bottom w:val="single" w:color="000000" w:sz="4" w:space="0"/>
              <w:right w:val="single" w:color="000000" w:sz="4" w:space="0"/>
            </w:tcBorders>
            <w:vAlign w:val="center"/>
          </w:tcPr>
          <w:p w14:paraId="265C5DF2">
            <w:pPr>
              <w:rPr>
                <w:rFonts w:ascii="仿宋" w:hAnsi="仿宋" w:eastAsia="仿宋" w:cs="仿宋"/>
                <w:kern w:val="0"/>
                <w:szCs w:val="24"/>
              </w:rPr>
            </w:pPr>
            <w:r>
              <w:rPr>
                <w:rFonts w:hint="eastAsia"/>
                <w:sz w:val="22"/>
              </w:rPr>
              <w:t>分包人原因导致逾期开工15天以内的，每逾期一天，应向承包人支付违约金；累计逾期15天以上的，经发包人书面同意，承包人有权单方面解除合同，并要求分包人支付本工程合同中标价20%的违约金。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10AC9603">
            <w:pPr>
              <w:rPr>
                <w:rFonts w:ascii="仿宋" w:hAnsi="仿宋" w:eastAsia="仿宋" w:cs="仿宋"/>
                <w:kern w:val="0"/>
                <w:szCs w:val="24"/>
              </w:rPr>
            </w:pPr>
            <w:r>
              <w:rPr>
                <w:rFonts w:hint="eastAsia"/>
                <w:sz w:val="22"/>
              </w:rPr>
              <w:t>1万元/天</w:t>
            </w:r>
          </w:p>
        </w:tc>
      </w:tr>
      <w:tr w14:paraId="04884FD8">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A7E950C">
            <w:pPr>
              <w:rPr>
                <w:rFonts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vAlign w:val="center"/>
          </w:tcPr>
          <w:p w14:paraId="0602B2CE">
            <w:pPr>
              <w:rPr>
                <w:rFonts w:ascii="仿宋" w:hAnsi="仿宋" w:eastAsia="仿宋" w:cs="仿宋"/>
                <w:kern w:val="0"/>
                <w:szCs w:val="24"/>
              </w:rPr>
            </w:pPr>
            <w:r>
              <w:rPr>
                <w:rFonts w:hint="eastAsia"/>
                <w:sz w:val="22"/>
              </w:rPr>
              <w:t>分包人未按月度或周计划完成施工任务，每延误一天且对工期产生实质性影响的，承包人有权按逾期天数要求分包人支付违约金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5E28A3AA">
            <w:pPr>
              <w:rPr>
                <w:rFonts w:ascii="仿宋" w:hAnsi="仿宋" w:eastAsia="仿宋" w:cs="仿宋"/>
                <w:kern w:val="0"/>
                <w:szCs w:val="24"/>
              </w:rPr>
            </w:pPr>
            <w:r>
              <w:rPr>
                <w:rFonts w:hint="eastAsia"/>
                <w:sz w:val="22"/>
              </w:rPr>
              <w:t xml:space="preserve"> 2000元/天</w:t>
            </w:r>
          </w:p>
        </w:tc>
      </w:tr>
      <w:tr w14:paraId="4F38EAB4">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4BC8F0E">
            <w:pPr>
              <w:rPr>
                <w:rFonts w:ascii="仿宋" w:hAnsi="仿宋" w:eastAsia="仿宋" w:cs="仿宋"/>
                <w:kern w:val="0"/>
                <w:szCs w:val="24"/>
              </w:rPr>
            </w:pPr>
            <w:r>
              <w:rPr>
                <w:rFonts w:hint="eastAsia"/>
                <w:sz w:val="22"/>
              </w:rPr>
              <w:t>8</w:t>
            </w:r>
          </w:p>
        </w:tc>
        <w:tc>
          <w:tcPr>
            <w:tcW w:w="3357" w:type="pct"/>
            <w:tcBorders>
              <w:top w:val="single" w:color="000000" w:sz="4" w:space="0"/>
              <w:left w:val="single" w:color="000000" w:sz="4" w:space="0"/>
              <w:bottom w:val="single" w:color="000000" w:sz="4" w:space="0"/>
              <w:right w:val="single" w:color="000000" w:sz="4" w:space="0"/>
            </w:tcBorders>
            <w:vAlign w:val="center"/>
          </w:tcPr>
          <w:p w14:paraId="07722218">
            <w:pPr>
              <w:rPr>
                <w:rFonts w:ascii="仿宋" w:hAnsi="仿宋" w:eastAsia="仿宋" w:cs="仿宋"/>
                <w:kern w:val="0"/>
                <w:szCs w:val="24"/>
              </w:rPr>
            </w:pPr>
            <w:r>
              <w:rPr>
                <w:rFonts w:hint="eastAsia"/>
                <w:sz w:val="22"/>
              </w:rPr>
              <w:t>分包人不按时上报总进度、月度、每周等各类计划及报表的，承包人有权按逾期天数要求分包人支付违约金。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0DA7D666">
            <w:pPr>
              <w:rPr>
                <w:rFonts w:ascii="仿宋" w:hAnsi="仿宋" w:eastAsia="仿宋" w:cs="仿宋"/>
                <w:kern w:val="0"/>
                <w:szCs w:val="24"/>
              </w:rPr>
            </w:pPr>
            <w:r>
              <w:rPr>
                <w:rFonts w:hint="eastAsia"/>
                <w:sz w:val="22"/>
              </w:rPr>
              <w:t>1000元/天</w:t>
            </w:r>
          </w:p>
        </w:tc>
      </w:tr>
      <w:tr w14:paraId="2843BA03">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B73ACD0">
            <w:pPr>
              <w:rPr>
                <w:rFonts w:ascii="仿宋" w:hAnsi="仿宋" w:eastAsia="仿宋" w:cs="仿宋"/>
                <w:kern w:val="0"/>
                <w:szCs w:val="24"/>
              </w:rPr>
            </w:pPr>
            <w:r>
              <w:rPr>
                <w:rFonts w:hint="eastAsia"/>
                <w:sz w:val="22"/>
              </w:rPr>
              <w:t>9</w:t>
            </w:r>
          </w:p>
        </w:tc>
        <w:tc>
          <w:tcPr>
            <w:tcW w:w="3357" w:type="pct"/>
            <w:tcBorders>
              <w:top w:val="single" w:color="000000" w:sz="4" w:space="0"/>
              <w:left w:val="single" w:color="000000" w:sz="4" w:space="0"/>
              <w:bottom w:val="single" w:color="000000" w:sz="4" w:space="0"/>
              <w:right w:val="single" w:color="000000" w:sz="4" w:space="0"/>
            </w:tcBorders>
            <w:vAlign w:val="center"/>
          </w:tcPr>
          <w:p w14:paraId="1DADCB25">
            <w:pPr>
              <w:rPr>
                <w:rFonts w:ascii="仿宋" w:hAnsi="仿宋" w:eastAsia="仿宋" w:cs="仿宋"/>
                <w:kern w:val="0"/>
                <w:szCs w:val="24"/>
              </w:rPr>
            </w:pPr>
            <w:r>
              <w:rPr>
                <w:rFonts w:hint="eastAsia"/>
                <w:sz w:val="22"/>
              </w:rPr>
              <w:t>分包人原因导致工程不能按合同竣工日期验收合格或移交发包人的，每延误一天，分包人应向发包人支付违约金（如果工期延误引起发包人或其他人相关损失，分包人应负全部赔偿责任）</w:t>
            </w:r>
          </w:p>
        </w:tc>
        <w:tc>
          <w:tcPr>
            <w:tcW w:w="1230" w:type="pct"/>
            <w:tcBorders>
              <w:top w:val="single" w:color="000000" w:sz="4" w:space="0"/>
              <w:left w:val="single" w:color="000000" w:sz="4" w:space="0"/>
              <w:bottom w:val="single" w:color="000000" w:sz="4" w:space="0"/>
              <w:right w:val="single" w:color="000000" w:sz="4" w:space="0"/>
            </w:tcBorders>
            <w:vAlign w:val="center"/>
          </w:tcPr>
          <w:p w14:paraId="5F9D2734">
            <w:pPr>
              <w:rPr>
                <w:rFonts w:ascii="仿宋" w:hAnsi="仿宋" w:eastAsia="仿宋" w:cs="仿宋"/>
                <w:kern w:val="0"/>
                <w:szCs w:val="24"/>
              </w:rPr>
            </w:pPr>
            <w:r>
              <w:rPr>
                <w:rFonts w:hint="eastAsia"/>
                <w:sz w:val="22"/>
              </w:rPr>
              <w:t>1万元/天</w:t>
            </w:r>
          </w:p>
        </w:tc>
      </w:tr>
      <w:tr w14:paraId="2653A2A9">
        <w:tblPrEx>
          <w:tblCellMar>
            <w:top w:w="0" w:type="dxa"/>
            <w:left w:w="108" w:type="dxa"/>
            <w:bottom w:w="0" w:type="dxa"/>
            <w:right w:w="108" w:type="dxa"/>
          </w:tblCellMar>
        </w:tblPrEx>
        <w:trPr>
          <w:trHeight w:val="270" w:hRule="atLeast"/>
        </w:trPr>
        <w:tc>
          <w:tcPr>
            <w:tcW w:w="413" w:type="pct"/>
            <w:tcBorders>
              <w:top w:val="nil"/>
              <w:left w:val="nil"/>
              <w:bottom w:val="nil"/>
              <w:right w:val="nil"/>
            </w:tcBorders>
            <w:noWrap/>
            <w:vAlign w:val="center"/>
          </w:tcPr>
          <w:p w14:paraId="57B15F4C">
            <w:pPr>
              <w:rPr>
                <w:rFonts w:ascii="仿宋" w:hAnsi="仿宋" w:eastAsia="仿宋" w:cs="仿宋"/>
                <w:kern w:val="0"/>
                <w:szCs w:val="24"/>
              </w:rPr>
            </w:pPr>
          </w:p>
        </w:tc>
        <w:tc>
          <w:tcPr>
            <w:tcW w:w="3357" w:type="pct"/>
            <w:tcBorders>
              <w:top w:val="nil"/>
              <w:left w:val="nil"/>
              <w:bottom w:val="nil"/>
              <w:right w:val="nil"/>
            </w:tcBorders>
            <w:noWrap/>
            <w:vAlign w:val="center"/>
          </w:tcPr>
          <w:p w14:paraId="5AAA023B">
            <w:pPr>
              <w:rPr>
                <w:rFonts w:ascii="仿宋" w:hAnsi="仿宋" w:eastAsia="仿宋" w:cs="仿宋"/>
                <w:kern w:val="0"/>
                <w:szCs w:val="24"/>
              </w:rPr>
            </w:pPr>
          </w:p>
        </w:tc>
        <w:tc>
          <w:tcPr>
            <w:tcW w:w="1230" w:type="pct"/>
            <w:tcBorders>
              <w:top w:val="nil"/>
              <w:left w:val="nil"/>
              <w:bottom w:val="nil"/>
              <w:right w:val="nil"/>
            </w:tcBorders>
            <w:noWrap/>
            <w:vAlign w:val="center"/>
          </w:tcPr>
          <w:p w14:paraId="3DCB87B3">
            <w:pPr>
              <w:rPr>
                <w:rFonts w:ascii="仿宋" w:hAnsi="仿宋" w:eastAsia="仿宋" w:cs="仿宋"/>
                <w:kern w:val="0"/>
                <w:szCs w:val="24"/>
              </w:rPr>
            </w:pPr>
          </w:p>
        </w:tc>
      </w:tr>
      <w:tr w14:paraId="0774D33C">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5A3A6126">
            <w:pPr>
              <w:rPr>
                <w:rFonts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.3</w:t>
            </w:r>
            <w:r>
              <w:rPr>
                <w:rFonts w:hint="eastAsia" w:asciiTheme="minorEastAsia" w:hAnsiTheme="minorEastAsia" w:eastAsiaTheme="minorEastAsia"/>
                <w:b/>
                <w:bCs/>
                <w:sz w:val="22"/>
                <w:szCs w:val="24"/>
              </w:rPr>
              <w:t>质量控制违约责任：</w:t>
            </w:r>
          </w:p>
        </w:tc>
      </w:tr>
      <w:tr w14:paraId="3CCC2163">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6FF71BA">
            <w:pPr>
              <w:rPr>
                <w:rFonts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0666BF4B">
            <w:pPr>
              <w:rPr>
                <w:rFonts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5658EF06">
            <w:pPr>
              <w:rPr>
                <w:rFonts w:ascii="仿宋" w:hAnsi="仿宋" w:eastAsia="仿宋" w:cs="仿宋"/>
                <w:kern w:val="0"/>
                <w:szCs w:val="24"/>
              </w:rPr>
            </w:pPr>
            <w:r>
              <w:rPr>
                <w:rFonts w:hint="eastAsia" w:ascii="仿宋" w:hAnsi="仿宋" w:eastAsia="仿宋" w:cs="仿宋"/>
                <w:kern w:val="0"/>
                <w:szCs w:val="24"/>
              </w:rPr>
              <w:t>违约处理</w:t>
            </w:r>
          </w:p>
        </w:tc>
      </w:tr>
      <w:tr w14:paraId="2A25EFC1">
        <w:tblPrEx>
          <w:tblCellMar>
            <w:top w:w="0" w:type="dxa"/>
            <w:left w:w="108" w:type="dxa"/>
            <w:bottom w:w="0" w:type="dxa"/>
            <w:right w:w="108" w:type="dxa"/>
          </w:tblCellMar>
        </w:tblPrEx>
        <w:trPr>
          <w:trHeight w:val="28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F47F7DB">
            <w:pPr>
              <w:rPr>
                <w:rFonts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199F21D6">
            <w:pPr>
              <w:rPr>
                <w:rFonts w:ascii="仿宋" w:hAnsi="仿宋" w:eastAsia="仿宋" w:cs="仿宋"/>
                <w:kern w:val="0"/>
                <w:szCs w:val="24"/>
              </w:rPr>
            </w:pPr>
            <w:r>
              <w:rPr>
                <w:rFonts w:hint="eastAsia"/>
                <w:sz w:val="22"/>
              </w:rPr>
              <w:t>分包人在施工过程中，因质量问题需对已完工程进行整改、返工的，产生的费用增加由分包人全部负责。若分包人有违反质量评定标准的质量问题，或者导致承包人、发包人、监理人、建设主管部门就质量问题发出停工整改通知的，视情节轻重，分包人按次承担违约金，同时亦不免除分包人对不合格工程进行整改、返工的责任、工期不予顺延。</w:t>
            </w:r>
          </w:p>
        </w:tc>
        <w:tc>
          <w:tcPr>
            <w:tcW w:w="1230" w:type="pct"/>
            <w:tcBorders>
              <w:top w:val="single" w:color="000000" w:sz="4" w:space="0"/>
              <w:left w:val="single" w:color="000000" w:sz="4" w:space="0"/>
              <w:bottom w:val="single" w:color="000000" w:sz="4" w:space="0"/>
              <w:right w:val="single" w:color="000000" w:sz="4" w:space="0"/>
            </w:tcBorders>
            <w:vAlign w:val="center"/>
          </w:tcPr>
          <w:p w14:paraId="7BC969B8">
            <w:pPr>
              <w:rPr>
                <w:rFonts w:ascii="仿宋" w:hAnsi="仿宋" w:eastAsia="仿宋" w:cs="仿宋"/>
                <w:kern w:val="0"/>
                <w:szCs w:val="24"/>
              </w:rPr>
            </w:pPr>
            <w:r>
              <w:rPr>
                <w:rFonts w:hint="eastAsia"/>
                <w:sz w:val="22"/>
              </w:rPr>
              <w:t>1-5万元/次</w:t>
            </w:r>
          </w:p>
        </w:tc>
      </w:tr>
      <w:tr w14:paraId="6B3D1002">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23FC91E">
            <w:pPr>
              <w:rPr>
                <w:rFonts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2A488402">
            <w:pPr>
              <w:rPr>
                <w:rFonts w:ascii="仿宋" w:hAnsi="仿宋" w:eastAsia="仿宋" w:cs="仿宋"/>
                <w:kern w:val="0"/>
                <w:szCs w:val="24"/>
              </w:rPr>
            </w:pPr>
            <w:r>
              <w:rPr>
                <w:rFonts w:hint="eastAsia"/>
                <w:sz w:val="22"/>
              </w:rPr>
              <w:t>分包人未按承包人、发包人审定的施工方案、施工工艺和图纸进行施工的，每次（项）须承担违约金，同时亦不免除分包人对不合格施工方案、施工工艺的整改责任。</w:t>
            </w:r>
          </w:p>
        </w:tc>
        <w:tc>
          <w:tcPr>
            <w:tcW w:w="1230" w:type="pct"/>
            <w:tcBorders>
              <w:top w:val="single" w:color="000000" w:sz="4" w:space="0"/>
              <w:left w:val="single" w:color="000000" w:sz="4" w:space="0"/>
              <w:bottom w:val="single" w:color="000000" w:sz="4" w:space="0"/>
              <w:right w:val="single" w:color="000000" w:sz="4" w:space="0"/>
            </w:tcBorders>
            <w:vAlign w:val="center"/>
          </w:tcPr>
          <w:p w14:paraId="6FBB19E9">
            <w:pPr>
              <w:rPr>
                <w:rFonts w:ascii="仿宋" w:hAnsi="仿宋" w:eastAsia="仿宋" w:cs="仿宋"/>
                <w:kern w:val="0"/>
                <w:szCs w:val="24"/>
              </w:rPr>
            </w:pPr>
            <w:r>
              <w:rPr>
                <w:rFonts w:hint="eastAsia"/>
                <w:sz w:val="22"/>
              </w:rPr>
              <w:t>5000元/次</w:t>
            </w:r>
          </w:p>
        </w:tc>
      </w:tr>
      <w:tr w14:paraId="3F1DEE51">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24F89C0">
            <w:pPr>
              <w:rPr>
                <w:rFonts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754F42E9">
            <w:pPr>
              <w:rPr>
                <w:rFonts w:ascii="仿宋" w:hAnsi="仿宋" w:eastAsia="仿宋" w:cs="仿宋"/>
                <w:kern w:val="0"/>
                <w:szCs w:val="24"/>
              </w:rPr>
            </w:pPr>
            <w:r>
              <w:rPr>
                <w:rFonts w:hint="eastAsia"/>
                <w:sz w:val="22"/>
              </w:rPr>
              <w:t>分包人对承包人指出的质量问题未按时整改并回复，分包人应限期整改完成，承包人有权要求分包人支付违约金。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00224FCE">
            <w:pPr>
              <w:rPr>
                <w:rFonts w:ascii="仿宋" w:hAnsi="仿宋" w:eastAsia="仿宋" w:cs="仿宋"/>
                <w:kern w:val="0"/>
                <w:szCs w:val="24"/>
              </w:rPr>
            </w:pPr>
            <w:r>
              <w:rPr>
                <w:rFonts w:hint="eastAsia"/>
                <w:sz w:val="22"/>
              </w:rPr>
              <w:t>1000元/条/天</w:t>
            </w:r>
          </w:p>
        </w:tc>
      </w:tr>
      <w:tr w14:paraId="1760365A">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A125E03">
            <w:pPr>
              <w:rPr>
                <w:rFonts w:ascii="仿宋" w:hAnsi="仿宋" w:eastAsia="仿宋" w:cs="仿宋"/>
                <w:kern w:val="0"/>
                <w:szCs w:val="24"/>
              </w:rPr>
            </w:pPr>
            <w:r>
              <w:rPr>
                <w:rFonts w:hint="eastAsia"/>
                <w:sz w:val="22"/>
              </w:rPr>
              <w:t>4</w:t>
            </w:r>
          </w:p>
        </w:tc>
        <w:tc>
          <w:tcPr>
            <w:tcW w:w="3357" w:type="pct"/>
            <w:tcBorders>
              <w:top w:val="single" w:color="000000" w:sz="4" w:space="0"/>
              <w:left w:val="single" w:color="000000" w:sz="4" w:space="0"/>
              <w:bottom w:val="single" w:color="000000" w:sz="4" w:space="0"/>
              <w:right w:val="single" w:color="000000" w:sz="4" w:space="0"/>
            </w:tcBorders>
            <w:vAlign w:val="center"/>
          </w:tcPr>
          <w:p w14:paraId="16F45BB6">
            <w:pPr>
              <w:rPr>
                <w:rFonts w:ascii="仿宋" w:hAnsi="仿宋" w:eastAsia="仿宋" w:cs="仿宋"/>
                <w:kern w:val="0"/>
                <w:szCs w:val="24"/>
              </w:rPr>
            </w:pPr>
            <w:r>
              <w:rPr>
                <w:rFonts w:hint="eastAsia"/>
                <w:sz w:val="22"/>
              </w:rPr>
              <w:t>工程施工期间和缺陷责任期内，由于分包人责任出现质量问题、安全事故或者其他原因，使发包人或项目受到报纸、电视等媒体的曝光或政府有关主管部门的通报批评的，每出现一次，承包人有权要求分包人支付违约金；情节严重的，分包人应承担相应的工期延误、经济等损失。</w:t>
            </w:r>
          </w:p>
        </w:tc>
        <w:tc>
          <w:tcPr>
            <w:tcW w:w="1230" w:type="pct"/>
            <w:tcBorders>
              <w:top w:val="single" w:color="000000" w:sz="4" w:space="0"/>
              <w:left w:val="single" w:color="000000" w:sz="4" w:space="0"/>
              <w:bottom w:val="single" w:color="000000" w:sz="4" w:space="0"/>
              <w:right w:val="single" w:color="000000" w:sz="4" w:space="0"/>
            </w:tcBorders>
            <w:vAlign w:val="center"/>
          </w:tcPr>
          <w:p w14:paraId="3CF07EDE">
            <w:pPr>
              <w:rPr>
                <w:rFonts w:ascii="仿宋" w:hAnsi="仿宋" w:eastAsia="仿宋" w:cs="仿宋"/>
                <w:kern w:val="0"/>
                <w:szCs w:val="24"/>
              </w:rPr>
            </w:pPr>
            <w:r>
              <w:rPr>
                <w:rFonts w:hint="eastAsia"/>
                <w:sz w:val="22"/>
              </w:rPr>
              <w:t>2万元/次</w:t>
            </w:r>
          </w:p>
        </w:tc>
      </w:tr>
      <w:tr w14:paraId="2D1D72F4">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B6F0991">
            <w:pPr>
              <w:rPr>
                <w:rFonts w:ascii="仿宋" w:hAnsi="仿宋" w:eastAsia="仿宋" w:cs="仿宋"/>
                <w:kern w:val="0"/>
                <w:szCs w:val="24"/>
              </w:rPr>
            </w:pPr>
            <w:r>
              <w:rPr>
                <w:rFonts w:hint="eastAsia"/>
                <w:sz w:val="22"/>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62881177">
            <w:pPr>
              <w:rPr>
                <w:rFonts w:ascii="仿宋" w:hAnsi="仿宋" w:eastAsia="仿宋" w:cs="仿宋"/>
                <w:kern w:val="0"/>
                <w:szCs w:val="24"/>
              </w:rPr>
            </w:pPr>
            <w:r>
              <w:rPr>
                <w:rFonts w:hint="eastAsia"/>
                <w:sz w:val="22"/>
              </w:rPr>
              <w:t>分包人未经报验，擅自进行下道工序施工的，发现后按次支付违约金；如发生质量问题，分包人应无条件进行相应拆除整改工作，并承担所产生的工期延误、经济损失。</w:t>
            </w:r>
          </w:p>
        </w:tc>
        <w:tc>
          <w:tcPr>
            <w:tcW w:w="1230" w:type="pct"/>
            <w:tcBorders>
              <w:top w:val="single" w:color="000000" w:sz="4" w:space="0"/>
              <w:left w:val="single" w:color="000000" w:sz="4" w:space="0"/>
              <w:bottom w:val="single" w:color="000000" w:sz="4" w:space="0"/>
              <w:right w:val="single" w:color="000000" w:sz="4" w:space="0"/>
            </w:tcBorders>
            <w:vAlign w:val="center"/>
          </w:tcPr>
          <w:p w14:paraId="2A65A370">
            <w:pPr>
              <w:rPr>
                <w:rFonts w:ascii="仿宋" w:hAnsi="仿宋" w:eastAsia="仿宋" w:cs="仿宋"/>
                <w:kern w:val="0"/>
                <w:szCs w:val="24"/>
              </w:rPr>
            </w:pPr>
            <w:r>
              <w:rPr>
                <w:rFonts w:hint="eastAsia"/>
                <w:sz w:val="22"/>
              </w:rPr>
              <w:t>2000元/次</w:t>
            </w:r>
          </w:p>
        </w:tc>
      </w:tr>
      <w:tr w14:paraId="4A0A1DB6">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CAA7DE4">
            <w:pPr>
              <w:rPr>
                <w:rFonts w:ascii="仿宋" w:hAnsi="仿宋" w:eastAsia="仿宋" w:cs="仿宋"/>
                <w:kern w:val="0"/>
                <w:szCs w:val="24"/>
              </w:rPr>
            </w:pPr>
            <w:r>
              <w:rPr>
                <w:rFonts w:hint="eastAsia"/>
                <w:sz w:val="22"/>
              </w:rPr>
              <w:t>6</w:t>
            </w:r>
          </w:p>
        </w:tc>
        <w:tc>
          <w:tcPr>
            <w:tcW w:w="3357" w:type="pct"/>
            <w:tcBorders>
              <w:top w:val="single" w:color="000000" w:sz="4" w:space="0"/>
              <w:left w:val="single" w:color="000000" w:sz="4" w:space="0"/>
              <w:bottom w:val="single" w:color="000000" w:sz="4" w:space="0"/>
              <w:right w:val="single" w:color="000000" w:sz="4" w:space="0"/>
            </w:tcBorders>
            <w:vAlign w:val="center"/>
          </w:tcPr>
          <w:p w14:paraId="0BABC5B3">
            <w:pPr>
              <w:rPr>
                <w:rFonts w:ascii="仿宋" w:hAnsi="仿宋" w:eastAsia="仿宋" w:cs="仿宋"/>
                <w:kern w:val="0"/>
                <w:szCs w:val="24"/>
              </w:rPr>
            </w:pPr>
            <w:r>
              <w:rPr>
                <w:rFonts w:hint="eastAsia"/>
                <w:sz w:val="22"/>
              </w:rPr>
              <w:t>隐蔽工程未经承包人和发包人同意分包人私自进行隐蔽的，发现后按次支付违约金，且分包人应无条件配合承包人和发包人进行检验，如检验不合格分包人须无条件返工直至验收合格。相关检验、返工等所发生的费用、工期延误由分包人自行承担，同时分包人应承担因此而发生的承包人或发包人与第三方单位的损失，且第三方单位的工期索赔应由分包人承担。</w:t>
            </w:r>
          </w:p>
        </w:tc>
        <w:tc>
          <w:tcPr>
            <w:tcW w:w="1230" w:type="pct"/>
            <w:tcBorders>
              <w:top w:val="single" w:color="000000" w:sz="4" w:space="0"/>
              <w:left w:val="single" w:color="000000" w:sz="4" w:space="0"/>
              <w:bottom w:val="single" w:color="000000" w:sz="4" w:space="0"/>
              <w:right w:val="single" w:color="000000" w:sz="4" w:space="0"/>
            </w:tcBorders>
            <w:vAlign w:val="center"/>
          </w:tcPr>
          <w:p w14:paraId="5114C85C">
            <w:pPr>
              <w:rPr>
                <w:rFonts w:ascii="仿宋" w:hAnsi="仿宋" w:eastAsia="仿宋" w:cs="仿宋"/>
                <w:kern w:val="0"/>
                <w:szCs w:val="24"/>
              </w:rPr>
            </w:pPr>
            <w:r>
              <w:rPr>
                <w:rFonts w:hint="eastAsia"/>
                <w:sz w:val="22"/>
              </w:rPr>
              <w:t>1万元/次</w:t>
            </w:r>
          </w:p>
        </w:tc>
      </w:tr>
      <w:tr w14:paraId="6FD8CEB7">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D4944AC">
            <w:pPr>
              <w:rPr>
                <w:rFonts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vAlign w:val="center"/>
          </w:tcPr>
          <w:p w14:paraId="23BB7DF2">
            <w:pPr>
              <w:rPr>
                <w:rFonts w:ascii="仿宋" w:hAnsi="仿宋" w:eastAsia="仿宋" w:cs="仿宋"/>
                <w:kern w:val="0"/>
                <w:szCs w:val="24"/>
              </w:rPr>
            </w:pPr>
            <w:r>
              <w:rPr>
                <w:rFonts w:hint="eastAsia"/>
                <w:sz w:val="22"/>
              </w:rPr>
              <w:t>若竣工验收工程质量达不到标准要求，分包人必须按限期整改，分包人整改时间超过限期，根据期限天数，每延迟一天，承包人或发包人有权要求分包人支付违约金。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32CCD827">
            <w:pPr>
              <w:rPr>
                <w:rFonts w:ascii="仿宋" w:hAnsi="仿宋" w:eastAsia="仿宋" w:cs="仿宋"/>
                <w:kern w:val="0"/>
                <w:szCs w:val="24"/>
              </w:rPr>
            </w:pPr>
            <w:r>
              <w:rPr>
                <w:rFonts w:hint="eastAsia"/>
                <w:sz w:val="22"/>
              </w:rPr>
              <w:t>1万元/次</w:t>
            </w:r>
          </w:p>
        </w:tc>
      </w:tr>
      <w:tr w14:paraId="2C7FF45D">
        <w:tblPrEx>
          <w:tblCellMar>
            <w:top w:w="0" w:type="dxa"/>
            <w:left w:w="108" w:type="dxa"/>
            <w:bottom w:w="0" w:type="dxa"/>
            <w:right w:w="108" w:type="dxa"/>
          </w:tblCellMar>
        </w:tblPrEx>
        <w:trPr>
          <w:trHeight w:val="142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CB434E0">
            <w:pPr>
              <w:rPr>
                <w:rFonts w:ascii="仿宋" w:hAnsi="仿宋" w:eastAsia="仿宋" w:cs="仿宋"/>
                <w:kern w:val="0"/>
                <w:szCs w:val="24"/>
              </w:rPr>
            </w:pPr>
            <w:r>
              <w:rPr>
                <w:rFonts w:hint="eastAsia"/>
                <w:sz w:val="22"/>
              </w:rPr>
              <w:t>8</w:t>
            </w:r>
          </w:p>
        </w:tc>
        <w:tc>
          <w:tcPr>
            <w:tcW w:w="3357" w:type="pct"/>
            <w:tcBorders>
              <w:top w:val="single" w:color="000000" w:sz="4" w:space="0"/>
              <w:left w:val="single" w:color="000000" w:sz="4" w:space="0"/>
              <w:bottom w:val="single" w:color="000000" w:sz="4" w:space="0"/>
              <w:right w:val="single" w:color="000000" w:sz="4" w:space="0"/>
            </w:tcBorders>
            <w:vAlign w:val="center"/>
          </w:tcPr>
          <w:p w14:paraId="0EFC799B">
            <w:pPr>
              <w:rPr>
                <w:rFonts w:ascii="仿宋" w:hAnsi="仿宋" w:eastAsia="仿宋" w:cs="仿宋"/>
                <w:kern w:val="0"/>
                <w:szCs w:val="24"/>
              </w:rPr>
            </w:pPr>
            <w:r>
              <w:rPr>
                <w:rFonts w:hint="eastAsia"/>
                <w:sz w:val="22"/>
              </w:rPr>
              <w:t>发包人在施工过程中发现分包人未按照本项目制定的质量控制点相关要求进行施工的，其中，每发现一次一类控制点的，分包人应向承包人支付5000元违约金；每发现一次二类控制点的，分包人应向承包人支付3000元违约金；每发现一次三类控制点的，分包人应向承包人支付1000元违约金。（一类控制点与主体结构安全相关，整改难度极大；二类控制点对项目整体工程质量起指导性或关键性作用；三类控制点需要按质量规范执行，对施工过程中工序、工艺进行纠偏。）</w:t>
            </w:r>
          </w:p>
        </w:tc>
        <w:tc>
          <w:tcPr>
            <w:tcW w:w="1230" w:type="pct"/>
            <w:tcBorders>
              <w:top w:val="single" w:color="000000" w:sz="4" w:space="0"/>
              <w:left w:val="single" w:color="000000" w:sz="4" w:space="0"/>
              <w:bottom w:val="single" w:color="000000" w:sz="4" w:space="0"/>
              <w:right w:val="single" w:color="000000" w:sz="4" w:space="0"/>
            </w:tcBorders>
            <w:vAlign w:val="center"/>
          </w:tcPr>
          <w:p w14:paraId="10BF7784">
            <w:pPr>
              <w:rPr>
                <w:rFonts w:ascii="仿宋" w:hAnsi="仿宋" w:eastAsia="仿宋" w:cs="仿宋"/>
                <w:kern w:val="0"/>
                <w:szCs w:val="24"/>
              </w:rPr>
            </w:pPr>
            <w:r>
              <w:rPr>
                <w:rFonts w:hint="eastAsia"/>
                <w:sz w:val="22"/>
              </w:rPr>
              <w:t>一类控制点，5000元/次；二类控制点，3000元/次；三类控制点，1000元/次；</w:t>
            </w:r>
          </w:p>
        </w:tc>
      </w:tr>
      <w:tr w14:paraId="1A6C70E9">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C62345B">
            <w:pPr>
              <w:rPr>
                <w:rFonts w:ascii="仿宋" w:hAnsi="仿宋" w:eastAsia="仿宋" w:cs="仿宋"/>
                <w:kern w:val="0"/>
                <w:szCs w:val="24"/>
              </w:rPr>
            </w:pPr>
            <w:r>
              <w:rPr>
                <w:rFonts w:hint="eastAsia"/>
                <w:sz w:val="22"/>
              </w:rPr>
              <w:t>9</w:t>
            </w:r>
          </w:p>
        </w:tc>
        <w:tc>
          <w:tcPr>
            <w:tcW w:w="3357" w:type="pct"/>
            <w:tcBorders>
              <w:top w:val="single" w:color="000000" w:sz="4" w:space="0"/>
              <w:left w:val="single" w:color="000000" w:sz="4" w:space="0"/>
              <w:bottom w:val="single" w:color="000000" w:sz="4" w:space="0"/>
              <w:right w:val="single" w:color="000000" w:sz="4" w:space="0"/>
            </w:tcBorders>
            <w:vAlign w:val="center"/>
          </w:tcPr>
          <w:p w14:paraId="703B3733">
            <w:pPr>
              <w:rPr>
                <w:rFonts w:ascii="仿宋" w:hAnsi="仿宋" w:eastAsia="仿宋" w:cs="仿宋"/>
                <w:kern w:val="0"/>
                <w:szCs w:val="24"/>
              </w:rPr>
            </w:pPr>
            <w:r>
              <w:rPr>
                <w:rFonts w:hint="eastAsia"/>
                <w:sz w:val="22"/>
              </w:rPr>
              <w:t>分包人使用了不合格材料或工程设备，工程质量达不到标准要求，或拒绝清除不合格工程的，除按本合同通用条款约定执行外，每发生一次该事项分包人支付违约金。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15995C01">
            <w:pPr>
              <w:rPr>
                <w:rFonts w:ascii="仿宋" w:hAnsi="仿宋" w:eastAsia="仿宋" w:cs="仿宋"/>
                <w:kern w:val="0"/>
                <w:szCs w:val="24"/>
              </w:rPr>
            </w:pPr>
            <w:r>
              <w:rPr>
                <w:rFonts w:hint="eastAsia"/>
                <w:sz w:val="22"/>
              </w:rPr>
              <w:t>1万元/次</w:t>
            </w:r>
          </w:p>
        </w:tc>
      </w:tr>
      <w:tr w14:paraId="65A94F26">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529854F">
            <w:pPr>
              <w:rPr>
                <w:rFonts w:ascii="仿宋" w:hAnsi="仿宋" w:eastAsia="仿宋" w:cs="仿宋"/>
                <w:kern w:val="0"/>
                <w:szCs w:val="24"/>
              </w:rPr>
            </w:pPr>
            <w:r>
              <w:rPr>
                <w:rFonts w:hint="eastAsia"/>
                <w:sz w:val="22"/>
              </w:rPr>
              <w:t>10</w:t>
            </w:r>
          </w:p>
        </w:tc>
        <w:tc>
          <w:tcPr>
            <w:tcW w:w="3357" w:type="pct"/>
            <w:tcBorders>
              <w:top w:val="single" w:color="000000" w:sz="4" w:space="0"/>
              <w:left w:val="single" w:color="000000" w:sz="4" w:space="0"/>
              <w:bottom w:val="single" w:color="000000" w:sz="4" w:space="0"/>
              <w:right w:val="single" w:color="000000" w:sz="4" w:space="0"/>
            </w:tcBorders>
            <w:vAlign w:val="center"/>
          </w:tcPr>
          <w:p w14:paraId="71DBA5C3">
            <w:pPr>
              <w:rPr>
                <w:rFonts w:ascii="仿宋" w:hAnsi="仿宋" w:eastAsia="仿宋" w:cs="仿宋"/>
                <w:kern w:val="0"/>
                <w:szCs w:val="24"/>
              </w:rPr>
            </w:pPr>
            <w:r>
              <w:rPr>
                <w:rFonts w:hint="eastAsia"/>
                <w:sz w:val="22"/>
              </w:rPr>
              <w:t>若分包人将假冒伪劣材料设备用于本工程，则每发生一例，经发包人书面通知，承包人有权要求分包人承担相当于该批材料价款2倍的违约金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7389CECF">
            <w:pPr>
              <w:rPr>
                <w:rFonts w:ascii="仿宋" w:hAnsi="仿宋" w:eastAsia="仿宋" w:cs="仿宋"/>
                <w:kern w:val="0"/>
                <w:szCs w:val="24"/>
              </w:rPr>
            </w:pPr>
            <w:r>
              <w:rPr>
                <w:rFonts w:hint="eastAsia"/>
                <w:sz w:val="22"/>
              </w:rPr>
              <w:t>该批材料价款2倍</w:t>
            </w:r>
          </w:p>
        </w:tc>
      </w:tr>
      <w:tr w14:paraId="384FA742">
        <w:tblPrEx>
          <w:tblCellMar>
            <w:top w:w="0" w:type="dxa"/>
            <w:left w:w="108" w:type="dxa"/>
            <w:bottom w:w="0" w:type="dxa"/>
            <w:right w:w="108" w:type="dxa"/>
          </w:tblCellMar>
        </w:tblPrEx>
        <w:trPr>
          <w:trHeight w:val="28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E49F73D">
            <w:pPr>
              <w:rPr>
                <w:rFonts w:ascii="仿宋" w:hAnsi="仿宋" w:eastAsia="仿宋" w:cs="仿宋"/>
                <w:kern w:val="0"/>
                <w:szCs w:val="24"/>
              </w:rPr>
            </w:pPr>
            <w:r>
              <w:rPr>
                <w:rFonts w:hint="eastAsia"/>
                <w:sz w:val="22"/>
              </w:rPr>
              <w:t>11</w:t>
            </w:r>
          </w:p>
        </w:tc>
        <w:tc>
          <w:tcPr>
            <w:tcW w:w="3357" w:type="pct"/>
            <w:tcBorders>
              <w:top w:val="single" w:color="000000" w:sz="4" w:space="0"/>
              <w:left w:val="single" w:color="000000" w:sz="4" w:space="0"/>
              <w:bottom w:val="single" w:color="000000" w:sz="4" w:space="0"/>
              <w:right w:val="single" w:color="000000" w:sz="4" w:space="0"/>
            </w:tcBorders>
            <w:vAlign w:val="center"/>
          </w:tcPr>
          <w:p w14:paraId="04F5D293">
            <w:pPr>
              <w:rPr>
                <w:rFonts w:ascii="仿宋" w:hAnsi="仿宋" w:eastAsia="仿宋" w:cs="仿宋"/>
                <w:kern w:val="0"/>
                <w:szCs w:val="24"/>
              </w:rPr>
            </w:pPr>
            <w:r>
              <w:rPr>
                <w:rFonts w:hint="eastAsia"/>
                <w:sz w:val="22"/>
              </w:rPr>
              <w:t>分包人所使用材料应严格按照合同约定品牌、型号，若发现现场使用材料品牌、型号与合同约定不符，分包人需将所有不符合要求的材料进行更换，并承担相应违约责任：每出现一次，分包人应向承包人支付违约金，并承担因此而造成的直接或间接损失，若出现三次以上（含三次），承包人有权解除合同，并要求分包人承担相应的工期延误、经济等损失。</w:t>
            </w:r>
          </w:p>
        </w:tc>
        <w:tc>
          <w:tcPr>
            <w:tcW w:w="1230" w:type="pct"/>
            <w:tcBorders>
              <w:top w:val="single" w:color="000000" w:sz="4" w:space="0"/>
              <w:left w:val="single" w:color="000000" w:sz="4" w:space="0"/>
              <w:bottom w:val="single" w:color="000000" w:sz="4" w:space="0"/>
              <w:right w:val="single" w:color="000000" w:sz="4" w:space="0"/>
            </w:tcBorders>
            <w:vAlign w:val="center"/>
          </w:tcPr>
          <w:p w14:paraId="31127C6C">
            <w:pPr>
              <w:rPr>
                <w:rFonts w:ascii="仿宋" w:hAnsi="仿宋" w:eastAsia="仿宋" w:cs="仿宋"/>
                <w:kern w:val="0"/>
                <w:szCs w:val="24"/>
              </w:rPr>
            </w:pPr>
            <w:r>
              <w:rPr>
                <w:rFonts w:hint="eastAsia"/>
                <w:sz w:val="22"/>
              </w:rPr>
              <w:t>1万元/次</w:t>
            </w:r>
          </w:p>
        </w:tc>
      </w:tr>
      <w:tr w14:paraId="5B5328C2">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022DC16">
            <w:pPr>
              <w:rPr>
                <w:rFonts w:ascii="仿宋" w:hAnsi="仿宋" w:eastAsia="仿宋" w:cs="仿宋"/>
                <w:kern w:val="0"/>
                <w:szCs w:val="24"/>
              </w:rPr>
            </w:pPr>
            <w:r>
              <w:rPr>
                <w:rFonts w:hint="eastAsia"/>
                <w:sz w:val="22"/>
              </w:rPr>
              <w:t>12</w:t>
            </w:r>
          </w:p>
        </w:tc>
        <w:tc>
          <w:tcPr>
            <w:tcW w:w="3357" w:type="pct"/>
            <w:tcBorders>
              <w:top w:val="single" w:color="000000" w:sz="4" w:space="0"/>
              <w:left w:val="single" w:color="000000" w:sz="4" w:space="0"/>
              <w:bottom w:val="single" w:color="000000" w:sz="4" w:space="0"/>
              <w:right w:val="single" w:color="000000" w:sz="4" w:space="0"/>
            </w:tcBorders>
            <w:vAlign w:val="center"/>
          </w:tcPr>
          <w:p w14:paraId="39466D7B">
            <w:pPr>
              <w:rPr>
                <w:rFonts w:ascii="仿宋" w:hAnsi="仿宋" w:eastAsia="仿宋" w:cs="仿宋"/>
                <w:kern w:val="0"/>
                <w:szCs w:val="24"/>
              </w:rPr>
            </w:pPr>
            <w:r>
              <w:rPr>
                <w:rFonts w:hint="eastAsia"/>
                <w:sz w:val="22"/>
              </w:rPr>
              <w:t>分包人按本合同约定的深化设计要求，进行深化设计图纸送审，次数不能超过三次；因深化设计图纸不满足成果深度要求及现场施工需求，报审达到三次后，承包人有权向分包人收取5000元/次违约金，且不免除分包人需完成的深化设计任务。</w:t>
            </w:r>
          </w:p>
        </w:tc>
        <w:tc>
          <w:tcPr>
            <w:tcW w:w="1230" w:type="pct"/>
            <w:tcBorders>
              <w:top w:val="single" w:color="000000" w:sz="4" w:space="0"/>
              <w:left w:val="single" w:color="000000" w:sz="4" w:space="0"/>
              <w:bottom w:val="single" w:color="000000" w:sz="4" w:space="0"/>
              <w:right w:val="single" w:color="000000" w:sz="4" w:space="0"/>
            </w:tcBorders>
            <w:vAlign w:val="center"/>
          </w:tcPr>
          <w:p w14:paraId="7CEBA688">
            <w:pPr>
              <w:rPr>
                <w:rFonts w:ascii="仿宋" w:hAnsi="仿宋" w:eastAsia="仿宋" w:cs="仿宋"/>
                <w:kern w:val="0"/>
                <w:szCs w:val="24"/>
              </w:rPr>
            </w:pPr>
            <w:r>
              <w:rPr>
                <w:rFonts w:hint="eastAsia"/>
                <w:sz w:val="22"/>
              </w:rPr>
              <w:t>5000元/次</w:t>
            </w:r>
          </w:p>
        </w:tc>
      </w:tr>
      <w:tr w14:paraId="712DA1AE">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429C050E">
            <w:pPr>
              <w:rPr>
                <w:rFonts w:ascii="仿宋" w:hAnsi="仿宋" w:eastAsia="仿宋" w:cs="仿宋"/>
                <w:kern w:val="0"/>
                <w:szCs w:val="24"/>
              </w:rPr>
            </w:pPr>
          </w:p>
          <w:p w14:paraId="3284F657">
            <w:pPr>
              <w:rPr>
                <w:rFonts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.4</w:t>
            </w:r>
            <w:r>
              <w:rPr>
                <w:rFonts w:hint="eastAsia" w:asciiTheme="minorEastAsia" w:hAnsiTheme="minorEastAsia" w:eastAsiaTheme="minorEastAsia"/>
                <w:b/>
                <w:bCs/>
                <w:sz w:val="22"/>
                <w:szCs w:val="24"/>
              </w:rPr>
              <w:t>文明施工、环境保护方面违约责任：</w:t>
            </w:r>
          </w:p>
        </w:tc>
      </w:tr>
      <w:tr w14:paraId="12C4FC16">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062D312">
            <w:pPr>
              <w:rPr>
                <w:rFonts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10AB0639">
            <w:pPr>
              <w:rPr>
                <w:rFonts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16413921">
            <w:pPr>
              <w:rPr>
                <w:rFonts w:ascii="仿宋" w:hAnsi="仿宋" w:eastAsia="仿宋" w:cs="仿宋"/>
                <w:kern w:val="0"/>
                <w:szCs w:val="24"/>
              </w:rPr>
            </w:pPr>
            <w:r>
              <w:rPr>
                <w:rFonts w:hint="eastAsia" w:ascii="仿宋" w:hAnsi="仿宋" w:eastAsia="仿宋" w:cs="仿宋"/>
                <w:kern w:val="0"/>
                <w:szCs w:val="24"/>
              </w:rPr>
              <w:t>违约处理</w:t>
            </w:r>
          </w:p>
        </w:tc>
      </w:tr>
      <w:tr w14:paraId="6C85EA38">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00C4E95">
            <w:pPr>
              <w:rPr>
                <w:rFonts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0C426901">
            <w:pPr>
              <w:rPr>
                <w:rFonts w:ascii="仿宋" w:hAnsi="仿宋" w:eastAsia="仿宋" w:cs="仿宋"/>
                <w:kern w:val="0"/>
                <w:szCs w:val="24"/>
              </w:rPr>
            </w:pPr>
            <w:r>
              <w:rPr>
                <w:rFonts w:hint="eastAsia"/>
                <w:sz w:val="22"/>
              </w:rPr>
              <w:t>发生分包人施工人员或者劳务人员以非正常手段索取工程款或者聚众滋事或到党政机关、司法部门、发包人所在单位及其上级主管公司非法上访、聚众闹事、拉横幅、静坐、游行等事件的，每发生一次，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56598E6C">
            <w:pPr>
              <w:rPr>
                <w:rFonts w:ascii="仿宋" w:hAnsi="仿宋" w:eastAsia="仿宋" w:cs="仿宋"/>
                <w:kern w:val="0"/>
                <w:szCs w:val="24"/>
              </w:rPr>
            </w:pPr>
            <w:r>
              <w:rPr>
                <w:rFonts w:hint="eastAsia"/>
                <w:sz w:val="22"/>
              </w:rPr>
              <w:t>5万元/次</w:t>
            </w:r>
          </w:p>
        </w:tc>
      </w:tr>
      <w:tr w14:paraId="440848A8">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F8E8612">
            <w:pPr>
              <w:rPr>
                <w:rFonts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6DCDD2CD">
            <w:pPr>
              <w:rPr>
                <w:rFonts w:ascii="仿宋" w:hAnsi="仿宋" w:eastAsia="仿宋" w:cs="仿宋"/>
                <w:kern w:val="0"/>
                <w:szCs w:val="24"/>
              </w:rPr>
            </w:pPr>
            <w:r>
              <w:rPr>
                <w:rFonts w:hint="eastAsia"/>
                <w:sz w:val="22"/>
              </w:rPr>
              <w:t>安全文明施工若达不到项目所在地市级建设行政主管部门安全文明验收标准或者验收后不能保持到工程移交完毕的，分包人应限期整改完成，如逾期完成应向承包人支付违约金。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5B566E89">
            <w:pPr>
              <w:rPr>
                <w:rFonts w:ascii="仿宋" w:hAnsi="仿宋" w:eastAsia="仿宋" w:cs="仿宋"/>
                <w:kern w:val="0"/>
                <w:szCs w:val="24"/>
              </w:rPr>
            </w:pPr>
            <w:r>
              <w:rPr>
                <w:rFonts w:hint="eastAsia"/>
                <w:sz w:val="22"/>
              </w:rPr>
              <w:t>5000元/天</w:t>
            </w:r>
          </w:p>
        </w:tc>
      </w:tr>
      <w:tr w14:paraId="67DFB7EF">
        <w:tblPrEx>
          <w:tblCellMar>
            <w:top w:w="0" w:type="dxa"/>
            <w:left w:w="108" w:type="dxa"/>
            <w:bottom w:w="0" w:type="dxa"/>
            <w:right w:w="108" w:type="dxa"/>
          </w:tblCellMar>
        </w:tblPrEx>
        <w:trPr>
          <w:trHeight w:val="1064"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3446746">
            <w:pPr>
              <w:rPr>
                <w:rFonts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06DD967E">
            <w:pPr>
              <w:rPr>
                <w:rFonts w:ascii="仿宋" w:hAnsi="仿宋" w:eastAsia="仿宋" w:cs="仿宋"/>
                <w:kern w:val="0"/>
                <w:szCs w:val="24"/>
              </w:rPr>
            </w:pPr>
            <w:r>
              <w:rPr>
                <w:rFonts w:hint="eastAsia"/>
                <w:sz w:val="22"/>
              </w:rPr>
              <w:t>在项目、发包人上级单位或第三方、监管单位等各类检查过程中，发现存在较大以上安全隐患的，承包人有权要求分包人支付违约金；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78870A58">
            <w:pPr>
              <w:rPr>
                <w:rFonts w:ascii="仿宋" w:hAnsi="仿宋" w:eastAsia="仿宋" w:cs="仿宋"/>
                <w:kern w:val="0"/>
                <w:szCs w:val="24"/>
              </w:rPr>
            </w:pPr>
            <w:r>
              <w:rPr>
                <w:rFonts w:hint="eastAsia"/>
                <w:sz w:val="22"/>
              </w:rPr>
              <w:t>5000元/例</w:t>
            </w:r>
          </w:p>
        </w:tc>
      </w:tr>
      <w:tr w14:paraId="05A8C80F">
        <w:tblPrEx>
          <w:tblCellMar>
            <w:top w:w="0" w:type="dxa"/>
            <w:left w:w="108" w:type="dxa"/>
            <w:bottom w:w="0" w:type="dxa"/>
            <w:right w:w="108" w:type="dxa"/>
          </w:tblCellMar>
        </w:tblPrEx>
        <w:trPr>
          <w:trHeight w:val="1064"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EC45BE9">
            <w:pPr>
              <w:rPr>
                <w:sz w:val="22"/>
              </w:rPr>
            </w:pPr>
            <w:r>
              <w:rPr>
                <w:rFonts w:hint="eastAsia"/>
                <w:sz w:val="22"/>
              </w:rPr>
              <w:t>4</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49C2BB79">
            <w:pPr>
              <w:rPr>
                <w:sz w:val="22"/>
              </w:rPr>
            </w:pPr>
            <w:r>
              <w:rPr>
                <w:rFonts w:hint="eastAsia"/>
                <w:sz w:val="22"/>
              </w:rPr>
              <w:t>分包人违反发包人、承包人现场各类管理制度有关规定的，按照承包人或发包人现场管理制度的有关规定处理整改，并视实际情况支付违约金。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759F5E6E">
            <w:pPr>
              <w:rPr>
                <w:sz w:val="22"/>
              </w:rPr>
            </w:pPr>
            <w:r>
              <w:rPr>
                <w:rFonts w:hint="eastAsia"/>
                <w:sz w:val="22"/>
              </w:rPr>
              <w:t>500-5000 元/次</w:t>
            </w:r>
          </w:p>
        </w:tc>
      </w:tr>
      <w:tr w14:paraId="5882A777">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9B24064">
            <w:pPr>
              <w:rPr>
                <w:rFonts w:ascii="仿宋" w:hAnsi="仿宋" w:eastAsia="仿宋" w:cs="仿宋"/>
                <w:kern w:val="0"/>
                <w:szCs w:val="24"/>
              </w:rPr>
            </w:pPr>
            <w:r>
              <w:rPr>
                <w:rFonts w:hint="eastAsia" w:ascii="仿宋" w:hAnsi="仿宋" w:eastAsia="仿宋" w:cs="仿宋"/>
                <w:kern w:val="0"/>
                <w:szCs w:val="24"/>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366A7E2F">
            <w:pPr>
              <w:rPr>
                <w:rFonts w:ascii="仿宋" w:hAnsi="仿宋" w:eastAsia="仿宋" w:cs="仿宋"/>
                <w:kern w:val="0"/>
                <w:szCs w:val="24"/>
              </w:rPr>
            </w:pPr>
            <w:r>
              <w:rPr>
                <w:rFonts w:hint="eastAsia"/>
                <w:sz w:val="22"/>
              </w:rPr>
              <w:t>分包人对项目、发包人上级单位或第三方、监管单位书面整改通知指出的安全问题未按时整改并回复，分包人应违约金。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0E356BDB">
            <w:pPr>
              <w:rPr>
                <w:rFonts w:ascii="仿宋" w:hAnsi="仿宋" w:eastAsia="仿宋" w:cs="仿宋"/>
                <w:kern w:val="0"/>
                <w:szCs w:val="24"/>
              </w:rPr>
            </w:pPr>
            <w:r>
              <w:rPr>
                <w:rFonts w:hint="eastAsia"/>
                <w:sz w:val="22"/>
              </w:rPr>
              <w:t>2000元/例</w:t>
            </w:r>
          </w:p>
        </w:tc>
      </w:tr>
      <w:tr w14:paraId="00A50F53">
        <w:tblPrEx>
          <w:tblCellMar>
            <w:top w:w="0" w:type="dxa"/>
            <w:left w:w="108" w:type="dxa"/>
            <w:bottom w:w="0" w:type="dxa"/>
            <w:right w:w="108" w:type="dxa"/>
          </w:tblCellMar>
        </w:tblPrEx>
        <w:trPr>
          <w:trHeight w:val="492"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F33381C">
            <w:pPr>
              <w:rPr>
                <w:rFonts w:ascii="仿宋" w:hAnsi="仿宋" w:eastAsia="仿宋" w:cs="仿宋"/>
                <w:kern w:val="0"/>
                <w:szCs w:val="24"/>
              </w:rPr>
            </w:pPr>
            <w:r>
              <w:rPr>
                <w:rFonts w:hint="eastAsia" w:ascii="仿宋" w:hAnsi="仿宋" w:eastAsia="仿宋" w:cs="仿宋"/>
                <w:kern w:val="0"/>
                <w:szCs w:val="24"/>
              </w:rPr>
              <w:t>6</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0F55E153">
            <w:pPr>
              <w:rPr>
                <w:rFonts w:ascii="仿宋" w:hAnsi="仿宋" w:eastAsia="仿宋" w:cs="仿宋"/>
                <w:kern w:val="0"/>
                <w:szCs w:val="24"/>
              </w:rPr>
            </w:pPr>
            <w:r>
              <w:rPr>
                <w:rFonts w:hint="eastAsia"/>
                <w:sz w:val="22"/>
              </w:rPr>
              <w:t>分包人应保证施工场地清洁符合环境卫生管理的有关要求，做到工完场清，即建筑垃圾须及时清运出场，否则，经发包人书面确认，承包人有权另行委托他人清理，发生的费用由分包人承担，且有权要求分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3356AE5E">
            <w:pPr>
              <w:rPr>
                <w:rFonts w:ascii="仿宋" w:hAnsi="仿宋" w:eastAsia="仿宋" w:cs="仿宋"/>
                <w:kern w:val="0"/>
                <w:szCs w:val="24"/>
              </w:rPr>
            </w:pPr>
            <w:r>
              <w:rPr>
                <w:rFonts w:hint="eastAsia"/>
                <w:sz w:val="22"/>
              </w:rPr>
              <w:t>2000元/次</w:t>
            </w:r>
          </w:p>
        </w:tc>
      </w:tr>
      <w:tr w14:paraId="340473D3">
        <w:tblPrEx>
          <w:tblCellMar>
            <w:top w:w="0" w:type="dxa"/>
            <w:left w:w="108" w:type="dxa"/>
            <w:bottom w:w="0" w:type="dxa"/>
            <w:right w:w="108" w:type="dxa"/>
          </w:tblCellMar>
        </w:tblPrEx>
        <w:trPr>
          <w:trHeight w:val="492"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B7B4709">
            <w:pPr>
              <w:rPr>
                <w:rFonts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036935C7">
            <w:pPr>
              <w:rPr>
                <w:rFonts w:ascii="仿宋" w:hAnsi="仿宋" w:eastAsia="仿宋" w:cs="仿宋"/>
                <w:kern w:val="0"/>
                <w:szCs w:val="24"/>
              </w:rPr>
            </w:pPr>
            <w:r>
              <w:rPr>
                <w:rFonts w:hint="eastAsia"/>
                <w:sz w:val="22"/>
              </w:rPr>
              <w:t>施工和生活照明用电线路乱接、乱拉、无插头，不符合要求的，承包人有权要求分包人支付违约金。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76044894">
            <w:pPr>
              <w:rPr>
                <w:rFonts w:ascii="仿宋" w:hAnsi="仿宋" w:eastAsia="仿宋" w:cs="仿宋"/>
                <w:kern w:val="0"/>
                <w:szCs w:val="24"/>
              </w:rPr>
            </w:pPr>
            <w:r>
              <w:rPr>
                <w:rFonts w:hint="eastAsia"/>
                <w:sz w:val="22"/>
              </w:rPr>
              <w:t>1000元/次</w:t>
            </w:r>
          </w:p>
        </w:tc>
      </w:tr>
      <w:tr w14:paraId="6E1CFC83">
        <w:tblPrEx>
          <w:tblCellMar>
            <w:top w:w="0" w:type="dxa"/>
            <w:left w:w="108" w:type="dxa"/>
            <w:bottom w:w="0" w:type="dxa"/>
            <w:right w:w="108" w:type="dxa"/>
          </w:tblCellMar>
        </w:tblPrEx>
        <w:trPr>
          <w:trHeight w:val="492"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A24E59A">
            <w:pPr>
              <w:rPr>
                <w:rFonts w:ascii="仿宋" w:hAnsi="仿宋" w:eastAsia="仿宋" w:cs="仿宋"/>
                <w:kern w:val="0"/>
                <w:szCs w:val="24"/>
              </w:rPr>
            </w:pPr>
            <w:r>
              <w:rPr>
                <w:rFonts w:hint="eastAsia"/>
                <w:sz w:val="22"/>
              </w:rPr>
              <w:t>8</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4DC87EA4">
            <w:pPr>
              <w:rPr>
                <w:rFonts w:ascii="仿宋" w:hAnsi="仿宋" w:eastAsia="仿宋" w:cs="仿宋"/>
                <w:kern w:val="0"/>
                <w:szCs w:val="24"/>
              </w:rPr>
            </w:pPr>
            <w:r>
              <w:rPr>
                <w:rFonts w:hint="eastAsia"/>
                <w:sz w:val="22"/>
              </w:rPr>
              <w:t>分包人全体现场施工人员用餐必须在指定区域，发现违规者承包人有权处罚。</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074E25DC">
            <w:pPr>
              <w:rPr>
                <w:rFonts w:ascii="仿宋" w:hAnsi="仿宋" w:eastAsia="仿宋" w:cs="仿宋"/>
                <w:kern w:val="0"/>
                <w:szCs w:val="24"/>
              </w:rPr>
            </w:pPr>
            <w:r>
              <w:rPr>
                <w:rFonts w:hint="eastAsia"/>
                <w:sz w:val="22"/>
              </w:rPr>
              <w:t>500元/人/次</w:t>
            </w:r>
          </w:p>
        </w:tc>
      </w:tr>
      <w:tr w14:paraId="60B92178">
        <w:tblPrEx>
          <w:tblCellMar>
            <w:top w:w="0" w:type="dxa"/>
            <w:left w:w="108" w:type="dxa"/>
            <w:bottom w:w="0" w:type="dxa"/>
            <w:right w:w="108" w:type="dxa"/>
          </w:tblCellMar>
        </w:tblPrEx>
        <w:trPr>
          <w:trHeight w:val="270" w:hRule="atLeast"/>
        </w:trPr>
        <w:tc>
          <w:tcPr>
            <w:tcW w:w="5000" w:type="pct"/>
            <w:gridSpan w:val="3"/>
            <w:tcBorders>
              <w:top w:val="nil"/>
              <w:left w:val="nil"/>
              <w:bottom w:val="nil"/>
            </w:tcBorders>
            <w:noWrap/>
            <w:vAlign w:val="center"/>
          </w:tcPr>
          <w:p w14:paraId="4F35A179">
            <w:pPr>
              <w:rPr>
                <w:rFonts w:ascii="仿宋" w:hAnsi="仿宋" w:eastAsia="仿宋" w:cs="仿宋"/>
                <w:kern w:val="0"/>
                <w:szCs w:val="24"/>
              </w:rPr>
            </w:pPr>
            <w:r>
              <w:rPr>
                <w:rFonts w:ascii="仿宋" w:hAnsi="仿宋" w:eastAsia="仿宋" w:cs="仿宋"/>
                <w:kern w:val="0"/>
                <w:szCs w:val="24"/>
              </w:rPr>
              <w:t>其他</w:t>
            </w:r>
            <w:r>
              <w:rPr>
                <w:rFonts w:hint="eastAsia" w:ascii="仿宋" w:hAnsi="仿宋" w:eastAsia="仿宋" w:cs="仿宋"/>
                <w:kern w:val="0"/>
                <w:szCs w:val="24"/>
              </w:rPr>
              <w:t>文明施工、环境保护方面要求及违约</w:t>
            </w:r>
            <w:r>
              <w:rPr>
                <w:rFonts w:ascii="仿宋" w:hAnsi="仿宋" w:eastAsia="仿宋" w:cs="仿宋"/>
                <w:kern w:val="0"/>
                <w:szCs w:val="24"/>
              </w:rPr>
              <w:t>责任详见附件</w:t>
            </w:r>
            <w:r>
              <w:rPr>
                <w:rFonts w:hint="eastAsia" w:ascii="仿宋" w:hAnsi="仿宋" w:eastAsia="仿宋" w:cs="仿宋"/>
                <w:kern w:val="0"/>
                <w:szCs w:val="24"/>
              </w:rPr>
              <w:t>7 施工现场安全生产协议书。</w:t>
            </w:r>
          </w:p>
        </w:tc>
      </w:tr>
      <w:tr w14:paraId="64032F51">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7B8411B9">
            <w:pPr>
              <w:rPr>
                <w:rFonts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.5</w:t>
            </w:r>
            <w:r>
              <w:rPr>
                <w:rFonts w:hint="eastAsia" w:asciiTheme="minorEastAsia" w:hAnsiTheme="minorEastAsia" w:eastAsiaTheme="minorEastAsia"/>
                <w:b/>
                <w:bCs/>
                <w:sz w:val="22"/>
                <w:szCs w:val="24"/>
              </w:rPr>
              <w:t>工程转包、分包违约责任：</w:t>
            </w:r>
          </w:p>
        </w:tc>
      </w:tr>
      <w:tr w14:paraId="4DDD31FC">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F3A63C7">
            <w:pPr>
              <w:rPr>
                <w:rFonts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07FA53C8">
            <w:pPr>
              <w:rPr>
                <w:rFonts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7616E3CE">
            <w:pPr>
              <w:rPr>
                <w:rFonts w:ascii="仿宋" w:hAnsi="仿宋" w:eastAsia="仿宋" w:cs="仿宋"/>
                <w:kern w:val="0"/>
                <w:szCs w:val="24"/>
              </w:rPr>
            </w:pPr>
            <w:r>
              <w:rPr>
                <w:rFonts w:hint="eastAsia" w:ascii="仿宋" w:hAnsi="仿宋" w:eastAsia="仿宋" w:cs="仿宋"/>
                <w:kern w:val="0"/>
                <w:szCs w:val="24"/>
              </w:rPr>
              <w:t>违约处理</w:t>
            </w:r>
          </w:p>
        </w:tc>
      </w:tr>
      <w:tr w14:paraId="507AA039">
        <w:tblPrEx>
          <w:tblCellMar>
            <w:top w:w="0" w:type="dxa"/>
            <w:left w:w="108" w:type="dxa"/>
            <w:bottom w:w="0" w:type="dxa"/>
            <w:right w:w="108" w:type="dxa"/>
          </w:tblCellMar>
        </w:tblPrEx>
        <w:trPr>
          <w:trHeight w:val="1356"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7721070">
            <w:pPr>
              <w:spacing w:line="360" w:lineRule="exact"/>
              <w:rPr>
                <w:rFonts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5AB231A6">
            <w:pPr>
              <w:spacing w:line="360" w:lineRule="exact"/>
              <w:rPr>
                <w:rFonts w:ascii="仿宋" w:hAnsi="仿宋" w:eastAsia="仿宋" w:cs="仿宋"/>
                <w:kern w:val="0"/>
                <w:szCs w:val="24"/>
              </w:rPr>
            </w:pPr>
            <w:r>
              <w:rPr>
                <w:rFonts w:hint="eastAsia"/>
                <w:sz w:val="22"/>
              </w:rPr>
              <w:t>分包人将其承包的全部工程转给其他单位或个人施工的；</w:t>
            </w:r>
          </w:p>
        </w:tc>
        <w:tc>
          <w:tcPr>
            <w:tcW w:w="1230" w:type="pct"/>
            <w:vMerge w:val="restart"/>
            <w:tcBorders>
              <w:top w:val="single" w:color="000000" w:sz="4" w:space="0"/>
              <w:left w:val="single" w:color="000000" w:sz="4" w:space="0"/>
              <w:right w:val="single" w:color="000000" w:sz="4" w:space="0"/>
            </w:tcBorders>
            <w:vAlign w:val="center"/>
          </w:tcPr>
          <w:p w14:paraId="4A64F3BE">
            <w:pPr>
              <w:spacing w:line="360" w:lineRule="exact"/>
              <w:rPr>
                <w:rFonts w:ascii="仿宋" w:hAnsi="仿宋" w:eastAsia="仿宋" w:cs="仿宋"/>
                <w:kern w:val="0"/>
                <w:szCs w:val="24"/>
              </w:rPr>
            </w:pPr>
            <w:r>
              <w:rPr>
                <w:rFonts w:hint="eastAsia"/>
                <w:sz w:val="22"/>
              </w:rPr>
              <w:t>分包人出现以上转包情形的，经发包人书面同意，承包人有权单方解除合同，分包人应向承包人承担本工程合同价款10%的违约金，由此造成承包人损失的，由分包人负责赔偿。</w:t>
            </w:r>
          </w:p>
        </w:tc>
      </w:tr>
      <w:tr w14:paraId="12714213">
        <w:tblPrEx>
          <w:tblCellMar>
            <w:top w:w="0" w:type="dxa"/>
            <w:left w:w="108" w:type="dxa"/>
            <w:bottom w:w="0" w:type="dxa"/>
            <w:right w:w="108" w:type="dxa"/>
          </w:tblCellMar>
        </w:tblPrEx>
        <w:trPr>
          <w:trHeight w:val="98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000B019">
            <w:pPr>
              <w:spacing w:line="360" w:lineRule="exact"/>
              <w:rPr>
                <w:rFonts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205AA6A6">
            <w:pPr>
              <w:spacing w:line="360" w:lineRule="exact"/>
              <w:rPr>
                <w:rFonts w:ascii="仿宋" w:hAnsi="仿宋" w:eastAsia="仿宋" w:cs="仿宋"/>
                <w:kern w:val="0"/>
                <w:szCs w:val="24"/>
              </w:rPr>
            </w:pPr>
            <w:r>
              <w:rPr>
                <w:rFonts w:hint="eastAsia"/>
                <w:sz w:val="22"/>
              </w:rPr>
              <w:t>分包人将其承包的全部工程肢解以后，以分包的名义分别转给其他单位或个人施工的；</w:t>
            </w:r>
          </w:p>
        </w:tc>
        <w:tc>
          <w:tcPr>
            <w:tcW w:w="1230" w:type="pct"/>
            <w:vMerge w:val="continue"/>
            <w:tcBorders>
              <w:left w:val="single" w:color="000000" w:sz="4" w:space="0"/>
              <w:right w:val="single" w:color="000000" w:sz="4" w:space="0"/>
            </w:tcBorders>
            <w:vAlign w:val="center"/>
          </w:tcPr>
          <w:p w14:paraId="1A781AF3">
            <w:pPr>
              <w:spacing w:line="360" w:lineRule="exact"/>
              <w:rPr>
                <w:rFonts w:ascii="仿宋" w:hAnsi="仿宋" w:eastAsia="仿宋" w:cs="仿宋"/>
                <w:kern w:val="0"/>
                <w:szCs w:val="24"/>
              </w:rPr>
            </w:pPr>
          </w:p>
        </w:tc>
      </w:tr>
      <w:tr w14:paraId="07331B00">
        <w:tblPrEx>
          <w:tblCellMar>
            <w:top w:w="0" w:type="dxa"/>
            <w:left w:w="108" w:type="dxa"/>
            <w:bottom w:w="0" w:type="dxa"/>
            <w:right w:w="108" w:type="dxa"/>
          </w:tblCellMar>
        </w:tblPrEx>
        <w:trPr>
          <w:trHeight w:val="98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88BE24B">
            <w:pPr>
              <w:spacing w:line="360" w:lineRule="exact"/>
              <w:rPr>
                <w:rFonts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115F7DFF">
            <w:pPr>
              <w:spacing w:line="360" w:lineRule="exact"/>
              <w:rPr>
                <w:rFonts w:ascii="仿宋" w:hAnsi="仿宋" w:eastAsia="仿宋" w:cs="仿宋"/>
                <w:kern w:val="0"/>
                <w:szCs w:val="24"/>
              </w:rPr>
            </w:pPr>
            <w:r>
              <w:rPr>
                <w:rFonts w:hint="eastAsia"/>
                <w:sz w:val="22"/>
              </w:rPr>
              <w:t>分包人通过采取合作、联营、个人承包等形式或名义，直接或变相将其他承包的全部工程转给其他单位或个人施工的。</w:t>
            </w:r>
          </w:p>
        </w:tc>
        <w:tc>
          <w:tcPr>
            <w:tcW w:w="1230" w:type="pct"/>
            <w:vMerge w:val="continue"/>
            <w:tcBorders>
              <w:left w:val="single" w:color="000000" w:sz="4" w:space="0"/>
              <w:bottom w:val="single" w:color="000000" w:sz="4" w:space="0"/>
              <w:right w:val="single" w:color="000000" w:sz="4" w:space="0"/>
            </w:tcBorders>
            <w:vAlign w:val="center"/>
          </w:tcPr>
          <w:p w14:paraId="3B101DAC">
            <w:pPr>
              <w:spacing w:line="360" w:lineRule="exact"/>
              <w:rPr>
                <w:rFonts w:ascii="仿宋" w:hAnsi="仿宋" w:eastAsia="仿宋" w:cs="仿宋"/>
                <w:kern w:val="0"/>
                <w:szCs w:val="24"/>
              </w:rPr>
            </w:pPr>
          </w:p>
        </w:tc>
      </w:tr>
      <w:tr w14:paraId="28A69F7F">
        <w:tblPrEx>
          <w:tblCellMar>
            <w:top w:w="0" w:type="dxa"/>
            <w:left w:w="108" w:type="dxa"/>
            <w:bottom w:w="0" w:type="dxa"/>
            <w:right w:w="108" w:type="dxa"/>
          </w:tblCellMar>
        </w:tblPrEx>
        <w:trPr>
          <w:trHeight w:val="270" w:hRule="atLeast"/>
        </w:trPr>
        <w:tc>
          <w:tcPr>
            <w:tcW w:w="413" w:type="pct"/>
            <w:tcBorders>
              <w:top w:val="nil"/>
              <w:left w:val="nil"/>
              <w:bottom w:val="nil"/>
              <w:right w:val="nil"/>
            </w:tcBorders>
            <w:noWrap/>
            <w:vAlign w:val="center"/>
          </w:tcPr>
          <w:p w14:paraId="41B54F47">
            <w:pPr>
              <w:rPr>
                <w:rFonts w:ascii="仿宋" w:hAnsi="仿宋" w:eastAsia="仿宋" w:cs="仿宋"/>
                <w:kern w:val="0"/>
                <w:szCs w:val="24"/>
              </w:rPr>
            </w:pPr>
          </w:p>
        </w:tc>
        <w:tc>
          <w:tcPr>
            <w:tcW w:w="3357" w:type="pct"/>
            <w:tcBorders>
              <w:top w:val="nil"/>
              <w:left w:val="nil"/>
              <w:bottom w:val="nil"/>
              <w:right w:val="nil"/>
            </w:tcBorders>
            <w:noWrap/>
            <w:vAlign w:val="center"/>
          </w:tcPr>
          <w:p w14:paraId="77CC74E5">
            <w:pPr>
              <w:rPr>
                <w:rFonts w:ascii="仿宋" w:hAnsi="仿宋" w:eastAsia="仿宋" w:cs="仿宋"/>
                <w:kern w:val="0"/>
                <w:szCs w:val="24"/>
              </w:rPr>
            </w:pPr>
          </w:p>
        </w:tc>
        <w:tc>
          <w:tcPr>
            <w:tcW w:w="1230" w:type="pct"/>
            <w:tcBorders>
              <w:top w:val="nil"/>
              <w:left w:val="nil"/>
              <w:bottom w:val="nil"/>
              <w:right w:val="nil"/>
            </w:tcBorders>
            <w:noWrap/>
            <w:vAlign w:val="center"/>
          </w:tcPr>
          <w:p w14:paraId="7C83B8A7">
            <w:pPr>
              <w:rPr>
                <w:rFonts w:ascii="仿宋" w:hAnsi="仿宋" w:eastAsia="仿宋" w:cs="仿宋"/>
                <w:kern w:val="0"/>
                <w:szCs w:val="24"/>
              </w:rPr>
            </w:pPr>
          </w:p>
        </w:tc>
      </w:tr>
      <w:tr w14:paraId="74DB4599">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085354FC">
            <w:pPr>
              <w:rPr>
                <w:rFonts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.6</w:t>
            </w:r>
            <w:r>
              <w:rPr>
                <w:rFonts w:hint="eastAsia" w:asciiTheme="minorEastAsia" w:hAnsiTheme="minorEastAsia" w:eastAsiaTheme="minorEastAsia"/>
                <w:b/>
                <w:bCs/>
                <w:sz w:val="22"/>
                <w:szCs w:val="24"/>
              </w:rPr>
              <w:t>工程组织管理方面的违约责任：</w:t>
            </w:r>
          </w:p>
        </w:tc>
      </w:tr>
      <w:tr w14:paraId="427022E0">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0A0DA37">
            <w:pPr>
              <w:rPr>
                <w:rFonts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537B0FEE">
            <w:pPr>
              <w:rPr>
                <w:rFonts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5741D90C">
            <w:pPr>
              <w:rPr>
                <w:rFonts w:ascii="仿宋" w:hAnsi="仿宋" w:eastAsia="仿宋" w:cs="仿宋"/>
                <w:kern w:val="0"/>
                <w:szCs w:val="24"/>
              </w:rPr>
            </w:pPr>
            <w:r>
              <w:rPr>
                <w:rFonts w:hint="eastAsia" w:ascii="仿宋" w:hAnsi="仿宋" w:eastAsia="仿宋" w:cs="仿宋"/>
                <w:kern w:val="0"/>
                <w:szCs w:val="24"/>
              </w:rPr>
              <w:t>违约处理</w:t>
            </w:r>
          </w:p>
        </w:tc>
      </w:tr>
      <w:tr w14:paraId="6817C203">
        <w:tblPrEx>
          <w:tblCellMar>
            <w:top w:w="0" w:type="dxa"/>
            <w:left w:w="108" w:type="dxa"/>
            <w:bottom w:w="0" w:type="dxa"/>
            <w:right w:w="108" w:type="dxa"/>
          </w:tblCellMar>
        </w:tblPrEx>
        <w:trPr>
          <w:trHeight w:val="60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0D33323">
            <w:pPr>
              <w:rPr>
                <w:rFonts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157AA506">
            <w:pPr>
              <w:rPr>
                <w:rFonts w:ascii="仿宋" w:hAnsi="仿宋" w:eastAsia="仿宋" w:cs="仿宋"/>
                <w:kern w:val="0"/>
                <w:szCs w:val="24"/>
              </w:rPr>
            </w:pPr>
            <w:r>
              <w:rPr>
                <w:rFonts w:hint="eastAsia"/>
                <w:sz w:val="22"/>
              </w:rPr>
              <w:t>分包人违反本合同的约定，不服从承包人、发包人及监理人的管理，对发包人、监理人的指令和书面通知（具体形式包括但不限于设计变更通知、工程指令、工程联系单、会议纪要等）公开或变相拒不执行的，承包人视情节严重程度有权要求分包人支付违约金，并由分包人承担由此造成的一切经济损失。情节特别严重的，经发包人书面确认，承包人有权单方面部分解除合同或解除合同。</w:t>
            </w:r>
          </w:p>
        </w:tc>
        <w:tc>
          <w:tcPr>
            <w:tcW w:w="1230" w:type="pct"/>
            <w:tcBorders>
              <w:top w:val="single" w:color="000000" w:sz="4" w:space="0"/>
              <w:left w:val="single" w:color="000000" w:sz="4" w:space="0"/>
              <w:bottom w:val="single" w:color="000000" w:sz="4" w:space="0"/>
              <w:right w:val="single" w:color="000000" w:sz="4" w:space="0"/>
            </w:tcBorders>
            <w:vAlign w:val="center"/>
          </w:tcPr>
          <w:p w14:paraId="6B00213E">
            <w:pPr>
              <w:rPr>
                <w:rFonts w:ascii="仿宋" w:hAnsi="仿宋" w:eastAsia="仿宋" w:cs="仿宋"/>
                <w:kern w:val="0"/>
                <w:szCs w:val="24"/>
              </w:rPr>
            </w:pPr>
            <w:r>
              <w:rPr>
                <w:rFonts w:hint="eastAsia"/>
                <w:sz w:val="22"/>
              </w:rPr>
              <w:t>1000-10000元/次</w:t>
            </w:r>
          </w:p>
        </w:tc>
      </w:tr>
      <w:tr w14:paraId="7FAF16D6">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71D3902">
            <w:pPr>
              <w:rPr>
                <w:rFonts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03910EB0">
            <w:pPr>
              <w:rPr>
                <w:rFonts w:ascii="仿宋" w:hAnsi="仿宋" w:eastAsia="仿宋" w:cs="仿宋"/>
                <w:kern w:val="0"/>
                <w:szCs w:val="24"/>
              </w:rPr>
            </w:pPr>
            <w:r>
              <w:rPr>
                <w:rFonts w:hint="eastAsia"/>
                <w:sz w:val="22"/>
              </w:rPr>
              <w:t>分包人主要管理人员未经承包人和发包人同意不参加会议的，承包人有权要求分包人支付违约金。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3D5C9264">
            <w:pPr>
              <w:rPr>
                <w:rFonts w:ascii="仿宋" w:hAnsi="仿宋" w:eastAsia="仿宋" w:cs="仿宋"/>
                <w:kern w:val="0"/>
                <w:szCs w:val="24"/>
              </w:rPr>
            </w:pPr>
            <w:r>
              <w:rPr>
                <w:rFonts w:hint="eastAsia"/>
                <w:sz w:val="22"/>
              </w:rPr>
              <w:t>2000元/次</w:t>
            </w:r>
          </w:p>
        </w:tc>
      </w:tr>
      <w:tr w14:paraId="26E1521C">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695FCC0">
            <w:pPr>
              <w:rPr>
                <w:sz w:val="22"/>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069C7CEB">
            <w:pPr>
              <w:rPr>
                <w:sz w:val="22"/>
              </w:rPr>
            </w:pPr>
            <w:r>
              <w:t>分包人不得以任何理由中途停工，或变相减少施工组织中规定的施工设备，否则经承包人</w:t>
            </w:r>
            <w:r>
              <w:rPr>
                <w:rFonts w:hint="eastAsia"/>
              </w:rPr>
              <w:t>、</w:t>
            </w:r>
            <w:r>
              <w:t>发包人和</w:t>
            </w:r>
            <w:r>
              <w:rPr>
                <w:rFonts w:hint="eastAsia"/>
              </w:rPr>
              <w:t>监理人</w:t>
            </w:r>
            <w:r>
              <w:t>确认，视为分包人违约</w:t>
            </w:r>
            <w:r>
              <w:rPr>
                <w:rFonts w:hint="eastAsia"/>
              </w:rPr>
              <w:t>，按减少设备台数、天数支付违约金。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10004B54">
            <w:pPr>
              <w:rPr>
                <w:sz w:val="22"/>
              </w:rPr>
            </w:pPr>
            <w:r>
              <w:rPr>
                <w:rFonts w:hint="eastAsia"/>
                <w:sz w:val="22"/>
              </w:rPr>
              <w:t>1000元/台/天</w:t>
            </w:r>
          </w:p>
        </w:tc>
      </w:tr>
      <w:tr w14:paraId="74BCD4C5">
        <w:tblPrEx>
          <w:tblCellMar>
            <w:top w:w="0" w:type="dxa"/>
            <w:left w:w="108" w:type="dxa"/>
            <w:bottom w:w="0" w:type="dxa"/>
            <w:right w:w="108" w:type="dxa"/>
          </w:tblCellMar>
        </w:tblPrEx>
        <w:trPr>
          <w:trHeight w:val="270" w:hRule="atLeast"/>
        </w:trPr>
        <w:tc>
          <w:tcPr>
            <w:tcW w:w="413" w:type="pct"/>
            <w:tcBorders>
              <w:top w:val="nil"/>
              <w:left w:val="nil"/>
              <w:bottom w:val="nil"/>
              <w:right w:val="nil"/>
            </w:tcBorders>
            <w:noWrap/>
            <w:vAlign w:val="center"/>
          </w:tcPr>
          <w:p w14:paraId="5CD960DF">
            <w:pPr>
              <w:rPr>
                <w:rFonts w:ascii="仿宋" w:hAnsi="仿宋" w:eastAsia="仿宋" w:cs="仿宋"/>
                <w:kern w:val="0"/>
                <w:szCs w:val="24"/>
              </w:rPr>
            </w:pPr>
          </w:p>
        </w:tc>
        <w:tc>
          <w:tcPr>
            <w:tcW w:w="3357" w:type="pct"/>
            <w:tcBorders>
              <w:top w:val="nil"/>
              <w:left w:val="nil"/>
              <w:bottom w:val="nil"/>
              <w:right w:val="nil"/>
            </w:tcBorders>
            <w:noWrap/>
            <w:vAlign w:val="center"/>
          </w:tcPr>
          <w:p w14:paraId="5F124BC3">
            <w:pPr>
              <w:rPr>
                <w:rFonts w:ascii="仿宋" w:hAnsi="仿宋" w:eastAsia="仿宋" w:cs="仿宋"/>
                <w:kern w:val="0"/>
                <w:szCs w:val="24"/>
              </w:rPr>
            </w:pPr>
          </w:p>
        </w:tc>
        <w:tc>
          <w:tcPr>
            <w:tcW w:w="1230" w:type="pct"/>
            <w:tcBorders>
              <w:top w:val="nil"/>
              <w:left w:val="nil"/>
              <w:bottom w:val="nil"/>
              <w:right w:val="nil"/>
            </w:tcBorders>
            <w:noWrap/>
            <w:vAlign w:val="center"/>
          </w:tcPr>
          <w:p w14:paraId="71293188">
            <w:pPr>
              <w:rPr>
                <w:rFonts w:ascii="仿宋" w:hAnsi="仿宋" w:eastAsia="仿宋" w:cs="仿宋"/>
                <w:kern w:val="0"/>
                <w:szCs w:val="24"/>
              </w:rPr>
            </w:pPr>
          </w:p>
        </w:tc>
      </w:tr>
      <w:tr w14:paraId="5457354B">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39911A29">
            <w:pPr>
              <w:rPr>
                <w:rFonts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.7 BIM及信息化平台工作的违约责任：</w:t>
            </w:r>
          </w:p>
        </w:tc>
      </w:tr>
      <w:tr w14:paraId="682C8D34">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DFB5A49">
            <w:pPr>
              <w:rPr>
                <w:rFonts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6F0DC7B6">
            <w:pPr>
              <w:rPr>
                <w:rFonts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3691B8D5">
            <w:pPr>
              <w:rPr>
                <w:rFonts w:ascii="仿宋" w:hAnsi="仿宋" w:eastAsia="仿宋" w:cs="仿宋"/>
                <w:kern w:val="0"/>
                <w:szCs w:val="24"/>
              </w:rPr>
            </w:pPr>
            <w:r>
              <w:rPr>
                <w:rFonts w:hint="eastAsia" w:ascii="仿宋" w:hAnsi="仿宋" w:eastAsia="仿宋" w:cs="仿宋"/>
                <w:kern w:val="0"/>
                <w:szCs w:val="24"/>
              </w:rPr>
              <w:t>违约处理</w:t>
            </w:r>
          </w:p>
        </w:tc>
      </w:tr>
      <w:tr w14:paraId="7657060D">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22C45FD">
            <w:pPr>
              <w:rPr>
                <w:rFonts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5BE66DDE">
            <w:pPr>
              <w:rPr>
                <w:rFonts w:ascii="仿宋" w:hAnsi="仿宋" w:eastAsia="仿宋" w:cs="仿宋"/>
                <w:kern w:val="0"/>
                <w:szCs w:val="24"/>
              </w:rPr>
            </w:pPr>
            <w:r>
              <w:rPr>
                <w:rFonts w:hint="eastAsia"/>
                <w:sz w:val="22"/>
              </w:rPr>
              <w:t>未按发包人要求完成BIM及信息化平台实施方案且在发包人要求限期内整改仍未满足要求。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3EEA7ABB">
            <w:pPr>
              <w:rPr>
                <w:rFonts w:ascii="仿宋" w:hAnsi="仿宋" w:eastAsia="仿宋" w:cs="仿宋"/>
                <w:kern w:val="0"/>
                <w:szCs w:val="24"/>
              </w:rPr>
            </w:pPr>
            <w:r>
              <w:rPr>
                <w:rFonts w:hint="eastAsia"/>
                <w:sz w:val="22"/>
              </w:rPr>
              <w:t>2000元/次</w:t>
            </w:r>
          </w:p>
        </w:tc>
      </w:tr>
      <w:tr w14:paraId="234D1465">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B10E987">
            <w:pPr>
              <w:rPr>
                <w:rFonts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71E91452">
            <w:pPr>
              <w:rPr>
                <w:rFonts w:ascii="仿宋" w:hAnsi="仿宋" w:eastAsia="仿宋" w:cs="仿宋"/>
                <w:kern w:val="0"/>
                <w:szCs w:val="24"/>
              </w:rPr>
            </w:pPr>
            <w:r>
              <w:rPr>
                <w:rFonts w:hint="eastAsia"/>
                <w:sz w:val="22"/>
              </w:rPr>
              <w:t>承包人未按发包人要求进行基于BIM模型施工方案设计、各工况施工顺序、工法、工况模拟，未提交相关模拟成果。</w:t>
            </w:r>
          </w:p>
        </w:tc>
        <w:tc>
          <w:tcPr>
            <w:tcW w:w="1230" w:type="pct"/>
            <w:tcBorders>
              <w:top w:val="single" w:color="000000" w:sz="4" w:space="0"/>
              <w:left w:val="single" w:color="000000" w:sz="4" w:space="0"/>
              <w:bottom w:val="single" w:color="000000" w:sz="4" w:space="0"/>
              <w:right w:val="single" w:color="000000" w:sz="4" w:space="0"/>
            </w:tcBorders>
            <w:vAlign w:val="center"/>
          </w:tcPr>
          <w:p w14:paraId="222AE503">
            <w:pPr>
              <w:rPr>
                <w:rFonts w:ascii="仿宋" w:hAnsi="仿宋" w:eastAsia="仿宋" w:cs="仿宋"/>
                <w:kern w:val="0"/>
                <w:szCs w:val="24"/>
              </w:rPr>
            </w:pPr>
            <w:r>
              <w:rPr>
                <w:rFonts w:hint="eastAsia"/>
                <w:sz w:val="22"/>
              </w:rPr>
              <w:t>2000元/次</w:t>
            </w:r>
          </w:p>
        </w:tc>
      </w:tr>
      <w:tr w14:paraId="22662AB8">
        <w:tblPrEx>
          <w:tblCellMar>
            <w:top w:w="0" w:type="dxa"/>
            <w:left w:w="108" w:type="dxa"/>
            <w:bottom w:w="0" w:type="dxa"/>
            <w:right w:w="108" w:type="dxa"/>
          </w:tblCellMar>
        </w:tblPrEx>
        <w:trPr>
          <w:trHeight w:val="90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5F7F859">
            <w:pPr>
              <w:rPr>
                <w:rFonts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7C31EC0B">
            <w:pPr>
              <w:rPr>
                <w:rFonts w:ascii="仿宋" w:hAnsi="仿宋" w:eastAsia="仿宋" w:cs="仿宋"/>
                <w:kern w:val="0"/>
                <w:szCs w:val="24"/>
              </w:rPr>
            </w:pPr>
            <w:r>
              <w:rPr>
                <w:rFonts w:hint="eastAsia"/>
                <w:sz w:val="22"/>
              </w:rPr>
              <w:t>未按发包人要求提供各阶段BIM模型或未按发包人要求提交项目范围内倾斜摄影模型及相关照片数据。</w:t>
            </w:r>
          </w:p>
        </w:tc>
        <w:tc>
          <w:tcPr>
            <w:tcW w:w="1230" w:type="pct"/>
            <w:tcBorders>
              <w:top w:val="single" w:color="000000" w:sz="4" w:space="0"/>
              <w:left w:val="single" w:color="000000" w:sz="4" w:space="0"/>
              <w:bottom w:val="single" w:color="000000" w:sz="4" w:space="0"/>
              <w:right w:val="single" w:color="000000" w:sz="4" w:space="0"/>
            </w:tcBorders>
            <w:vAlign w:val="center"/>
          </w:tcPr>
          <w:p w14:paraId="003F38AD">
            <w:pPr>
              <w:rPr>
                <w:rFonts w:ascii="仿宋" w:hAnsi="仿宋" w:eastAsia="仿宋" w:cs="仿宋"/>
                <w:kern w:val="0"/>
                <w:szCs w:val="24"/>
              </w:rPr>
            </w:pPr>
            <w:r>
              <w:rPr>
                <w:rFonts w:hint="eastAsia"/>
                <w:sz w:val="22"/>
              </w:rPr>
              <w:t>2000元/次</w:t>
            </w:r>
          </w:p>
        </w:tc>
      </w:tr>
      <w:tr w14:paraId="2C485028">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512C156">
            <w:pPr>
              <w:rPr>
                <w:rFonts w:ascii="仿宋" w:hAnsi="仿宋" w:eastAsia="仿宋" w:cs="仿宋"/>
                <w:kern w:val="0"/>
                <w:szCs w:val="24"/>
              </w:rPr>
            </w:pPr>
            <w:r>
              <w:rPr>
                <w:rFonts w:hint="eastAsia"/>
                <w:sz w:val="22"/>
              </w:rPr>
              <w:t>4</w:t>
            </w:r>
          </w:p>
        </w:tc>
        <w:tc>
          <w:tcPr>
            <w:tcW w:w="3357" w:type="pct"/>
            <w:tcBorders>
              <w:top w:val="single" w:color="000000" w:sz="4" w:space="0"/>
              <w:left w:val="single" w:color="000000" w:sz="4" w:space="0"/>
              <w:bottom w:val="single" w:color="000000" w:sz="4" w:space="0"/>
              <w:right w:val="single" w:color="000000" w:sz="4" w:space="0"/>
            </w:tcBorders>
            <w:vAlign w:val="center"/>
          </w:tcPr>
          <w:p w14:paraId="6FF1BF23">
            <w:pPr>
              <w:rPr>
                <w:rFonts w:ascii="仿宋" w:hAnsi="仿宋" w:eastAsia="仿宋" w:cs="仿宋"/>
                <w:kern w:val="0"/>
                <w:szCs w:val="24"/>
              </w:rPr>
            </w:pPr>
            <w:r>
              <w:rPr>
                <w:rFonts w:hint="eastAsia"/>
                <w:sz w:val="22"/>
              </w:rPr>
              <w:t>承包人提交的BIM模型未达到精度要求且在发包人要求限期内整改仍未满足要求。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020B96DF">
            <w:pPr>
              <w:rPr>
                <w:rFonts w:ascii="仿宋" w:hAnsi="仿宋" w:eastAsia="仿宋" w:cs="仿宋"/>
                <w:kern w:val="0"/>
                <w:szCs w:val="24"/>
              </w:rPr>
            </w:pPr>
            <w:r>
              <w:rPr>
                <w:rFonts w:hint="eastAsia"/>
                <w:sz w:val="22"/>
              </w:rPr>
              <w:t>2000元/次</w:t>
            </w:r>
          </w:p>
        </w:tc>
      </w:tr>
      <w:tr w14:paraId="229CC4B5">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093609B">
            <w:pPr>
              <w:rPr>
                <w:rFonts w:ascii="仿宋" w:hAnsi="仿宋" w:eastAsia="仿宋" w:cs="仿宋"/>
                <w:kern w:val="0"/>
                <w:szCs w:val="24"/>
              </w:rPr>
            </w:pPr>
            <w:r>
              <w:rPr>
                <w:rFonts w:hint="eastAsia"/>
                <w:sz w:val="22"/>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2C51CC3C">
            <w:pPr>
              <w:rPr>
                <w:rFonts w:ascii="仿宋" w:hAnsi="仿宋" w:eastAsia="仿宋" w:cs="仿宋"/>
                <w:kern w:val="0"/>
                <w:szCs w:val="24"/>
              </w:rPr>
            </w:pPr>
            <w:r>
              <w:rPr>
                <w:rFonts w:hint="eastAsia"/>
                <w:sz w:val="22"/>
              </w:rPr>
              <w:t>未按发包人要求使用信息化平台进行工程管理或未配合发包人完成深投控智慧园区CIM平台工作要求。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2F017D33">
            <w:pPr>
              <w:rPr>
                <w:rFonts w:ascii="仿宋" w:hAnsi="仿宋" w:eastAsia="仿宋" w:cs="仿宋"/>
                <w:kern w:val="0"/>
                <w:szCs w:val="24"/>
              </w:rPr>
            </w:pPr>
            <w:r>
              <w:rPr>
                <w:rFonts w:hint="eastAsia"/>
                <w:sz w:val="22"/>
              </w:rPr>
              <w:t>2000元/次</w:t>
            </w:r>
          </w:p>
        </w:tc>
      </w:tr>
      <w:tr w14:paraId="093717F5">
        <w:tblPrEx>
          <w:tblCellMar>
            <w:top w:w="0" w:type="dxa"/>
            <w:left w:w="108" w:type="dxa"/>
            <w:bottom w:w="0" w:type="dxa"/>
            <w:right w:w="108" w:type="dxa"/>
          </w:tblCellMar>
        </w:tblPrEx>
        <w:trPr>
          <w:trHeight w:val="10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53034C0">
            <w:pPr>
              <w:rPr>
                <w:rFonts w:ascii="仿宋" w:hAnsi="仿宋" w:eastAsia="仿宋" w:cs="仿宋"/>
                <w:kern w:val="0"/>
                <w:szCs w:val="24"/>
              </w:rPr>
            </w:pPr>
            <w:r>
              <w:rPr>
                <w:rFonts w:hint="eastAsia"/>
                <w:sz w:val="22"/>
              </w:rPr>
              <w:t>6</w:t>
            </w:r>
          </w:p>
        </w:tc>
        <w:tc>
          <w:tcPr>
            <w:tcW w:w="3357" w:type="pct"/>
            <w:tcBorders>
              <w:top w:val="single" w:color="000000" w:sz="4" w:space="0"/>
              <w:left w:val="single" w:color="000000" w:sz="4" w:space="0"/>
              <w:bottom w:val="single" w:color="000000" w:sz="4" w:space="0"/>
              <w:right w:val="single" w:color="000000" w:sz="4" w:space="0"/>
            </w:tcBorders>
            <w:vAlign w:val="center"/>
          </w:tcPr>
          <w:p w14:paraId="6F97E8B5">
            <w:pPr>
              <w:rPr>
                <w:rFonts w:ascii="仿宋" w:hAnsi="仿宋" w:eastAsia="仿宋" w:cs="仿宋"/>
                <w:kern w:val="0"/>
                <w:szCs w:val="24"/>
              </w:rPr>
            </w:pPr>
            <w:r>
              <w:rPr>
                <w:rFonts w:hint="eastAsia"/>
                <w:sz w:val="22"/>
              </w:rPr>
              <w:t>未按发包人要求在信息化平台应用、上传、关联、维护更新项目进度、质量、安全、模型及工程管理等信息且在发包人要求限期内整改仍未满足要求。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28DD34E9">
            <w:pPr>
              <w:rPr>
                <w:rFonts w:ascii="仿宋" w:hAnsi="仿宋" w:eastAsia="仿宋" w:cs="仿宋"/>
                <w:kern w:val="0"/>
                <w:szCs w:val="24"/>
              </w:rPr>
            </w:pPr>
            <w:r>
              <w:rPr>
                <w:rFonts w:hint="eastAsia"/>
                <w:sz w:val="22"/>
              </w:rPr>
              <w:t>1000元/次</w:t>
            </w:r>
          </w:p>
        </w:tc>
      </w:tr>
      <w:tr w14:paraId="0E3A6F73">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E416C35">
            <w:pPr>
              <w:rPr>
                <w:rFonts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vAlign w:val="center"/>
          </w:tcPr>
          <w:p w14:paraId="2024E1B6">
            <w:pPr>
              <w:rPr>
                <w:rFonts w:ascii="仿宋" w:hAnsi="仿宋" w:eastAsia="仿宋" w:cs="仿宋"/>
                <w:kern w:val="0"/>
                <w:szCs w:val="24"/>
              </w:rPr>
            </w:pPr>
            <w:r>
              <w:rPr>
                <w:rFonts w:hint="eastAsia"/>
                <w:sz w:val="22"/>
              </w:rPr>
              <w:t>承包人项目建设过程中，运用信息化平台未实现5DBIM效果且在发包人要求限期内整改仍未满足要求。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229C51E5">
            <w:pPr>
              <w:rPr>
                <w:rFonts w:ascii="仿宋" w:hAnsi="仿宋" w:eastAsia="仿宋" w:cs="仿宋"/>
                <w:kern w:val="0"/>
                <w:szCs w:val="24"/>
              </w:rPr>
            </w:pPr>
            <w:r>
              <w:rPr>
                <w:rFonts w:hint="eastAsia"/>
                <w:sz w:val="22"/>
              </w:rPr>
              <w:t>2000元/次</w:t>
            </w:r>
          </w:p>
        </w:tc>
      </w:tr>
    </w:tbl>
    <w:tbl>
      <w:tblPr>
        <w:tblStyle w:val="41"/>
        <w:tblpPr w:leftFromText="180" w:rightFromText="180" w:vertAnchor="text" w:horzAnchor="margin" w:tblpY="1"/>
        <w:tblOverlap w:val="never"/>
        <w:tblW w:w="8505" w:type="dxa"/>
        <w:tblInd w:w="0" w:type="dxa"/>
        <w:tblLayout w:type="fixed"/>
        <w:tblCellMar>
          <w:top w:w="0" w:type="dxa"/>
          <w:left w:w="108" w:type="dxa"/>
          <w:bottom w:w="0" w:type="dxa"/>
          <w:right w:w="108" w:type="dxa"/>
        </w:tblCellMar>
      </w:tblPr>
      <w:tblGrid>
        <w:gridCol w:w="709"/>
        <w:gridCol w:w="5670"/>
        <w:gridCol w:w="2126"/>
      </w:tblGrid>
      <w:tr w14:paraId="4F34E2FE">
        <w:tblPrEx>
          <w:tblCellMar>
            <w:top w:w="0" w:type="dxa"/>
            <w:left w:w="108" w:type="dxa"/>
            <w:bottom w:w="0" w:type="dxa"/>
            <w:right w:w="108" w:type="dxa"/>
          </w:tblCellMar>
        </w:tblPrEx>
        <w:trPr>
          <w:trHeight w:val="90" w:hRule="atLeast"/>
        </w:trPr>
        <w:tc>
          <w:tcPr>
            <w:tcW w:w="8505" w:type="dxa"/>
            <w:gridSpan w:val="3"/>
            <w:tcBorders>
              <w:top w:val="nil"/>
              <w:left w:val="nil"/>
              <w:bottom w:val="nil"/>
              <w:right w:val="nil"/>
            </w:tcBorders>
            <w:vAlign w:val="center"/>
          </w:tcPr>
          <w:p w14:paraId="339ADE81">
            <w:pPr>
              <w:rPr>
                <w:rFonts w:ascii="仿宋" w:hAnsi="仿宋" w:eastAsia="仿宋" w:cs="仿宋"/>
                <w:kern w:val="0"/>
                <w:szCs w:val="24"/>
              </w:rPr>
            </w:pPr>
          </w:p>
        </w:tc>
      </w:tr>
      <w:tr w14:paraId="72CB4EF2">
        <w:tblPrEx>
          <w:tblCellMar>
            <w:top w:w="0" w:type="dxa"/>
            <w:left w:w="108" w:type="dxa"/>
            <w:bottom w:w="0" w:type="dxa"/>
            <w:right w:w="108" w:type="dxa"/>
          </w:tblCellMar>
        </w:tblPrEx>
        <w:trPr>
          <w:trHeight w:val="90" w:hRule="atLeast"/>
        </w:trPr>
        <w:tc>
          <w:tcPr>
            <w:tcW w:w="8505" w:type="dxa"/>
            <w:gridSpan w:val="3"/>
            <w:tcBorders>
              <w:top w:val="nil"/>
              <w:left w:val="nil"/>
              <w:bottom w:val="nil"/>
              <w:right w:val="nil"/>
            </w:tcBorders>
            <w:vAlign w:val="center"/>
          </w:tcPr>
          <w:p w14:paraId="2269366E">
            <w:pPr>
              <w:rPr>
                <w:rFonts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.8</w:t>
            </w:r>
            <w:r>
              <w:rPr>
                <w:rFonts w:hint="eastAsia" w:asciiTheme="minorEastAsia" w:hAnsiTheme="minorEastAsia" w:eastAsiaTheme="minorEastAsia"/>
                <w:b/>
                <w:bCs/>
                <w:sz w:val="22"/>
                <w:szCs w:val="24"/>
              </w:rPr>
              <w:t>成本违约责任：</w:t>
            </w:r>
          </w:p>
        </w:tc>
      </w:tr>
      <w:tr w14:paraId="6FEB0EB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D2177F3">
            <w:pPr>
              <w:rPr>
                <w:rFonts w:ascii="仿宋" w:hAnsi="仿宋" w:eastAsia="仿宋" w:cs="仿宋"/>
                <w:kern w:val="0"/>
                <w:szCs w:val="24"/>
              </w:rPr>
            </w:pPr>
            <w:r>
              <w:rPr>
                <w:rFonts w:hint="eastAsia" w:ascii="仿宋" w:hAnsi="仿宋" w:eastAsia="仿宋" w:cs="仿宋"/>
                <w:kern w:val="0"/>
                <w:szCs w:val="24"/>
              </w:rPr>
              <w:t>序号</w:t>
            </w:r>
          </w:p>
        </w:tc>
        <w:tc>
          <w:tcPr>
            <w:tcW w:w="5670" w:type="dxa"/>
            <w:tcBorders>
              <w:top w:val="single" w:color="000000" w:sz="4" w:space="0"/>
              <w:left w:val="single" w:color="000000" w:sz="4" w:space="0"/>
              <w:bottom w:val="single" w:color="000000" w:sz="4" w:space="0"/>
              <w:right w:val="single" w:color="000000" w:sz="4" w:space="0"/>
            </w:tcBorders>
            <w:vAlign w:val="center"/>
          </w:tcPr>
          <w:p w14:paraId="2EFF2484">
            <w:pPr>
              <w:rPr>
                <w:rFonts w:ascii="仿宋" w:hAnsi="仿宋" w:eastAsia="仿宋" w:cs="仿宋"/>
                <w:kern w:val="0"/>
                <w:szCs w:val="24"/>
              </w:rPr>
            </w:pPr>
            <w:r>
              <w:rPr>
                <w:rFonts w:hint="eastAsia" w:ascii="仿宋" w:hAnsi="仿宋" w:eastAsia="仿宋" w:cs="仿宋"/>
                <w:kern w:val="0"/>
                <w:szCs w:val="24"/>
              </w:rPr>
              <w:t>内容</w:t>
            </w:r>
          </w:p>
        </w:tc>
        <w:tc>
          <w:tcPr>
            <w:tcW w:w="2126" w:type="dxa"/>
            <w:tcBorders>
              <w:top w:val="single" w:color="000000" w:sz="4" w:space="0"/>
              <w:left w:val="single" w:color="000000" w:sz="4" w:space="0"/>
              <w:bottom w:val="single" w:color="000000" w:sz="4" w:space="0"/>
              <w:right w:val="single" w:color="000000" w:sz="4" w:space="0"/>
            </w:tcBorders>
            <w:vAlign w:val="center"/>
          </w:tcPr>
          <w:p w14:paraId="2F89B2AF">
            <w:pPr>
              <w:rPr>
                <w:rFonts w:ascii="仿宋" w:hAnsi="仿宋" w:eastAsia="仿宋" w:cs="仿宋"/>
                <w:kern w:val="0"/>
                <w:szCs w:val="24"/>
              </w:rPr>
            </w:pPr>
            <w:r>
              <w:rPr>
                <w:rFonts w:hint="eastAsia" w:ascii="仿宋" w:hAnsi="仿宋" w:eastAsia="仿宋" w:cs="仿宋"/>
                <w:kern w:val="0"/>
                <w:szCs w:val="24"/>
              </w:rPr>
              <w:t>违约处理</w:t>
            </w:r>
          </w:p>
        </w:tc>
      </w:tr>
      <w:tr w14:paraId="5825254D">
        <w:tblPrEx>
          <w:tblCellMar>
            <w:top w:w="0" w:type="dxa"/>
            <w:left w:w="108" w:type="dxa"/>
            <w:bottom w:w="0" w:type="dxa"/>
            <w:right w:w="108" w:type="dxa"/>
          </w:tblCellMar>
        </w:tblPrEx>
        <w:trPr>
          <w:trHeight w:val="85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3A5232A">
            <w:pPr>
              <w:rPr>
                <w:rFonts w:ascii="仿宋" w:hAnsi="仿宋" w:eastAsia="仿宋" w:cs="仿宋"/>
                <w:kern w:val="0"/>
                <w:szCs w:val="24"/>
              </w:rPr>
            </w:pPr>
            <w:r>
              <w:rPr>
                <w:rFonts w:hint="eastAsia" w:eastAsia="仿宋"/>
                <w:sz w:val="22"/>
              </w:rPr>
              <w:t>1</w:t>
            </w:r>
          </w:p>
        </w:tc>
        <w:tc>
          <w:tcPr>
            <w:tcW w:w="5670" w:type="dxa"/>
            <w:tcBorders>
              <w:top w:val="single" w:color="000000" w:sz="4" w:space="0"/>
              <w:left w:val="single" w:color="000000" w:sz="4" w:space="0"/>
              <w:bottom w:val="single" w:color="000000" w:sz="4" w:space="0"/>
              <w:right w:val="single" w:color="000000" w:sz="4" w:space="0"/>
            </w:tcBorders>
            <w:vAlign w:val="center"/>
          </w:tcPr>
          <w:p w14:paraId="6878B93C">
            <w:pPr>
              <w:rPr>
                <w:rFonts w:ascii="仿宋" w:hAnsi="仿宋" w:eastAsia="仿宋" w:cs="仿宋"/>
                <w:kern w:val="0"/>
                <w:szCs w:val="24"/>
              </w:rPr>
            </w:pPr>
            <w:r>
              <w:rPr>
                <w:rFonts w:hint="eastAsia"/>
                <w:sz w:val="22"/>
              </w:rPr>
              <w:t>若分包人以核价争议等理由停工或拖延施工的，由此导致的工期延误，由分包人自行承担，且分包人应按停工或拖延施工天数承担违约金。</w:t>
            </w:r>
          </w:p>
        </w:tc>
        <w:tc>
          <w:tcPr>
            <w:tcW w:w="2126" w:type="dxa"/>
            <w:tcBorders>
              <w:top w:val="single" w:color="000000" w:sz="4" w:space="0"/>
              <w:left w:val="single" w:color="000000" w:sz="4" w:space="0"/>
              <w:bottom w:val="single" w:color="000000" w:sz="4" w:space="0"/>
              <w:right w:val="single" w:color="000000" w:sz="4" w:space="0"/>
            </w:tcBorders>
            <w:vAlign w:val="center"/>
          </w:tcPr>
          <w:p w14:paraId="2677B9A9">
            <w:pPr>
              <w:rPr>
                <w:rFonts w:ascii="仿宋" w:hAnsi="仿宋" w:eastAsia="仿宋" w:cs="仿宋"/>
                <w:kern w:val="0"/>
                <w:szCs w:val="24"/>
              </w:rPr>
            </w:pPr>
            <w:r>
              <w:rPr>
                <w:rFonts w:hint="eastAsia"/>
                <w:sz w:val="22"/>
              </w:rPr>
              <w:t>5000元/天</w:t>
            </w:r>
          </w:p>
        </w:tc>
      </w:tr>
      <w:tr w14:paraId="43629650">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9D34328">
            <w:pPr>
              <w:rPr>
                <w:rFonts w:ascii="仿宋" w:hAnsi="仿宋" w:eastAsia="仿宋" w:cs="仿宋"/>
                <w:kern w:val="0"/>
                <w:szCs w:val="24"/>
              </w:rPr>
            </w:pPr>
            <w:r>
              <w:rPr>
                <w:rFonts w:hint="eastAsia" w:ascii="仿宋" w:hAnsi="仿宋" w:eastAsia="仿宋" w:cs="仿宋"/>
                <w:kern w:val="0"/>
                <w:szCs w:val="24"/>
              </w:rPr>
              <w:t>2</w:t>
            </w:r>
          </w:p>
        </w:tc>
        <w:tc>
          <w:tcPr>
            <w:tcW w:w="5670" w:type="dxa"/>
            <w:tcBorders>
              <w:top w:val="single" w:color="000000" w:sz="4" w:space="0"/>
              <w:left w:val="single" w:color="000000" w:sz="4" w:space="0"/>
              <w:bottom w:val="single" w:color="000000" w:sz="4" w:space="0"/>
              <w:right w:val="single" w:color="000000" w:sz="4" w:space="0"/>
            </w:tcBorders>
            <w:vAlign w:val="center"/>
          </w:tcPr>
          <w:p w14:paraId="45F8F15B">
            <w:pPr>
              <w:rPr>
                <w:rFonts w:ascii="仿宋" w:hAnsi="仿宋" w:eastAsia="仿宋" w:cs="仿宋"/>
                <w:kern w:val="0"/>
                <w:szCs w:val="24"/>
              </w:rPr>
            </w:pPr>
            <w:r>
              <w:rPr>
                <w:rFonts w:hint="eastAsia"/>
                <w:sz w:val="22"/>
              </w:rPr>
              <w:t>若分包人未及时向监理单位、发包人报送变更台账或台账存在严重质量问题或不配合核对台账的，每发生一次，分包人应向承包人承担相应支付违约金。</w:t>
            </w:r>
          </w:p>
        </w:tc>
        <w:tc>
          <w:tcPr>
            <w:tcW w:w="2126" w:type="dxa"/>
            <w:tcBorders>
              <w:top w:val="single" w:color="000000" w:sz="4" w:space="0"/>
              <w:left w:val="single" w:color="000000" w:sz="4" w:space="0"/>
              <w:bottom w:val="single" w:color="000000" w:sz="4" w:space="0"/>
              <w:right w:val="single" w:color="000000" w:sz="4" w:space="0"/>
            </w:tcBorders>
            <w:vAlign w:val="center"/>
          </w:tcPr>
          <w:p w14:paraId="29E04D52">
            <w:pPr>
              <w:rPr>
                <w:rFonts w:ascii="仿宋" w:hAnsi="仿宋" w:eastAsia="仿宋" w:cs="仿宋"/>
                <w:kern w:val="0"/>
                <w:szCs w:val="24"/>
              </w:rPr>
            </w:pPr>
            <w:r>
              <w:rPr>
                <w:rFonts w:hint="eastAsia"/>
                <w:sz w:val="22"/>
              </w:rPr>
              <w:t>2000元/次</w:t>
            </w:r>
          </w:p>
        </w:tc>
      </w:tr>
      <w:tr w14:paraId="4059DE51">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65B3D21">
            <w:pPr>
              <w:rPr>
                <w:rFonts w:ascii="仿宋" w:hAnsi="仿宋" w:eastAsia="仿宋" w:cs="仿宋"/>
                <w:kern w:val="0"/>
                <w:szCs w:val="24"/>
              </w:rPr>
            </w:pPr>
            <w:r>
              <w:rPr>
                <w:rFonts w:hint="eastAsia" w:ascii="仿宋" w:hAnsi="仿宋" w:eastAsia="仿宋" w:cs="仿宋"/>
                <w:kern w:val="0"/>
                <w:szCs w:val="24"/>
              </w:rPr>
              <w:t>3</w:t>
            </w:r>
          </w:p>
        </w:tc>
        <w:tc>
          <w:tcPr>
            <w:tcW w:w="5670" w:type="dxa"/>
            <w:tcBorders>
              <w:top w:val="single" w:color="000000" w:sz="4" w:space="0"/>
              <w:left w:val="single" w:color="000000" w:sz="4" w:space="0"/>
              <w:bottom w:val="single" w:color="000000" w:sz="4" w:space="0"/>
              <w:right w:val="single" w:color="000000" w:sz="4" w:space="0"/>
            </w:tcBorders>
            <w:vAlign w:val="center"/>
          </w:tcPr>
          <w:p w14:paraId="0B5CBA1E">
            <w:pPr>
              <w:rPr>
                <w:rFonts w:ascii="仿宋" w:hAnsi="仿宋" w:eastAsia="仿宋" w:cs="仿宋"/>
                <w:kern w:val="0"/>
                <w:szCs w:val="24"/>
              </w:rPr>
            </w:pPr>
            <w:r>
              <w:rPr>
                <w:rFonts w:hint="eastAsia"/>
                <w:sz w:val="22"/>
              </w:rPr>
              <w:t>分包人拒不配合竣工结算的，承包人有权进行单面结算或委托第三方中介机构结算。结算结果送达分包人后15天内分包人未向承包人反馈结算书面确认信息的，视为分包人已默认并同意结算结果。该等情形下，分包人需向承包人支付本合同中标价款0.3%的结算编制费用，且承包人有权在应付分包人的工程款中直接扣留该款项。</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680F06E">
            <w:pPr>
              <w:rPr>
                <w:rFonts w:ascii="仿宋" w:hAnsi="仿宋" w:eastAsia="仿宋" w:cs="仿宋"/>
                <w:kern w:val="0"/>
                <w:szCs w:val="24"/>
              </w:rPr>
            </w:pPr>
            <w:r>
              <w:rPr>
                <w:rFonts w:hint="eastAsia"/>
                <w:sz w:val="22"/>
              </w:rPr>
              <w:t>向承包人按本合同签约合同价的0.2%支付违约金</w:t>
            </w:r>
          </w:p>
        </w:tc>
      </w:tr>
    </w:tbl>
    <w:p w14:paraId="2F2E7954">
      <w:pPr>
        <w:widowControl/>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14:paraId="3363929F">
      <w:pPr>
        <w:pStyle w:val="3"/>
        <w:spacing w:before="0" w:after="0" w:line="240" w:lineRule="auto"/>
        <w:rPr>
          <w:rFonts w:ascii="仿宋" w:hAnsi="仿宋" w:eastAsia="仿宋" w:cs="宋体"/>
          <w:color w:val="000000" w:themeColor="text1"/>
          <w:sz w:val="36"/>
          <w:szCs w:val="28"/>
          <w14:textFill>
            <w14:solidFill>
              <w14:schemeClr w14:val="tx1"/>
            </w14:solidFill>
          </w14:textFill>
        </w:rPr>
      </w:pPr>
      <w:bookmarkStart w:id="910" w:name="_Toc17143"/>
      <w:bookmarkStart w:id="911" w:name="_Toc1770"/>
      <w:r>
        <w:rPr>
          <w:rFonts w:hint="eastAsia" w:ascii="仿宋" w:hAnsi="仿宋" w:eastAsia="仿宋" w:cs="宋体"/>
          <w:color w:val="000000" w:themeColor="text1"/>
          <w:sz w:val="36"/>
          <w:szCs w:val="28"/>
          <w14:textFill>
            <w14:solidFill>
              <w14:schemeClr w14:val="tx1"/>
            </w14:solidFill>
          </w14:textFill>
        </w:rPr>
        <w:t>四 工程量清单报价补充条款</w:t>
      </w:r>
      <w:bookmarkEnd w:id="910"/>
      <w:bookmarkEnd w:id="911"/>
    </w:p>
    <w:p w14:paraId="59D5B79A"/>
    <w:p w14:paraId="2C2C28F4">
      <w:pPr>
        <w:pStyle w:val="77"/>
        <w:rPr>
          <w:color w:val="000000" w:themeColor="text1"/>
          <w14:textFill>
            <w14:solidFill>
              <w14:schemeClr w14:val="tx1"/>
            </w14:solidFill>
          </w14:textFill>
        </w:rPr>
      </w:pPr>
      <w:bookmarkStart w:id="912" w:name="_Toc7790"/>
      <w:bookmarkStart w:id="913" w:name="_Toc505776016"/>
      <w:bookmarkStart w:id="914" w:name="_Toc13302"/>
      <w:bookmarkStart w:id="915" w:name="_Toc14717"/>
      <w:bookmarkStart w:id="916" w:name="_Toc529298697"/>
      <w:bookmarkStart w:id="917" w:name="_Toc28985"/>
      <w:bookmarkStart w:id="918" w:name="_Toc9361"/>
      <w:bookmarkStart w:id="919" w:name="_Toc5062"/>
      <w:bookmarkStart w:id="920" w:name="_Toc5"/>
      <w:bookmarkStart w:id="921" w:name="_Toc22075"/>
      <w:bookmarkStart w:id="922" w:name="_Toc8693"/>
      <w:bookmarkStart w:id="923" w:name="_Toc9607_WPSOffice_Level3"/>
      <w:bookmarkStart w:id="924" w:name="_Toc24300"/>
      <w:bookmarkStart w:id="925" w:name="_Toc25357"/>
      <w:bookmarkStart w:id="926" w:name="_Toc25609"/>
      <w:bookmarkStart w:id="927" w:name="_Toc11682"/>
      <w:bookmarkStart w:id="928" w:name="_Toc32421"/>
      <w:bookmarkStart w:id="929" w:name="_Toc14405"/>
      <w:bookmarkStart w:id="930" w:name="_Toc3208"/>
      <w:r>
        <w:rPr>
          <w:rFonts w:hint="eastAsia"/>
          <w:color w:val="000000" w:themeColor="text1"/>
          <w14:textFill>
            <w14:solidFill>
              <w14:schemeClr w14:val="tx1"/>
            </w14:solidFill>
          </w14:textFill>
        </w:rPr>
        <w:t>（一） 总说明</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00AED70C">
      <w:pPr>
        <w:pStyle w:val="158"/>
        <w:spacing w:before="143" w:beforeAutospacing="0" w:after="143"/>
        <w:ind w:firstLine="496"/>
        <w:rPr>
          <w:rFonts w:ascii="宋体" w:hAnsi="宋体" w:cs="宋体"/>
          <w:szCs w:val="24"/>
        </w:rPr>
      </w:pPr>
      <w:r>
        <w:rPr>
          <w:rFonts w:hint="eastAsia" w:ascii="宋体" w:hAnsi="宋体" w:cs="宋体"/>
          <w:szCs w:val="24"/>
        </w:rPr>
        <w:t>1、本项目执行《建设工程工程量清单计价规范（GB50500-2013）》、《广东省建设工程计价依据的通知（2018）》（粤建市〔2019〕6号）的相关规定。国家及广东省、广州市有最新规定的，从其规定。</w:t>
      </w:r>
    </w:p>
    <w:p w14:paraId="3F555CA4">
      <w:pPr>
        <w:pStyle w:val="158"/>
        <w:spacing w:before="143" w:beforeAutospacing="0" w:after="143"/>
        <w:ind w:firstLine="496"/>
        <w:rPr>
          <w:rFonts w:ascii="宋体" w:hAnsi="宋体" w:cs="宋体"/>
          <w:szCs w:val="24"/>
        </w:rPr>
      </w:pPr>
      <w:r>
        <w:rPr>
          <w:rFonts w:hint="eastAsia" w:ascii="宋体" w:hAnsi="宋体" w:cs="宋体"/>
          <w:szCs w:val="24"/>
        </w:rPr>
        <w:t>2、凡在本说明中已明确的须按本说明执行。本说明与工程量清单互为补充、解释，当两者有矛盾时，按利于发包人为准。</w:t>
      </w:r>
    </w:p>
    <w:p w14:paraId="391CE74E">
      <w:pPr>
        <w:pStyle w:val="158"/>
        <w:spacing w:before="143" w:beforeAutospacing="0" w:after="143"/>
        <w:ind w:firstLine="496"/>
        <w:rPr>
          <w:rFonts w:ascii="宋体" w:hAnsi="宋体" w:cs="宋体"/>
          <w:szCs w:val="24"/>
        </w:rPr>
      </w:pPr>
      <w:r>
        <w:rPr>
          <w:rFonts w:hint="eastAsia" w:ascii="宋体" w:hAnsi="宋体" w:cs="宋体"/>
          <w:szCs w:val="24"/>
        </w:rPr>
        <w:t>3、工程总报价由分部分项工程量清单报价、措施项目清单报价、其他项目清单报价和增值税销项税额四部分组成，其中分部分项工程量清单报价、措施项目清单报价、其他项目清单报价均为不包含进项税额的报价。同时，工程总报价应包含按《广州市建筑业职工参加工伤保险实施办法》（穗人社发〔2015〕73号）规定缴纳的建筑职工工伤保险费。报价应充分考虑工程施工管理和施工组织设计涉及的内容，不允许报价与工程施工管理和施工组织严重脱节或工程量清单各项单价存在严重不合理报价。</w:t>
      </w:r>
    </w:p>
    <w:p w14:paraId="470EC822">
      <w:pPr>
        <w:pStyle w:val="158"/>
        <w:spacing w:before="143" w:beforeAutospacing="0" w:after="143"/>
        <w:ind w:firstLine="496"/>
        <w:rPr>
          <w:rFonts w:ascii="宋体" w:hAnsi="宋体" w:cs="宋体"/>
          <w:szCs w:val="24"/>
        </w:rPr>
      </w:pPr>
      <w:r>
        <w:rPr>
          <w:rFonts w:hint="eastAsia" w:ascii="宋体" w:hAnsi="宋体" w:cs="宋体"/>
          <w:szCs w:val="24"/>
        </w:rPr>
        <w:t>4、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14:paraId="34D8A4FB">
      <w:pPr>
        <w:pStyle w:val="158"/>
        <w:spacing w:before="143" w:beforeAutospacing="0" w:after="143"/>
        <w:ind w:firstLine="496"/>
        <w:rPr>
          <w:rFonts w:ascii="宋体" w:hAnsi="宋体" w:cs="宋体"/>
          <w:szCs w:val="24"/>
        </w:rPr>
      </w:pPr>
      <w:r>
        <w:rPr>
          <w:rFonts w:hint="eastAsia" w:ascii="宋体" w:hAnsi="宋体" w:cs="宋体"/>
          <w:szCs w:val="24"/>
        </w:rPr>
        <w:t>5、投标人认为招标文件工程量清单没有开列的项目或认为清单及清单工程量描述有误时，投标人应以书面形式提出，经招标人以答疑纪要或澄清文件方式确认后可增列或修正。</w:t>
      </w:r>
    </w:p>
    <w:p w14:paraId="3CAB8310">
      <w:pPr>
        <w:pStyle w:val="158"/>
        <w:spacing w:before="143" w:beforeAutospacing="0" w:after="143"/>
        <w:ind w:firstLine="496"/>
        <w:rPr>
          <w:rFonts w:ascii="宋体" w:hAnsi="宋体" w:cs="宋体"/>
          <w:szCs w:val="24"/>
        </w:rPr>
      </w:pPr>
      <w:r>
        <w:rPr>
          <w:rFonts w:hint="eastAsia" w:ascii="宋体" w:hAnsi="宋体" w:cs="宋体"/>
          <w:szCs w:val="24"/>
        </w:rPr>
        <w:t>6、工程量报价清单内的每一清单项目均需填报单价和合价,对没有填报或填报为“0”的单价与合价项目,则视为该项费用已含在其他工程量报价清单中的综合单价与综合合价内，结算时不因此另行增加合同费用。</w:t>
      </w:r>
    </w:p>
    <w:p w14:paraId="6017C0F9">
      <w:pPr>
        <w:pStyle w:val="158"/>
        <w:spacing w:before="143" w:beforeAutospacing="0" w:after="143"/>
        <w:ind w:firstLine="496"/>
        <w:rPr>
          <w:rFonts w:ascii="宋体" w:hAnsi="宋体" w:cs="宋体"/>
          <w:szCs w:val="24"/>
        </w:rPr>
      </w:pPr>
      <w:r>
        <w:rPr>
          <w:rFonts w:hint="eastAsia" w:ascii="宋体" w:hAnsi="宋体" w:cs="宋体"/>
          <w:szCs w:val="24"/>
        </w:rPr>
        <w:t>7、投标人所报的材料及设备单价均为到工地价，即包含原价、采购费、运杂费及运输损耗、仓储保管费、装卸费、吊装费及场内二次转运费等。</w:t>
      </w:r>
    </w:p>
    <w:p w14:paraId="53688696">
      <w:pPr>
        <w:pStyle w:val="158"/>
        <w:spacing w:before="143" w:beforeAutospacing="0" w:after="143"/>
        <w:ind w:firstLine="496"/>
        <w:rPr>
          <w:rFonts w:ascii="宋体" w:hAnsi="宋体" w:cs="宋体"/>
          <w:szCs w:val="24"/>
        </w:rPr>
      </w:pPr>
      <w:r>
        <w:rPr>
          <w:rFonts w:hint="eastAsia" w:ascii="宋体" w:hAnsi="宋体" w:cs="宋体"/>
          <w:szCs w:val="24"/>
        </w:rPr>
        <w:t>8、投标人填报工程量清单时对招标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14:paraId="5180FD9F">
      <w:pPr>
        <w:pStyle w:val="158"/>
        <w:spacing w:before="143" w:beforeAutospacing="0" w:after="143"/>
        <w:ind w:firstLine="496"/>
        <w:rPr>
          <w:rFonts w:ascii="宋体" w:hAnsi="宋体" w:cs="宋体"/>
          <w:szCs w:val="24"/>
        </w:rPr>
      </w:pPr>
      <w:r>
        <w:rPr>
          <w:rFonts w:hint="eastAsia" w:ascii="宋体" w:hAnsi="宋体" w:cs="宋体"/>
          <w:szCs w:val="24"/>
        </w:rPr>
        <w:t>9、投标人所提供的电子文件必须能够打开，电子文件的内容必须按招标文件的要求格式填报，不得擅自调整格式及顺序，同时电子文件内容必须与纸质投标文件正本内容一致。</w:t>
      </w:r>
    </w:p>
    <w:p w14:paraId="6851C4BB">
      <w:pPr>
        <w:pStyle w:val="158"/>
        <w:spacing w:before="143" w:beforeAutospacing="0" w:after="143"/>
        <w:ind w:firstLine="496"/>
        <w:rPr>
          <w:rFonts w:ascii="宋体" w:hAnsi="宋体" w:cs="宋体"/>
          <w:szCs w:val="24"/>
        </w:rPr>
      </w:pPr>
      <w:r>
        <w:rPr>
          <w:rFonts w:hint="eastAsia" w:ascii="宋体" w:hAnsi="宋体" w:cs="宋体"/>
          <w:szCs w:val="24"/>
        </w:rPr>
        <w:t>10、所有报价的币种均为人民币；工程数量、单价、合价保留两位小数，第三位小数四舍五入。</w:t>
      </w:r>
    </w:p>
    <w:p w14:paraId="0D80933F">
      <w:pPr>
        <w:pStyle w:val="158"/>
        <w:spacing w:before="143" w:beforeAutospacing="0" w:after="143"/>
        <w:ind w:firstLine="496"/>
        <w:rPr>
          <w:rFonts w:ascii="宋体" w:hAnsi="宋体" w:cs="宋体"/>
          <w:szCs w:val="24"/>
        </w:rPr>
      </w:pPr>
      <w:r>
        <w:rPr>
          <w:rFonts w:hint="eastAsia" w:ascii="宋体" w:hAnsi="宋体" w:cs="宋体"/>
          <w:szCs w:val="24"/>
        </w:rPr>
        <w:t>11、对于工程实施过程中某清单项目或清单项目中的某一项（或某几项）工作内容若实际未发生的，则在结算时应扣除未发生的清单项目或清单项目中未发生部分工程内容的相应费用。</w:t>
      </w:r>
    </w:p>
    <w:p w14:paraId="0EA74ECD">
      <w:pPr>
        <w:pStyle w:val="77"/>
        <w:rPr>
          <w:color w:val="000000" w:themeColor="text1"/>
          <w14:textFill>
            <w14:solidFill>
              <w14:schemeClr w14:val="tx1"/>
            </w14:solidFill>
          </w14:textFill>
        </w:rPr>
      </w:pPr>
      <w:bookmarkStart w:id="931" w:name="_Toc505776017"/>
      <w:bookmarkStart w:id="932" w:name="_Toc31426"/>
      <w:bookmarkStart w:id="933" w:name="_Toc18389"/>
      <w:bookmarkStart w:id="934" w:name="_Toc21295"/>
      <w:bookmarkStart w:id="935" w:name="_Toc14393"/>
      <w:bookmarkStart w:id="936" w:name="_Toc2582"/>
      <w:bookmarkStart w:id="937" w:name="_Toc26354"/>
      <w:bookmarkStart w:id="938" w:name="_Toc665"/>
      <w:bookmarkStart w:id="939" w:name="_Toc529298698"/>
      <w:bookmarkStart w:id="940" w:name="_Toc18264"/>
      <w:bookmarkStart w:id="941" w:name="_Toc1233"/>
      <w:bookmarkStart w:id="942" w:name="_Toc5136"/>
      <w:bookmarkStart w:id="943" w:name="_Toc14608"/>
      <w:bookmarkStart w:id="944" w:name="_Toc412808037"/>
      <w:bookmarkStart w:id="945" w:name="_Toc9663"/>
      <w:bookmarkStart w:id="946" w:name="_Toc396917838"/>
      <w:bookmarkStart w:id="947" w:name="_Toc31220"/>
      <w:bookmarkStart w:id="948" w:name="_Toc24119"/>
      <w:bookmarkStart w:id="949" w:name="_Toc9305_WPSOffice_Level3"/>
      <w:bookmarkStart w:id="950" w:name="_Toc24693"/>
      <w:bookmarkStart w:id="951" w:name="_Toc26864"/>
      <w:bookmarkStart w:id="952" w:name="_Toc32350"/>
      <w:bookmarkStart w:id="953" w:name="_Toc32278"/>
      <w:bookmarkStart w:id="954" w:name="_Toc32314"/>
      <w:bookmarkStart w:id="955" w:name="_Toc24155"/>
      <w:bookmarkStart w:id="956" w:name="_Toc23323"/>
      <w:bookmarkStart w:id="957" w:name="_Toc31897"/>
      <w:bookmarkStart w:id="958" w:name="_Toc16745"/>
      <w:bookmarkStart w:id="959" w:name="_Toc26635"/>
      <w:bookmarkStart w:id="960" w:name="_Toc21664"/>
      <w:r>
        <w:rPr>
          <w:rFonts w:hint="eastAsia"/>
          <w:color w:val="000000" w:themeColor="text1"/>
          <w14:textFill>
            <w14:solidFill>
              <w14:schemeClr w14:val="tx1"/>
            </w14:solidFill>
          </w14:textFill>
        </w:rPr>
        <w:t>（二） 分部分项工程量清单计价说明</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4C33FBC1">
      <w:pPr>
        <w:pStyle w:val="158"/>
        <w:spacing w:before="143" w:beforeAutospacing="0" w:after="143"/>
        <w:ind w:firstLine="496"/>
        <w:rPr>
          <w:rFonts w:ascii="宋体" w:hAnsi="宋体" w:cs="宋体"/>
          <w:strike/>
          <w:szCs w:val="24"/>
        </w:rPr>
      </w:pPr>
      <w:r>
        <w:rPr>
          <w:rFonts w:hint="eastAsia" w:ascii="宋体" w:hAnsi="宋体" w:cs="宋体"/>
          <w:szCs w:val="24"/>
        </w:rPr>
        <w:t>分部分项工程量清单报价：指根据招标文件、图纸、国家规范、技术文件标准等内容，采取综合单价包干计价的项目。综合单价是指完成工程量清单中规定计量单位项目全部工作内容所需的所有相关费用，包括人工费、材料费、机具费、管理费、利润、不可预见费、夜间施工增加费、建筑物超高增加人工、机具费进行施工增加费（机电安装工程另计）等。</w:t>
      </w:r>
    </w:p>
    <w:p w14:paraId="0524EE64">
      <w:pPr>
        <w:pStyle w:val="77"/>
        <w:rPr>
          <w:color w:val="000000" w:themeColor="text1"/>
          <w14:textFill>
            <w14:solidFill>
              <w14:schemeClr w14:val="tx1"/>
            </w14:solidFill>
          </w14:textFill>
        </w:rPr>
      </w:pPr>
      <w:bookmarkStart w:id="961" w:name="_Toc14555"/>
      <w:bookmarkStart w:id="962" w:name="_Toc529298700"/>
      <w:bookmarkStart w:id="963" w:name="_Toc412808038"/>
      <w:bookmarkStart w:id="964" w:name="_Toc505776018"/>
      <w:bookmarkStart w:id="965" w:name="_Toc19302"/>
      <w:bookmarkStart w:id="966" w:name="_Toc15129"/>
      <w:bookmarkStart w:id="967" w:name="_Toc32208"/>
      <w:bookmarkStart w:id="968" w:name="_Toc6797"/>
      <w:bookmarkStart w:id="969" w:name="_Toc11358"/>
      <w:bookmarkStart w:id="970" w:name="_Toc20216"/>
      <w:bookmarkStart w:id="971" w:name="_Toc1582"/>
      <w:bookmarkStart w:id="972" w:name="_Toc6511"/>
      <w:bookmarkStart w:id="973" w:name="_Toc12543"/>
      <w:bookmarkStart w:id="974" w:name="_Toc10996"/>
      <w:bookmarkStart w:id="975" w:name="_Toc396917839"/>
      <w:bookmarkStart w:id="976" w:name="_Toc11095"/>
      <w:bookmarkStart w:id="977" w:name="_Toc30754"/>
      <w:bookmarkStart w:id="978" w:name="_Toc9636"/>
      <w:bookmarkStart w:id="979" w:name="_Toc6627"/>
      <w:bookmarkStart w:id="980" w:name="_Toc14054"/>
      <w:bookmarkStart w:id="981" w:name="_Toc903_WPSOffice_Level3"/>
      <w:r>
        <w:rPr>
          <w:rFonts w:hint="eastAsia"/>
          <w:color w:val="000000" w:themeColor="text1"/>
          <w14:textFill>
            <w14:solidFill>
              <w14:schemeClr w14:val="tx1"/>
            </w14:solidFill>
          </w14:textFill>
        </w:rPr>
        <w:t>（三） 措施项目清单计价说明</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6C92D6BB">
      <w:pPr>
        <w:pStyle w:val="158"/>
        <w:spacing w:before="143" w:beforeAutospacing="0" w:after="143"/>
        <w:ind w:firstLine="496"/>
        <w:rPr>
          <w:rFonts w:ascii="宋体" w:hAnsi="宋体" w:cs="宋体"/>
          <w:szCs w:val="24"/>
        </w:rPr>
      </w:pPr>
      <w:r>
        <w:rPr>
          <w:rFonts w:hint="eastAsia" w:ascii="宋体" w:hAnsi="宋体" w:cs="宋体"/>
          <w:szCs w:val="24"/>
        </w:rPr>
        <w:t>措施项目费指根据招标文件、图纸、国家规范、技术文件标准等内容，完成本招标项目施工，发生于该招标项目承包期内非工程实体项目费用。措施项目的实施须满足政府职能部门及发包人制定的相关规定要求。</w:t>
      </w:r>
    </w:p>
    <w:p w14:paraId="414F0E8F">
      <w:pPr>
        <w:pStyle w:val="158"/>
        <w:spacing w:before="143" w:beforeAutospacing="0" w:after="143"/>
        <w:ind w:firstLine="496"/>
        <w:rPr>
          <w:rFonts w:ascii="宋体" w:hAnsi="宋体" w:cs="宋体"/>
          <w:szCs w:val="24"/>
        </w:rPr>
      </w:pPr>
      <w:r>
        <w:rPr>
          <w:rFonts w:hint="eastAsia" w:ascii="宋体" w:hAnsi="宋体" w:cs="宋体"/>
          <w:szCs w:val="24"/>
        </w:rPr>
        <w:t>招标人提出的措施项目清单是根据一般情况所列，因此投标人在报价时，应根据本企业的实际情况和拟采用的施工方案，详细分析其所含的项目特征和工程内容，自行报价。投标人没有计算或少计算的费用，视为已包括在其他相关费用内。</w:t>
      </w:r>
    </w:p>
    <w:p w14:paraId="616999F8">
      <w:pPr>
        <w:pStyle w:val="5"/>
        <w:spacing w:before="0" w:after="0" w:line="360" w:lineRule="auto"/>
        <w:ind w:firstLine="422" w:firstLineChars="200"/>
        <w:rPr>
          <w:color w:val="000000" w:themeColor="text1"/>
          <w:sz w:val="21"/>
          <w:szCs w:val="21"/>
          <w14:textFill>
            <w14:solidFill>
              <w14:schemeClr w14:val="tx1"/>
            </w14:solidFill>
          </w14:textFill>
        </w:rPr>
      </w:pPr>
      <w:bookmarkStart w:id="982" w:name="_Toc8292043"/>
      <w:bookmarkStart w:id="983" w:name="_Toc23580"/>
      <w:bookmarkStart w:id="984" w:name="_Toc26567"/>
      <w:bookmarkStart w:id="985" w:name="_Toc12572"/>
      <w:bookmarkStart w:id="986" w:name="_Toc20455"/>
      <w:bookmarkStart w:id="987" w:name="_Toc32372"/>
      <w:bookmarkStart w:id="988" w:name="_Toc5166"/>
      <w:bookmarkStart w:id="989" w:name="_Toc16530"/>
      <w:bookmarkStart w:id="990" w:name="_Toc1866"/>
      <w:bookmarkStart w:id="991" w:name="_Toc20831"/>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绿色施工安全防护措施费</w:t>
      </w:r>
      <w:bookmarkEnd w:id="982"/>
      <w:bookmarkEnd w:id="983"/>
      <w:bookmarkEnd w:id="984"/>
      <w:bookmarkEnd w:id="985"/>
      <w:bookmarkEnd w:id="986"/>
      <w:bookmarkEnd w:id="987"/>
      <w:bookmarkEnd w:id="988"/>
      <w:bookmarkEnd w:id="989"/>
      <w:bookmarkEnd w:id="990"/>
      <w:bookmarkEnd w:id="991"/>
    </w:p>
    <w:p w14:paraId="28A28CC4">
      <w:pPr>
        <w:pStyle w:val="158"/>
        <w:spacing w:before="143" w:beforeAutospacing="0" w:after="143"/>
        <w:ind w:firstLine="496"/>
        <w:rPr>
          <w:rFonts w:ascii="宋体" w:hAnsi="宋体" w:cs="宋体"/>
          <w:szCs w:val="24"/>
        </w:rPr>
      </w:pPr>
      <w:r>
        <w:rPr>
          <w:rFonts w:hint="eastAsia" w:ascii="宋体" w:hAnsi="宋体" w:cs="宋体"/>
          <w:szCs w:val="24"/>
        </w:rPr>
        <w:t>指按照国家现行的建筑施工安全、施工现场环境与卫生标准和有关规定，购置和更新施工安全防护用具及设施、保证和改善安全生产条件及作业环境所需要的费用。依据《广东省建筑与装饰工程综合定额(2018)》，绿色施工安全防护措施费由两部分组成，第一部分为按子目计算部分，包括：综合脚手架、靠脚手架安全挡板、密目式安全网、冲孔铝板、围尼龙编织布、模板的支架（钢支撑）、施工现场围挡和临时占地围挡、施工围挡照明、临时钢管架通道、独立安全防护挡板、吊装设备基础、防尘降噪绿色施工防护棚、施工便道、样板引路；第二部分为按系数计算部分，包括绿色施工（含扬尘控制）、临时设施、安全施工、用工实名制、视频监控装置安装费用和网络接入及运行维护费用等。绿色施工安全防护措施费作为非竞争性费用，不低于依据省市工程造价管理机构规定费率计算所需费用总额，所有投标人按招标人公布的固定金额填报。绿色施工安全防护措施费专款专用，要求在承包人财务管理中单独列出安全防护、文明施工措施项目费用清单备查。</w:t>
      </w:r>
    </w:p>
    <w:p w14:paraId="013E29AC">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系统联合调试费用</w:t>
      </w:r>
      <w:bookmarkEnd w:id="952"/>
      <w:bookmarkEnd w:id="953"/>
      <w:bookmarkEnd w:id="954"/>
      <w:bookmarkEnd w:id="955"/>
      <w:bookmarkEnd w:id="956"/>
      <w:bookmarkEnd w:id="957"/>
      <w:bookmarkEnd w:id="958"/>
      <w:bookmarkEnd w:id="959"/>
      <w:bookmarkEnd w:id="960"/>
    </w:p>
    <w:p w14:paraId="5F92F78D">
      <w:pPr>
        <w:pStyle w:val="159"/>
        <w:spacing w:before="143" w:beforeLines="0" w:after="143" w:afterLines="0"/>
        <w:ind w:firstLine="480"/>
        <w:rPr>
          <w:rFonts w:ascii="宋体" w:hAnsi="宋体" w:cs="宋体"/>
          <w:szCs w:val="24"/>
        </w:rPr>
      </w:pPr>
      <w:r>
        <w:rPr>
          <w:rFonts w:hint="eastAsia" w:ascii="宋体" w:hAnsi="宋体" w:cs="宋体"/>
          <w:szCs w:val="24"/>
        </w:rPr>
        <w:t>各系统联合调试所发生的费用，包括上述工作的一切费用（含调试所需的水、电、燃料、机油、冷媒等的费用），该费用在投标人投标报价中综合考虑，除合同另有约定外，结算时不予调整。单机及专业系统调试费用已包含在分部分项工程量清单各项目的综合单价中。</w:t>
      </w:r>
    </w:p>
    <w:p w14:paraId="64668FD2">
      <w:pPr>
        <w:pStyle w:val="5"/>
        <w:spacing w:before="0" w:after="0" w:line="360" w:lineRule="auto"/>
        <w:ind w:firstLine="422"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 xml:space="preserve">.3 </w:t>
      </w:r>
      <w:r>
        <w:rPr>
          <w:rFonts w:hint="eastAsia"/>
          <w:color w:val="000000" w:themeColor="text1"/>
          <w:sz w:val="21"/>
          <w:szCs w:val="21"/>
          <w14:textFill>
            <w14:solidFill>
              <w14:schemeClr w14:val="tx1"/>
            </w14:solidFill>
          </w14:textFill>
        </w:rPr>
        <w:t>电动吊篮</w:t>
      </w:r>
    </w:p>
    <w:p w14:paraId="0A33C53E">
      <w:pPr>
        <w:pStyle w:val="159"/>
        <w:spacing w:before="143" w:beforeLines="0" w:after="143" w:afterLines="0"/>
        <w:ind w:firstLine="480"/>
        <w:rPr>
          <w:rFonts w:ascii="宋体" w:hAnsi="宋体" w:cs="宋体"/>
          <w:szCs w:val="24"/>
        </w:rPr>
      </w:pPr>
      <w:r>
        <w:rPr>
          <w:rFonts w:hint="eastAsia" w:ascii="宋体" w:hAnsi="宋体" w:cs="宋体"/>
          <w:szCs w:val="24"/>
        </w:rPr>
        <w:t>指幕墙施工过程使用电动吊篮，该费用合价包干，除合同另有约定外，结算时不予调整。</w:t>
      </w:r>
    </w:p>
    <w:p w14:paraId="0626D35E">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3.4 </w:t>
      </w:r>
      <w:r>
        <w:rPr>
          <w:rFonts w:hint="eastAsia"/>
          <w:color w:val="000000" w:themeColor="text1"/>
          <w:sz w:val="21"/>
          <w:szCs w:val="21"/>
          <w14:textFill>
            <w14:solidFill>
              <w14:schemeClr w14:val="tx1"/>
            </w14:solidFill>
          </w14:textFill>
        </w:rPr>
        <w:t>BIM技术应用</w:t>
      </w:r>
    </w:p>
    <w:p w14:paraId="3CF22C02">
      <w:pPr>
        <w:ind w:firstLine="480" w:firstLineChars="200"/>
        <w:rPr>
          <w:rFonts w:ascii="宋体" w:hAnsi="宋体" w:cs="宋体"/>
          <w:kern w:val="0"/>
          <w:szCs w:val="24"/>
        </w:rPr>
      </w:pPr>
      <w:r>
        <w:rPr>
          <w:rFonts w:hint="eastAsia" w:ascii="宋体" w:hAnsi="宋体" w:cs="宋体"/>
          <w:kern w:val="0"/>
          <w:szCs w:val="24"/>
        </w:rPr>
        <w:t>幕墙BIM模型深化设计，BIM的项目应用及其相关的所有工作，该费用合价包干，除合同另有约定外，结算时不予调整。</w:t>
      </w:r>
    </w:p>
    <w:p w14:paraId="17D01E6B">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机械使用费</w:t>
      </w:r>
    </w:p>
    <w:p w14:paraId="0C4C7191">
      <w:pPr>
        <w:ind w:firstLine="480" w:firstLineChars="200"/>
        <w:rPr>
          <w:rFonts w:ascii="宋体" w:hAnsi="宋体" w:cs="宋体"/>
          <w:kern w:val="0"/>
          <w:szCs w:val="24"/>
        </w:rPr>
      </w:pPr>
      <w:r>
        <w:rPr>
          <w:rFonts w:hint="eastAsia" w:ascii="宋体" w:hAnsi="宋体" w:cs="宋体"/>
          <w:kern w:val="0"/>
          <w:szCs w:val="24"/>
        </w:rPr>
        <w:t>幕墙施工所需环轨、高空车、汽车吊、玻璃吸盘车、吊葫芦、叉车等的使用费、检修修费等，该费用合价包干，除合同另有约定外，结算时不予调整。</w:t>
      </w:r>
    </w:p>
    <w:p w14:paraId="1492A834">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高层施工增加</w:t>
      </w:r>
    </w:p>
    <w:p w14:paraId="2B436285">
      <w:pPr>
        <w:ind w:firstLine="480" w:firstLineChars="200"/>
        <w:rPr>
          <w:rFonts w:ascii="宋体" w:hAnsi="宋体" w:cs="宋体"/>
          <w:kern w:val="0"/>
          <w:szCs w:val="24"/>
        </w:rPr>
      </w:pPr>
      <w:r>
        <w:rPr>
          <w:rFonts w:hint="eastAsia" w:ascii="宋体" w:hAnsi="宋体" w:cs="宋体"/>
          <w:kern w:val="0"/>
          <w:szCs w:val="24"/>
        </w:rPr>
        <w:t>全部安装系统内容所发生的楼层、高层施工增加费，该费用合价包干，除合同另有约定外，结算时不予调整。</w:t>
      </w:r>
    </w:p>
    <w:p w14:paraId="0A94A051">
      <w:pPr>
        <w:pStyle w:val="5"/>
        <w:spacing w:before="0" w:after="0" w:line="360" w:lineRule="auto"/>
        <w:ind w:firstLine="422"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 xml:space="preserve">.7 </w:t>
      </w:r>
      <w:r>
        <w:rPr>
          <w:rFonts w:hint="eastAsia"/>
          <w:color w:val="000000" w:themeColor="text1"/>
          <w:sz w:val="21"/>
          <w:szCs w:val="21"/>
          <w14:textFill>
            <w14:solidFill>
              <w14:schemeClr w14:val="tx1"/>
            </w14:solidFill>
          </w14:textFill>
        </w:rPr>
        <w:t>脚手架搭拆费</w:t>
      </w:r>
    </w:p>
    <w:p w14:paraId="3413B9D4">
      <w:pPr>
        <w:ind w:firstLine="480" w:firstLineChars="200"/>
        <w:rPr>
          <w:rFonts w:ascii="宋体" w:hAnsi="宋体" w:cs="宋体"/>
          <w:kern w:val="0"/>
          <w:szCs w:val="24"/>
        </w:rPr>
      </w:pPr>
      <w:r>
        <w:rPr>
          <w:rFonts w:hint="eastAsia" w:ascii="宋体" w:hAnsi="宋体" w:cs="宋体"/>
          <w:kern w:val="0"/>
          <w:szCs w:val="24"/>
        </w:rPr>
        <w:t>全部安装系统内容所发生的脚手架搭拆费，该费用合价包干，除合同另有约定外，结算时不予调整。</w:t>
      </w:r>
    </w:p>
    <w:p w14:paraId="06607E39">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其他措施费用</w:t>
      </w:r>
    </w:p>
    <w:p w14:paraId="50137771">
      <w:pPr>
        <w:pStyle w:val="159"/>
        <w:spacing w:before="143" w:beforeLines="0" w:after="143" w:afterLines="0"/>
        <w:ind w:firstLine="480"/>
        <w:rPr>
          <w:rFonts w:ascii="宋体" w:hAnsi="宋体" w:cs="宋体"/>
          <w:szCs w:val="24"/>
        </w:rPr>
      </w:pPr>
      <w:r>
        <w:rPr>
          <w:rFonts w:hint="eastAsia" w:ascii="宋体" w:hAnsi="宋体" w:cs="宋体"/>
          <w:szCs w:val="24"/>
        </w:rPr>
        <w:t>以上措施项目没有体现的，施工中又必须发生或者投标人认为为完成本工程项目将会发生的其他措施费用。工程内容及其报价由投标人自列，并附单价分析。该费用合价包干。</w:t>
      </w:r>
    </w:p>
    <w:p w14:paraId="1B192EE7">
      <w:pPr>
        <w:pStyle w:val="77"/>
        <w:rPr>
          <w:color w:val="000000" w:themeColor="text1"/>
          <w14:textFill>
            <w14:solidFill>
              <w14:schemeClr w14:val="tx1"/>
            </w14:solidFill>
          </w14:textFill>
        </w:rPr>
      </w:pPr>
      <w:bookmarkStart w:id="992" w:name="_Toc2453"/>
      <w:bookmarkStart w:id="993" w:name="_Toc13567"/>
      <w:bookmarkStart w:id="994" w:name="_Toc31531"/>
      <w:bookmarkStart w:id="995" w:name="_Toc27498"/>
      <w:bookmarkStart w:id="996" w:name="_Toc11917"/>
      <w:bookmarkStart w:id="997" w:name="_Toc31289"/>
      <w:bookmarkStart w:id="998" w:name="_Toc19927"/>
      <w:bookmarkStart w:id="999" w:name="_Toc23632"/>
      <w:bookmarkStart w:id="1000" w:name="_Toc32626"/>
      <w:r>
        <w:rPr>
          <w:rFonts w:hint="eastAsia"/>
          <w:color w:val="000000" w:themeColor="text1"/>
          <w14:textFill>
            <w14:solidFill>
              <w14:schemeClr w14:val="tx1"/>
            </w14:solidFill>
          </w14:textFill>
        </w:rPr>
        <w:t>（四）其他项目清单计价说明</w:t>
      </w:r>
      <w:bookmarkEnd w:id="992"/>
      <w:bookmarkEnd w:id="993"/>
      <w:bookmarkEnd w:id="994"/>
      <w:bookmarkEnd w:id="995"/>
      <w:bookmarkEnd w:id="996"/>
      <w:bookmarkEnd w:id="997"/>
      <w:bookmarkEnd w:id="998"/>
      <w:bookmarkEnd w:id="999"/>
      <w:bookmarkEnd w:id="1000"/>
    </w:p>
    <w:p w14:paraId="6507FC94">
      <w:pPr>
        <w:pStyle w:val="159"/>
        <w:spacing w:before="143" w:beforeLines="0" w:after="143" w:afterLines="0"/>
        <w:ind w:firstLine="480"/>
        <w:rPr>
          <w:rFonts w:ascii="宋体" w:hAnsi="宋体" w:cs="宋体"/>
          <w:szCs w:val="24"/>
        </w:rPr>
      </w:pPr>
      <w:r>
        <w:rPr>
          <w:rFonts w:hint="eastAsia" w:ascii="宋体" w:hAnsi="宋体" w:cs="宋体"/>
          <w:szCs w:val="24"/>
        </w:rPr>
        <w:t>其他项目清单报价除合同约定和政府针对本项目的文件规定可以调整的以外，合同执行期内固定不变。</w:t>
      </w:r>
    </w:p>
    <w:p w14:paraId="49955DE6">
      <w:pPr>
        <w:pStyle w:val="5"/>
        <w:spacing w:before="0" w:after="0" w:line="360" w:lineRule="auto"/>
        <w:ind w:firstLine="422" w:firstLineChars="200"/>
        <w:rPr>
          <w:color w:val="000000" w:themeColor="text1"/>
          <w:sz w:val="21"/>
          <w:szCs w:val="21"/>
          <w14:textFill>
            <w14:solidFill>
              <w14:schemeClr w14:val="tx1"/>
            </w14:solidFill>
          </w14:textFill>
        </w:rPr>
      </w:pPr>
      <w:bookmarkStart w:id="1001" w:name="_Toc16970"/>
      <w:bookmarkStart w:id="1002" w:name="_Toc4274"/>
      <w:bookmarkStart w:id="1003" w:name="_Toc14003"/>
      <w:bookmarkStart w:id="1004" w:name="_Toc529298714"/>
      <w:bookmarkStart w:id="1005" w:name="_Toc21858"/>
      <w:bookmarkStart w:id="1006" w:name="_Toc412808059"/>
      <w:bookmarkStart w:id="1007" w:name="_Toc2225"/>
      <w:bookmarkStart w:id="1008" w:name="_Toc12328"/>
      <w:bookmarkStart w:id="1009" w:name="_Toc29877"/>
      <w:bookmarkStart w:id="1010" w:name="_Toc15844"/>
      <w:bookmarkStart w:id="1011" w:name="_Toc1148"/>
      <w:bookmarkStart w:id="1012" w:name="_Toc21216"/>
      <w:bookmarkStart w:id="1013" w:name="_Toc396917858"/>
      <w:bookmarkStart w:id="1014" w:name="_Toc20207"/>
      <w:bookmarkStart w:id="1015" w:name="_Toc24803"/>
      <w:bookmarkStart w:id="1016" w:name="_Toc13827"/>
      <w:bookmarkStart w:id="1017" w:name="_Toc505776042"/>
      <w:bookmarkStart w:id="1018" w:name="_Toc21013"/>
      <w:bookmarkStart w:id="1019" w:name="_Toc24517"/>
      <w:bookmarkStart w:id="1020" w:name="_Toc24237"/>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暂列金额</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47D19D5E">
      <w:pPr>
        <w:pStyle w:val="159"/>
        <w:spacing w:before="143" w:beforeLines="0" w:after="143" w:afterLines="0"/>
        <w:ind w:firstLine="480"/>
        <w:rPr>
          <w:rFonts w:ascii="宋体" w:hAnsi="宋体" w:cs="宋体"/>
          <w:szCs w:val="24"/>
        </w:rPr>
      </w:pPr>
      <w:r>
        <w:rPr>
          <w:rFonts w:hint="eastAsia" w:ascii="宋体" w:hAnsi="宋体" w:cs="宋体"/>
          <w:szCs w:val="24"/>
        </w:rPr>
        <w:t>指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确认等的费用。暂列金额在投标报价时，以招标人正式公布的固定金额进行填报，计量支付时，以合同计列的暂列金额为限额，按合同约定和承包人实际完成的工作量依据合同变更计价原则计量支付，未使用部分仍归发包人所有。</w:t>
      </w:r>
    </w:p>
    <w:p w14:paraId="0D108E27">
      <w:pPr>
        <w:pStyle w:val="5"/>
        <w:spacing w:before="0" w:after="0" w:line="360" w:lineRule="auto"/>
        <w:ind w:firstLine="422" w:firstLineChars="200"/>
        <w:rPr>
          <w:color w:val="000000" w:themeColor="text1"/>
          <w:sz w:val="21"/>
          <w:szCs w:val="21"/>
          <w14:textFill>
            <w14:solidFill>
              <w14:schemeClr w14:val="tx1"/>
            </w14:solidFill>
          </w14:textFill>
        </w:rPr>
      </w:pPr>
      <w:bookmarkStart w:id="1021" w:name="_Toc24164"/>
      <w:bookmarkStart w:id="1022" w:name="_Toc22082"/>
      <w:bookmarkStart w:id="1023" w:name="_Toc412808061"/>
      <w:bookmarkStart w:id="1024" w:name="_Toc31000"/>
      <w:bookmarkStart w:id="1025" w:name="_Toc7609"/>
      <w:bookmarkStart w:id="1026" w:name="_Toc505776043"/>
      <w:bookmarkStart w:id="1027" w:name="_Toc30197"/>
      <w:bookmarkStart w:id="1028" w:name="_Toc15412"/>
      <w:bookmarkStart w:id="1029" w:name="_Toc3410"/>
      <w:bookmarkStart w:id="1030" w:name="_Toc10639"/>
      <w:bookmarkStart w:id="1031" w:name="_Toc1085"/>
      <w:bookmarkStart w:id="1032" w:name="_Toc396917860"/>
      <w:bookmarkStart w:id="1033" w:name="_Toc28543"/>
      <w:bookmarkStart w:id="1034" w:name="_Toc532"/>
      <w:bookmarkStart w:id="1035" w:name="_Toc24801"/>
      <w:bookmarkStart w:id="1036" w:name="_Toc18807"/>
      <w:bookmarkStart w:id="1037" w:name="_Toc9408"/>
      <w:bookmarkStart w:id="1038" w:name="_Toc12540"/>
      <w:bookmarkStart w:id="1039" w:name="_Toc529298715"/>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预算包干费</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6CB665C7">
      <w:pPr>
        <w:pStyle w:val="159"/>
        <w:spacing w:before="143" w:beforeLines="0" w:after="143" w:afterLines="0"/>
        <w:ind w:firstLine="480"/>
        <w:rPr>
          <w:rFonts w:ascii="宋体" w:hAnsi="宋体" w:cs="宋体"/>
          <w:strike/>
          <w:szCs w:val="24"/>
        </w:rPr>
      </w:pPr>
      <w:r>
        <w:rPr>
          <w:rFonts w:hint="eastAsia" w:ascii="宋体" w:hAnsi="宋体" w:cs="宋体"/>
          <w:szCs w:val="24"/>
        </w:rPr>
        <w:t>包括以下内容：因地形、施工组织影响等因素造成的二次运输（包括场内外料具的多次搬迁）；承包范围场地清理及其垃圾外运；施工材料堆放场地的整理；机电安装后的补洞（槽）工料费；补洞工料费；工程半成品、成品保护费；施工中的临时停水停电。场地清理及垃圾外运项若承包人未按规定及时进行清运则由发包人另行委托队伍进行清运，实际清运费用由承包人承担。若专业工程承包人产生的垃圾与总承包管理单位产生的垃圾责任划分不清且不按规定及时进行清运则由发包人另行委托队伍进行清运，实际清运费用按专业工程承包单位与总承包单位各自合同造价占总合同造价的比例分摊。补洞工料费（含各时期各类设计变更引起的补洞工料）指孔洞的修补、塞洞补洞、塞缝和恢复费用等，补洞工作（含机电安装后的补洞）指孔洞的修补、塞洞补洞、塞缝和恢复等。预算包干费属合价包干项目，除合同另有约定外，结算时不作调整。</w:t>
      </w:r>
    </w:p>
    <w:p w14:paraId="4A5734EF">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4.3 </w:t>
      </w:r>
      <w:r>
        <w:rPr>
          <w:rFonts w:hint="eastAsia"/>
          <w:color w:val="000000" w:themeColor="text1"/>
          <w:sz w:val="21"/>
          <w:szCs w:val="21"/>
          <w14:textFill>
            <w14:solidFill>
              <w14:schemeClr w14:val="tx1"/>
            </w14:solidFill>
          </w14:textFill>
        </w:rPr>
        <w:t>其他费用</w:t>
      </w:r>
    </w:p>
    <w:p w14:paraId="12CF0502">
      <w:pPr>
        <w:pStyle w:val="158"/>
        <w:spacing w:before="0" w:beforeAutospacing="0" w:after="0"/>
        <w:ind w:firstLine="496"/>
        <w:rPr>
          <w:rFonts w:ascii="宋体" w:hAnsi="宋体" w:cs="宋体"/>
          <w:szCs w:val="24"/>
        </w:rPr>
      </w:pPr>
      <w:r>
        <w:rPr>
          <w:rFonts w:hint="eastAsia" w:ascii="宋体" w:hAnsi="宋体" w:cs="宋体"/>
          <w:szCs w:val="24"/>
        </w:rPr>
        <w:t>以上其他项目没有体现的，施工中又必须发生或者投标人认为为完成本工程项目将会发生的其他项目费用。工程内容及其报价由投标人自列，并附单价分析。该费用属合价包干项目，除合同另有约定外，结算时不作调整。</w:t>
      </w:r>
    </w:p>
    <w:p w14:paraId="0E171866">
      <w:pPr>
        <w:pStyle w:val="77"/>
        <w:rPr>
          <w:color w:val="000000" w:themeColor="text1"/>
          <w14:textFill>
            <w14:solidFill>
              <w14:schemeClr w14:val="tx1"/>
            </w14:solidFill>
          </w14:textFill>
        </w:rPr>
      </w:pPr>
      <w:bookmarkStart w:id="1040" w:name="_Toc31314"/>
      <w:bookmarkStart w:id="1041" w:name="_Toc22077"/>
      <w:bookmarkStart w:id="1042" w:name="_Toc3960_WPSOffice_Level3"/>
      <w:bookmarkStart w:id="1043" w:name="_Toc529298716"/>
      <w:bookmarkStart w:id="1044" w:name="_Toc32633"/>
      <w:bookmarkStart w:id="1045" w:name="_Toc17177"/>
      <w:bookmarkStart w:id="1046" w:name="_Toc29312"/>
      <w:bookmarkStart w:id="1047" w:name="_Toc23548"/>
      <w:bookmarkStart w:id="1048" w:name="_Toc30992"/>
      <w:bookmarkStart w:id="1049" w:name="_Toc505776045"/>
      <w:bookmarkStart w:id="1050" w:name="_Toc26007"/>
      <w:bookmarkStart w:id="1051" w:name="_Toc7815"/>
      <w:bookmarkStart w:id="1052" w:name="_Toc11043"/>
      <w:bookmarkStart w:id="1053" w:name="_Toc11794"/>
      <w:bookmarkStart w:id="1054" w:name="_Toc7345"/>
      <w:bookmarkStart w:id="1055" w:name="_Toc30189"/>
      <w:bookmarkStart w:id="1056" w:name="_Toc24502"/>
      <w:bookmarkStart w:id="1057" w:name="_Toc17323"/>
      <w:bookmarkStart w:id="1058" w:name="_Toc17236"/>
      <w:r>
        <w:rPr>
          <w:rFonts w:hint="eastAsia"/>
          <w:color w:val="000000" w:themeColor="text1"/>
          <w14:textFill>
            <w14:solidFill>
              <w14:schemeClr w14:val="tx1"/>
            </w14:solidFill>
          </w14:textFill>
        </w:rPr>
        <w:t>（五）税金计价说明</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2D837697">
      <w:pPr>
        <w:pStyle w:val="159"/>
        <w:spacing w:before="143" w:beforeLines="0" w:after="143" w:afterLines="0"/>
        <w:ind w:firstLine="480"/>
        <w:rPr>
          <w:rFonts w:ascii="宋体" w:hAnsi="宋体" w:cs="宋体"/>
          <w:szCs w:val="24"/>
        </w:rPr>
      </w:pPr>
      <w:r>
        <w:rPr>
          <w:rFonts w:hint="eastAsia" w:ascii="宋体" w:hAnsi="宋体" w:cs="宋体"/>
          <w:szCs w:val="24"/>
        </w:rPr>
        <w:t>增值税销项税额：招标当期根据《广东省住房和城乡建设厅关于调整广东省建设工程计价依据增值税税率的通知》（粤建标函[2019]819号）和广州地区税务部门有关规定计算，增值税销项税额按税前工程造价的9%计取。国家及广东省、广州市有最新规定的，从其规定。</w:t>
      </w:r>
    </w:p>
    <w:p w14:paraId="3F387495">
      <w:pPr>
        <w:pStyle w:val="77"/>
        <w:rPr>
          <w:color w:val="000000" w:themeColor="text1"/>
          <w14:textFill>
            <w14:solidFill>
              <w14:schemeClr w14:val="tx1"/>
            </w14:solidFill>
          </w14:textFill>
        </w:rPr>
      </w:pPr>
      <w:bookmarkStart w:id="1059" w:name="_Toc15038"/>
      <w:bookmarkStart w:id="1060" w:name="_Toc19107"/>
      <w:bookmarkStart w:id="1061" w:name="_Toc3945"/>
      <w:bookmarkStart w:id="1062" w:name="_Toc19528"/>
      <w:bookmarkStart w:id="1063" w:name="_Toc27488"/>
      <w:bookmarkStart w:id="1064" w:name="_Toc28711"/>
      <w:bookmarkStart w:id="1065" w:name="_Toc13144"/>
      <w:bookmarkStart w:id="1066" w:name="_Toc26788"/>
      <w:bookmarkStart w:id="1067" w:name="_Toc13804"/>
      <w:r>
        <w:rPr>
          <w:rFonts w:hint="eastAsia"/>
          <w:color w:val="000000" w:themeColor="text1"/>
          <w14:textFill>
            <w14:solidFill>
              <w14:schemeClr w14:val="tx1"/>
            </w14:solidFill>
          </w14:textFill>
        </w:rPr>
        <w:t>（六）通用建筑装饰工程量清单计价补充</w:t>
      </w:r>
      <w:bookmarkEnd w:id="1059"/>
      <w:bookmarkEnd w:id="1060"/>
      <w:bookmarkEnd w:id="1061"/>
      <w:bookmarkEnd w:id="1062"/>
      <w:bookmarkEnd w:id="1063"/>
      <w:bookmarkEnd w:id="1064"/>
      <w:bookmarkEnd w:id="1065"/>
      <w:bookmarkEnd w:id="1066"/>
      <w:bookmarkEnd w:id="1067"/>
      <w:r>
        <w:rPr>
          <w:rFonts w:hint="eastAsia"/>
          <w:color w:val="000000" w:themeColor="text1"/>
          <w14:textFill>
            <w14:solidFill>
              <w14:schemeClr w14:val="tx1"/>
            </w14:solidFill>
          </w14:textFill>
        </w:rPr>
        <w:t>说明</w:t>
      </w:r>
    </w:p>
    <w:p w14:paraId="0E3DEAF9">
      <w:pPr>
        <w:pStyle w:val="158"/>
        <w:ind w:firstLine="496"/>
        <w:rPr>
          <w:rFonts w:ascii="宋体" w:hAnsi="宋体"/>
          <w:szCs w:val="24"/>
        </w:rPr>
      </w:pPr>
      <w:bookmarkStart w:id="1068" w:name="_Toc17276"/>
      <w:bookmarkStart w:id="1069" w:name="_Toc20735"/>
      <w:bookmarkStart w:id="1070" w:name="_Toc529298718"/>
      <w:bookmarkStart w:id="1071" w:name="_Toc578"/>
      <w:bookmarkStart w:id="1072" w:name="_Toc243070783"/>
      <w:bookmarkStart w:id="1073" w:name="_Toc243458109"/>
      <w:bookmarkStart w:id="1074" w:name="_Toc505776047"/>
      <w:bookmarkStart w:id="1075" w:name="_Toc10718"/>
      <w:bookmarkStart w:id="1076" w:name="_Toc7387"/>
      <w:bookmarkStart w:id="1077" w:name="_Toc392516311"/>
      <w:bookmarkStart w:id="1078" w:name="_Toc17248"/>
      <w:bookmarkStart w:id="1079" w:name="_Toc6929"/>
      <w:bookmarkStart w:id="1080" w:name="_Toc314044190"/>
      <w:bookmarkStart w:id="1081" w:name="_Toc353782578"/>
      <w:bookmarkStart w:id="1082" w:name="_Toc294031077"/>
      <w:bookmarkStart w:id="1083" w:name="_Toc316916410"/>
      <w:r>
        <w:rPr>
          <w:rFonts w:ascii="宋体" w:hAnsi="宋体"/>
          <w:szCs w:val="24"/>
        </w:rPr>
        <w:t>凡在</w:t>
      </w:r>
      <w:r>
        <w:rPr>
          <w:rFonts w:hint="eastAsia" w:ascii="宋体" w:hAnsi="宋体"/>
          <w:szCs w:val="24"/>
        </w:rPr>
        <w:t>本说明</w:t>
      </w:r>
      <w:r>
        <w:rPr>
          <w:rFonts w:ascii="宋体" w:hAnsi="宋体"/>
          <w:szCs w:val="24"/>
        </w:rPr>
        <w:t>中已明确的须按本</w:t>
      </w:r>
      <w:r>
        <w:rPr>
          <w:rFonts w:hint="eastAsia" w:ascii="宋体" w:hAnsi="宋体"/>
          <w:szCs w:val="24"/>
        </w:rPr>
        <w:t>说明</w:t>
      </w:r>
      <w:r>
        <w:rPr>
          <w:rFonts w:ascii="宋体" w:hAnsi="宋体"/>
          <w:szCs w:val="24"/>
        </w:rPr>
        <w:t>执行；在本</w:t>
      </w:r>
      <w:r>
        <w:rPr>
          <w:rFonts w:hint="eastAsia" w:ascii="宋体" w:hAnsi="宋体"/>
          <w:szCs w:val="24"/>
        </w:rPr>
        <w:t>说明</w:t>
      </w:r>
      <w:r>
        <w:rPr>
          <w:rFonts w:ascii="宋体" w:hAnsi="宋体"/>
          <w:szCs w:val="24"/>
        </w:rPr>
        <w:t>中未明确的则按</w:t>
      </w:r>
      <w:r>
        <w:rPr>
          <w:rFonts w:hint="eastAsia" w:ascii="宋体" w:hAnsi="宋体"/>
          <w:szCs w:val="24"/>
        </w:rPr>
        <w:t>《关于实施&lt;房屋建筑与装饰工程工程量计算规范&gt;(GB50854-2013)等的若干意见》（</w:t>
      </w:r>
      <w:r>
        <w:rPr>
          <w:rFonts w:ascii="宋体" w:hAnsi="宋体"/>
          <w:szCs w:val="24"/>
        </w:rPr>
        <w:t>粤建造发〔2013〕4号</w:t>
      </w:r>
      <w:r>
        <w:rPr>
          <w:rFonts w:hint="eastAsia" w:ascii="宋体" w:hAnsi="宋体"/>
          <w:szCs w:val="24"/>
        </w:rPr>
        <w:t>）、《广东省建设工程工程量清单计价指引》（粤建造发〔2013〕6号）、《广东省建设工程计价依据(2018)》</w:t>
      </w:r>
      <w:r>
        <w:rPr>
          <w:rFonts w:ascii="宋体" w:hAnsi="宋体"/>
          <w:szCs w:val="24"/>
        </w:rPr>
        <w:t>的规定执行；在本</w:t>
      </w:r>
      <w:r>
        <w:rPr>
          <w:rFonts w:hint="eastAsia" w:ascii="宋体" w:hAnsi="宋体"/>
          <w:szCs w:val="24"/>
        </w:rPr>
        <w:t>说明</w:t>
      </w:r>
      <w:r>
        <w:rPr>
          <w:rFonts w:ascii="宋体" w:hAnsi="宋体"/>
          <w:szCs w:val="24"/>
        </w:rPr>
        <w:t>及</w:t>
      </w:r>
      <w:r>
        <w:rPr>
          <w:rFonts w:hint="eastAsia" w:ascii="宋体" w:hAnsi="宋体"/>
          <w:szCs w:val="24"/>
        </w:rPr>
        <w:t>《关于实施&lt;房屋建筑与装饰工程工程量计算规范&gt;(GB50854-2013)等的若干意见》（</w:t>
      </w:r>
      <w:r>
        <w:rPr>
          <w:rFonts w:ascii="宋体" w:hAnsi="宋体"/>
          <w:szCs w:val="24"/>
        </w:rPr>
        <w:t>粤建造发〔2013〕4号</w:t>
      </w:r>
      <w:r>
        <w:rPr>
          <w:rFonts w:hint="eastAsia" w:ascii="宋体" w:hAnsi="宋体"/>
          <w:szCs w:val="24"/>
        </w:rPr>
        <w:t>）、《广东省建设工程工程量清单计价指引》（粤建造发〔2013〕6号）、《广东省建设工程计价依据(2018)》</w:t>
      </w:r>
      <w:r>
        <w:rPr>
          <w:rFonts w:ascii="宋体" w:hAnsi="宋体"/>
          <w:szCs w:val="24"/>
        </w:rPr>
        <w:t>中均未明确的</w:t>
      </w:r>
      <w:r>
        <w:rPr>
          <w:rFonts w:hint="eastAsia" w:ascii="宋体" w:hAnsi="宋体"/>
          <w:szCs w:val="24"/>
        </w:rPr>
        <w:t>，</w:t>
      </w:r>
      <w:r>
        <w:rPr>
          <w:rFonts w:ascii="宋体" w:hAnsi="宋体"/>
          <w:szCs w:val="24"/>
        </w:rPr>
        <w:t>则按《房屋建筑与装饰工程工程量计算规范（GB50854-2013）》、《通用安装工程工程量计算规范（GB50856-2013）》等</w:t>
      </w:r>
      <w:r>
        <w:rPr>
          <w:rFonts w:hint="eastAsia" w:ascii="宋体" w:hAnsi="宋体"/>
          <w:szCs w:val="24"/>
        </w:rPr>
        <w:t>国标</w:t>
      </w:r>
      <w:r>
        <w:rPr>
          <w:rFonts w:ascii="宋体" w:hAnsi="宋体"/>
          <w:szCs w:val="24"/>
        </w:rPr>
        <w:t>规范的规定执行</w:t>
      </w:r>
      <w:r>
        <w:rPr>
          <w:rFonts w:hint="eastAsia" w:ascii="宋体" w:hAnsi="宋体"/>
          <w:szCs w:val="24"/>
        </w:rPr>
        <w:t>；以上均未</w:t>
      </w:r>
      <w:r>
        <w:rPr>
          <w:rFonts w:ascii="宋体" w:hAnsi="宋体"/>
          <w:szCs w:val="24"/>
        </w:rPr>
        <w:t>明确的则按</w:t>
      </w:r>
      <w:r>
        <w:rPr>
          <w:rFonts w:hint="eastAsia" w:ascii="宋体" w:hAnsi="宋体"/>
          <w:szCs w:val="24"/>
        </w:rPr>
        <w:t>《广东省房屋建筑与装饰工程综合定额(2018)》、《广东省通用安装工程综合定额(2018)》等</w:t>
      </w:r>
      <w:r>
        <w:rPr>
          <w:rFonts w:ascii="宋体" w:hAnsi="宋体"/>
          <w:szCs w:val="24"/>
        </w:rPr>
        <w:t>专业定额的规定执行</w:t>
      </w:r>
      <w:r>
        <w:rPr>
          <w:rFonts w:hint="eastAsia" w:ascii="宋体" w:hAnsi="宋体"/>
          <w:szCs w:val="24"/>
        </w:rPr>
        <w:t>。</w:t>
      </w:r>
    </w:p>
    <w:p w14:paraId="68F24B54">
      <w:pPr>
        <w:pStyle w:val="158"/>
        <w:ind w:firstLine="496"/>
        <w:rPr>
          <w:szCs w:val="24"/>
        </w:rPr>
      </w:pPr>
      <w:r>
        <w:rPr>
          <w:rFonts w:hint="eastAsia"/>
          <w:szCs w:val="24"/>
        </w:rPr>
        <w:t>本计价补充规定套用顺序：通用项目有明确的按通用项目执行；通用项目没有明确的，按其图纸所属专业优先套用相应专业清单项目，相应专业清单项目没有可套用的则参考其他专业清单项目。</w:t>
      </w:r>
    </w:p>
    <w:p w14:paraId="2EF2B6A2">
      <w:pPr>
        <w:pStyle w:val="5"/>
        <w:spacing w:before="0" w:after="0" w:line="24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6.1</w:t>
      </w:r>
      <w:r>
        <w:rPr>
          <w:rFonts w:hint="eastAsia"/>
          <w:color w:val="000000" w:themeColor="text1"/>
          <w:sz w:val="21"/>
          <w:szCs w:val="21"/>
          <w14:textFill>
            <w14:solidFill>
              <w14:schemeClr w14:val="tx1"/>
            </w14:solidFill>
          </w14:textFill>
        </w:rPr>
        <w:t>金属结构工程</w:t>
      </w:r>
    </w:p>
    <w:p w14:paraId="02CAEACE">
      <w:pPr>
        <w:pStyle w:val="158"/>
        <w:spacing w:beforeAutospacing="0" w:line="240" w:lineRule="auto"/>
        <w:ind w:firstLine="496"/>
        <w:rPr>
          <w:rFonts w:ascii="宋体" w:hAnsi="宋体" w:cs="宋体"/>
          <w:szCs w:val="24"/>
        </w:rPr>
      </w:pPr>
      <w:r>
        <w:rPr>
          <w:rFonts w:hint="eastAsia" w:ascii="宋体" w:hAnsi="宋体" w:cs="宋体"/>
          <w:szCs w:val="24"/>
        </w:rPr>
        <w:t>（1）计价综合考虑钢材品种、规格、厚度、单构件质量、连接方式、跨度、安装高度、螺栓种类、探伤要求、场内外运距等，</w:t>
      </w:r>
    </w:p>
    <w:p w14:paraId="377CF0BA">
      <w:pPr>
        <w:pStyle w:val="158"/>
        <w:spacing w:beforeAutospacing="0" w:line="240" w:lineRule="auto"/>
        <w:ind w:firstLine="496"/>
        <w:rPr>
          <w:rFonts w:ascii="宋体" w:hAnsi="宋体" w:cs="宋体"/>
          <w:szCs w:val="24"/>
        </w:rPr>
      </w:pPr>
      <w:r>
        <w:rPr>
          <w:rFonts w:hint="eastAsia" w:ascii="宋体" w:hAnsi="宋体" w:cs="宋体"/>
          <w:szCs w:val="24"/>
        </w:rPr>
        <w:t>（2）计价包括材料费用、材料运输、除锈（综合考虑除锈方式）、加工制作、运输、拼接、安装、探伤、拆除、钢材回收等相关费用。连接件、焊条、铆钉、螺栓（含预埋螺栓、高强螺栓）等所有辅助材料计入综合单价内。刷油漆另行开项计算。</w:t>
      </w:r>
    </w:p>
    <w:p w14:paraId="41FC9295">
      <w:pPr>
        <w:spacing w:line="240" w:lineRule="auto"/>
        <w:ind w:firstLine="496" w:firstLineChars="200"/>
        <w:rPr>
          <w:rFonts w:ascii="宋体" w:hAnsi="宋体" w:cs="宋体"/>
          <w:snapToGrid w:val="0"/>
          <w:spacing w:val="4"/>
          <w:kern w:val="0"/>
          <w:szCs w:val="24"/>
        </w:rPr>
      </w:pPr>
      <w:bookmarkStart w:id="1084" w:name="_Toc403031660"/>
      <w:bookmarkStart w:id="1085" w:name="_Toc11688"/>
      <w:bookmarkStart w:id="1086" w:name="_Toc383164199"/>
      <w:bookmarkStart w:id="1087" w:name="_Toc14989"/>
      <w:bookmarkStart w:id="1088" w:name="_Toc9058"/>
      <w:bookmarkStart w:id="1089" w:name="_Toc383164093"/>
      <w:bookmarkStart w:id="1090" w:name="_Toc377630806"/>
      <w:bookmarkStart w:id="1091" w:name="_Toc241565126"/>
      <w:r>
        <w:rPr>
          <w:rFonts w:hint="eastAsia" w:ascii="宋体" w:hAnsi="宋体" w:cs="宋体"/>
          <w:snapToGrid w:val="0"/>
          <w:spacing w:val="4"/>
          <w:kern w:val="0"/>
          <w:szCs w:val="24"/>
        </w:rPr>
        <w:t>1.后置埋件、预埋铁件、预留铁件清单项目</w:t>
      </w:r>
      <w:bookmarkEnd w:id="1084"/>
      <w:bookmarkEnd w:id="1085"/>
      <w:bookmarkEnd w:id="1086"/>
      <w:bookmarkEnd w:id="1087"/>
      <w:bookmarkEnd w:id="1088"/>
    </w:p>
    <w:p w14:paraId="777616D1">
      <w:pPr>
        <w:pStyle w:val="158"/>
        <w:spacing w:beforeAutospacing="0" w:line="240" w:lineRule="auto"/>
        <w:ind w:firstLine="496"/>
        <w:rPr>
          <w:rFonts w:ascii="宋体" w:hAnsi="宋体" w:cs="宋体"/>
          <w:szCs w:val="24"/>
        </w:rPr>
      </w:pPr>
      <w:r>
        <w:rPr>
          <w:rFonts w:hint="eastAsia" w:ascii="宋体" w:hAnsi="宋体" w:cs="宋体"/>
          <w:szCs w:val="24"/>
        </w:rPr>
        <w:t>（1）计价综合考虑钢材类型、规格、尺寸等。</w:t>
      </w:r>
    </w:p>
    <w:p w14:paraId="6A0418DE">
      <w:pPr>
        <w:pStyle w:val="158"/>
        <w:spacing w:beforeAutospacing="0" w:line="240" w:lineRule="auto"/>
        <w:ind w:firstLine="496"/>
        <w:rPr>
          <w:rFonts w:ascii="宋体" w:hAnsi="宋体" w:cs="宋体"/>
          <w:szCs w:val="24"/>
        </w:rPr>
      </w:pPr>
      <w:r>
        <w:rPr>
          <w:rFonts w:hint="eastAsia" w:ascii="宋体" w:hAnsi="宋体" w:cs="宋体"/>
          <w:szCs w:val="24"/>
        </w:rPr>
        <w:t>（2）计价包括预埋铁件、预埋螺栓（包括化学螺栓、高强螺栓等）、制做、运输、安装埋设、焊接固定等相关费用。</w:t>
      </w:r>
    </w:p>
    <w:p w14:paraId="12D916B0">
      <w:pPr>
        <w:pStyle w:val="158"/>
        <w:spacing w:beforeAutospacing="0" w:line="240" w:lineRule="auto"/>
        <w:ind w:firstLine="496"/>
        <w:rPr>
          <w:rFonts w:ascii="宋体" w:hAnsi="宋体" w:cs="宋体"/>
          <w:szCs w:val="24"/>
        </w:rPr>
      </w:pPr>
      <w:r>
        <w:rPr>
          <w:rFonts w:hint="eastAsia" w:ascii="宋体" w:hAnsi="宋体" w:cs="宋体"/>
          <w:szCs w:val="24"/>
        </w:rPr>
        <w:t>（3）计量按设计图示尺寸以质量计算</w:t>
      </w:r>
      <w:r>
        <w:t>（</w:t>
      </w:r>
      <w:r>
        <w:rPr>
          <w:rFonts w:hint="eastAsia"/>
        </w:rPr>
        <w:t>工程量的重量</w:t>
      </w:r>
      <w:r>
        <w:t>只计算埋件钢板，不计入锚栓及其他辅材）</w:t>
      </w:r>
      <w:r>
        <w:rPr>
          <w:rFonts w:hint="eastAsia" w:ascii="宋体" w:hAnsi="宋体" w:cs="宋体"/>
          <w:szCs w:val="24"/>
        </w:rPr>
        <w:t>。</w:t>
      </w:r>
    </w:p>
    <w:p w14:paraId="4B7F3A44">
      <w:pPr>
        <w:spacing w:line="240" w:lineRule="auto"/>
        <w:ind w:firstLine="496" w:firstLineChars="200"/>
        <w:rPr>
          <w:rFonts w:ascii="宋体" w:hAnsi="宋体" w:cs="宋体"/>
          <w:snapToGrid w:val="0"/>
          <w:spacing w:val="4"/>
          <w:kern w:val="0"/>
          <w:szCs w:val="24"/>
        </w:rPr>
      </w:pPr>
      <w:r>
        <w:rPr>
          <w:rFonts w:hint="eastAsia" w:ascii="宋体" w:hAnsi="宋体" w:cs="宋体"/>
          <w:snapToGrid w:val="0"/>
          <w:spacing w:val="4"/>
          <w:kern w:val="0"/>
          <w:szCs w:val="24"/>
        </w:rPr>
        <w:t>2.预埋槽件、固定件清单项目</w:t>
      </w:r>
    </w:p>
    <w:p w14:paraId="110AF8CA">
      <w:pPr>
        <w:pStyle w:val="158"/>
        <w:spacing w:beforeAutospacing="0" w:line="240" w:lineRule="auto"/>
        <w:ind w:firstLine="496"/>
        <w:rPr>
          <w:rFonts w:ascii="宋体" w:hAnsi="宋体" w:cs="宋体"/>
          <w:szCs w:val="24"/>
        </w:rPr>
      </w:pPr>
      <w:r>
        <w:rPr>
          <w:rFonts w:hint="eastAsia" w:ascii="宋体" w:hAnsi="宋体" w:cs="宋体"/>
          <w:szCs w:val="24"/>
        </w:rPr>
        <w:t>（1）计价综合考虑预埋件规格等。</w:t>
      </w:r>
    </w:p>
    <w:p w14:paraId="6CA2B678">
      <w:pPr>
        <w:pStyle w:val="158"/>
        <w:spacing w:beforeAutospacing="0" w:line="240" w:lineRule="auto"/>
        <w:ind w:firstLine="496"/>
        <w:rPr>
          <w:rFonts w:ascii="宋体" w:hAnsi="宋体" w:cs="宋体"/>
          <w:szCs w:val="24"/>
        </w:rPr>
      </w:pPr>
      <w:r>
        <w:rPr>
          <w:rFonts w:hint="eastAsia" w:ascii="宋体" w:hAnsi="宋体" w:cs="宋体"/>
          <w:szCs w:val="24"/>
        </w:rPr>
        <w:t>（2）计价包括预埋件制作、安装、埋设、运输、焊接固定、清理等相关费用。</w:t>
      </w:r>
    </w:p>
    <w:p w14:paraId="656BECD1">
      <w:pPr>
        <w:pStyle w:val="158"/>
        <w:spacing w:beforeAutospacing="0" w:line="240" w:lineRule="auto"/>
        <w:ind w:firstLine="496"/>
        <w:rPr>
          <w:rFonts w:ascii="宋体" w:hAnsi="宋体" w:cs="宋体"/>
          <w:szCs w:val="24"/>
        </w:rPr>
      </w:pPr>
      <w:r>
        <w:rPr>
          <w:rFonts w:hint="eastAsia" w:ascii="宋体" w:hAnsi="宋体" w:cs="宋体"/>
          <w:szCs w:val="24"/>
        </w:rPr>
        <w:t>（3）计量按设计数量以个数计算。</w:t>
      </w:r>
    </w:p>
    <w:bookmarkEnd w:id="1089"/>
    <w:p w14:paraId="022F28A4">
      <w:pPr>
        <w:pStyle w:val="5"/>
        <w:spacing w:before="0" w:after="0" w:line="360" w:lineRule="auto"/>
        <w:ind w:firstLine="422" w:firstLineChars="200"/>
        <w:rPr>
          <w:color w:val="000000" w:themeColor="text1"/>
          <w:sz w:val="21"/>
          <w:szCs w:val="21"/>
          <w14:textFill>
            <w14:solidFill>
              <w14:schemeClr w14:val="tx1"/>
            </w14:solidFill>
          </w14:textFill>
        </w:rPr>
      </w:pPr>
      <w:bookmarkStart w:id="1092" w:name="_Toc383164101"/>
      <w:r>
        <w:rPr>
          <w:color w:val="000000" w:themeColor="text1"/>
          <w:sz w:val="21"/>
          <w:szCs w:val="21"/>
          <w14:textFill>
            <w14:solidFill>
              <w14:schemeClr w14:val="tx1"/>
            </w14:solidFill>
          </w14:textFill>
        </w:rPr>
        <w:t>6.2</w:t>
      </w:r>
      <w:r>
        <w:rPr>
          <w:rFonts w:hint="eastAsia"/>
          <w:color w:val="000000" w:themeColor="text1"/>
          <w:sz w:val="21"/>
          <w:szCs w:val="21"/>
          <w14:textFill>
            <w14:solidFill>
              <w14:schemeClr w14:val="tx1"/>
            </w14:solidFill>
          </w14:textFill>
        </w:rPr>
        <w:t>幕墙</w:t>
      </w:r>
      <w:r>
        <w:rPr>
          <w:rFonts w:hint="eastAsia"/>
          <w:color w:val="000000" w:themeColor="text1"/>
          <w:sz w:val="21"/>
          <w:szCs w:val="21"/>
          <w14:textFill>
            <w14:solidFill>
              <w14:schemeClr w14:val="tx1"/>
            </w14:solidFill>
          </w14:textFill>
        </w:rPr>
        <w:tab/>
      </w:r>
    </w:p>
    <w:p w14:paraId="50CF7D6F">
      <w:pPr>
        <w:ind w:firstLine="480" w:firstLineChars="200"/>
      </w:pPr>
      <w:bookmarkStart w:id="1093" w:name="_Toc3671"/>
      <w:bookmarkStart w:id="1094" w:name="_Toc400614655"/>
      <w:bookmarkStart w:id="1095" w:name="_Toc10327"/>
      <w:bookmarkStart w:id="1096" w:name="_Toc29607"/>
      <w:bookmarkStart w:id="1097" w:name="_Toc403031721"/>
      <w:r>
        <w:rPr>
          <w:rFonts w:hint="eastAsia"/>
        </w:rPr>
        <w:t>1.幕墙清单项目</w:t>
      </w:r>
      <w:bookmarkEnd w:id="1093"/>
      <w:bookmarkEnd w:id="1094"/>
      <w:bookmarkEnd w:id="1095"/>
      <w:bookmarkEnd w:id="1096"/>
      <w:bookmarkEnd w:id="1097"/>
    </w:p>
    <w:p w14:paraId="011E8D8C">
      <w:pPr>
        <w:pStyle w:val="158"/>
        <w:ind w:firstLine="496"/>
        <w:rPr>
          <w:rFonts w:ascii="宋体" w:hAnsi="宋体" w:cs="宋体"/>
          <w:szCs w:val="24"/>
        </w:rPr>
      </w:pPr>
      <w:r>
        <w:rPr>
          <w:rFonts w:hint="eastAsia" w:ascii="宋体" w:hAnsi="宋体" w:cs="宋体"/>
          <w:szCs w:val="24"/>
        </w:rPr>
        <w:t>（1）玻璃幕墙计价综合考虑相同材质、防火保温隔断、保温棉，骨架规格、中距、连接配件种类及规格，装饰条、防雷装置、防护材料种类等【以清单中项目特征表述为准】。计价包括面层、防火隔断，骨架及骨架饰面（铝合金扣盖等）等制作安装、相关配件，油漆、嵌缝、塞口、清洗、防护等相关费用【以清单中项目特征表述为准】。计量按设计图示展开面积尺寸以面积计算。</w:t>
      </w:r>
    </w:p>
    <w:p w14:paraId="11EE4152">
      <w:pPr>
        <w:pStyle w:val="158"/>
        <w:ind w:firstLine="496"/>
        <w:rPr>
          <w:rFonts w:ascii="宋体" w:hAnsi="宋体" w:cs="宋体"/>
          <w:szCs w:val="24"/>
        </w:rPr>
      </w:pPr>
      <w:r>
        <w:rPr>
          <w:rFonts w:hint="eastAsia" w:ascii="宋体" w:hAnsi="宋体" w:cs="宋体"/>
          <w:szCs w:val="24"/>
        </w:rPr>
        <w:t>（2）石材幕墙计价综合考虑石材面层处理、规格、颜色、干挂样式，开孔、磨边、抛光、开槽；骨架规格、中距、表面处理，防雷装置、防护材料种类【以清单中项目特征表述为准】。计价包括石材面层、切角、磨边、开孔、开槽，骨架、挂件、填缝膏、粘接胶水、油漆，防护等相关费用【以清单中项目特征表述为准】。计量按设计图示展开面积尺寸以面积计算。</w:t>
      </w:r>
    </w:p>
    <w:p w14:paraId="212DDA9E">
      <w:pPr>
        <w:pStyle w:val="158"/>
        <w:ind w:firstLine="496"/>
        <w:rPr>
          <w:rFonts w:ascii="宋体" w:hAnsi="宋体" w:cs="宋体"/>
          <w:szCs w:val="24"/>
        </w:rPr>
      </w:pPr>
      <w:r>
        <w:rPr>
          <w:rFonts w:hint="eastAsia" w:ascii="宋体" w:hAnsi="宋体" w:cs="宋体"/>
          <w:szCs w:val="24"/>
        </w:rPr>
        <w:t>（3）铝板幕墙计价综合考虑同材质的骨架规格、中距、表面处理，连接件、固定配件、油漆、防雷装置等。计价包括面层、骨架、油漆，填缝膏、粘接胶水、挂件、防护等相关费用。计量按设计图示展开面积尺寸以面积计算。</w:t>
      </w:r>
    </w:p>
    <w:p w14:paraId="42E4F472">
      <w:pPr>
        <w:pStyle w:val="158"/>
        <w:ind w:firstLine="496"/>
        <w:rPr>
          <w:rFonts w:ascii="宋体" w:hAnsi="宋体" w:cs="宋体"/>
          <w:szCs w:val="24"/>
        </w:rPr>
      </w:pPr>
      <w:r>
        <w:rPr>
          <w:rFonts w:hint="eastAsia" w:ascii="宋体" w:hAnsi="宋体" w:cs="宋体"/>
          <w:szCs w:val="24"/>
        </w:rPr>
        <w:t>（4）当面层及骨架材质发生变化时，调整面层（替换面层主材）及骨架的价差，工程量清单项目特征有注明骨架含量的分项清单，因发包人设计变更（分包人自行深化设计不考虑）导致骨架变化的计价原则如下：</w:t>
      </w:r>
    </w:p>
    <w:p w14:paraId="111BE13F">
      <w:pPr>
        <w:ind w:firstLine="496" w:firstLineChars="200"/>
        <w:rPr>
          <w:rFonts w:ascii="宋体" w:hAnsi="宋体" w:cs="宋体"/>
          <w:snapToGrid w:val="0"/>
          <w:spacing w:val="4"/>
          <w:kern w:val="0"/>
          <w:szCs w:val="24"/>
        </w:rPr>
      </w:pPr>
      <w:r>
        <w:rPr>
          <w:rFonts w:hint="eastAsia" w:ascii="宋体" w:hAnsi="宋体" w:cs="宋体"/>
          <w:snapToGrid w:val="0"/>
          <w:spacing w:val="4"/>
          <w:kern w:val="0"/>
          <w:szCs w:val="24"/>
        </w:rPr>
        <w:t xml:space="preserve">  a、(原合同分项清单骨架含量-结算分项清单骨架含量)/原合同分项清单骨架含量≤10%，对应骨架变化的分项清单，结算时投标综合单价不作任何调整（如某一相同分项清单结算工程量相对原合同工程量增量超过15%，该清单项结算工程量超过原合同相应工程量部分按原合同对应综合单价×0.9进行结算）；原合同没有对应综合单价的清单项以合同约定的合同外新增项目计价规定计算的综合单价进行结算。</w:t>
      </w:r>
    </w:p>
    <w:p w14:paraId="452F0DB1">
      <w:pPr>
        <w:ind w:firstLine="496" w:firstLineChars="200"/>
        <w:rPr>
          <w:rFonts w:ascii="宋体" w:hAnsi="宋体" w:cs="宋体"/>
          <w:snapToGrid w:val="0"/>
          <w:spacing w:val="4"/>
          <w:kern w:val="0"/>
          <w:szCs w:val="24"/>
        </w:rPr>
      </w:pPr>
      <w:r>
        <w:rPr>
          <w:rFonts w:hint="eastAsia" w:ascii="宋体" w:hAnsi="宋体" w:cs="宋体"/>
          <w:snapToGrid w:val="0"/>
          <w:spacing w:val="4"/>
          <w:kern w:val="0"/>
          <w:szCs w:val="24"/>
        </w:rPr>
        <w:t xml:space="preserve">  b、10%＜(原合同分项清单骨架含量-结算分项清单骨架含量)/原合同分项清单骨架含量≤20%，对应骨架变化的分项清单，结算时按投标价对应综合单价×0.95进行结算（如某一清单项结算工程量相对原合同工程量增量超过15%，该清单项结算工程量超过原合同相应工程量部分按原合同对应综合单价×0.85进行结算）；原合同没有对应综合单价的清单项以合同约定的合同外新增项目计价规定计算的综合单价×0.85进行结算。</w:t>
      </w:r>
    </w:p>
    <w:p w14:paraId="09609B34">
      <w:pPr>
        <w:ind w:firstLine="496" w:firstLineChars="200"/>
        <w:rPr>
          <w:rFonts w:ascii="宋体" w:hAnsi="宋体" w:cs="宋体"/>
          <w:snapToGrid w:val="0"/>
          <w:spacing w:val="4"/>
          <w:kern w:val="0"/>
          <w:szCs w:val="24"/>
        </w:rPr>
      </w:pPr>
      <w:r>
        <w:rPr>
          <w:rFonts w:hint="eastAsia" w:ascii="宋体" w:hAnsi="宋体" w:cs="宋体"/>
          <w:snapToGrid w:val="0"/>
          <w:spacing w:val="4"/>
          <w:kern w:val="0"/>
          <w:szCs w:val="24"/>
        </w:rPr>
        <w:t xml:space="preserve">  c、(原合同分项清单骨架含量-结算分项清单骨架含量)/原合同分项清单骨架含量＞20%,对应骨架变化的分项清单，结算时按投标价对应综合单价×0.9进行结算（如某一清单项结算工程量相对原合同工程量增量超过15%，该清单项结算工程量超过原合同相应工程量部分按原合同对应综合单价×0.8进行结算）；原合同没有对应综合单价的清单项以合同约定的合同外新增项目计价规定计算的综合单价×0.8进行结算。</w:t>
      </w:r>
    </w:p>
    <w:p w14:paraId="3C23A4BE">
      <w:pPr>
        <w:ind w:firstLine="496" w:firstLineChars="200"/>
        <w:rPr>
          <w:rFonts w:ascii="宋体" w:hAnsi="宋体" w:cs="宋体"/>
          <w:snapToGrid w:val="0"/>
          <w:spacing w:val="4"/>
          <w:kern w:val="0"/>
          <w:szCs w:val="24"/>
        </w:rPr>
      </w:pPr>
      <w:r>
        <w:rPr>
          <w:rFonts w:hint="eastAsia" w:ascii="宋体" w:hAnsi="宋体" w:cs="宋体"/>
          <w:snapToGrid w:val="0"/>
          <w:spacing w:val="4"/>
          <w:kern w:val="0"/>
          <w:szCs w:val="24"/>
        </w:rPr>
        <w:t>除此之外因设计变更引起的一切费用的增减，均含在相应项目的投标报价内，结算时均不作调整。</w:t>
      </w:r>
    </w:p>
    <w:bookmarkEnd w:id="1090"/>
    <w:bookmarkEnd w:id="1092"/>
    <w:p w14:paraId="4B6C7AF7">
      <w:pPr>
        <w:pStyle w:val="5"/>
        <w:spacing w:before="0" w:after="0" w:line="360" w:lineRule="auto"/>
        <w:ind w:firstLine="422" w:firstLineChars="200"/>
        <w:rPr>
          <w:color w:val="000000" w:themeColor="text1"/>
          <w:sz w:val="21"/>
          <w:szCs w:val="21"/>
          <w14:textFill>
            <w14:solidFill>
              <w14:schemeClr w14:val="tx1"/>
            </w14:solidFill>
          </w14:textFill>
        </w:rPr>
      </w:pPr>
      <w:bookmarkStart w:id="1098" w:name="_Toc20813"/>
      <w:bookmarkStart w:id="1099" w:name="_Toc383164215"/>
      <w:bookmarkStart w:id="1100" w:name="_Toc16562"/>
      <w:bookmarkStart w:id="1101" w:name="_Toc403031683"/>
      <w:bookmarkStart w:id="1102" w:name="_Toc19370"/>
      <w:bookmarkStart w:id="1103" w:name="_Toc383164107"/>
      <w:r>
        <w:rPr>
          <w:color w:val="000000" w:themeColor="text1"/>
          <w:sz w:val="21"/>
          <w:szCs w:val="21"/>
          <w14:textFill>
            <w14:solidFill>
              <w14:schemeClr w14:val="tx1"/>
            </w14:solidFill>
          </w14:textFill>
        </w:rPr>
        <w:t>6.3</w:t>
      </w:r>
      <w:r>
        <w:rPr>
          <w:rFonts w:hint="eastAsia"/>
          <w:color w:val="000000" w:themeColor="text1"/>
          <w:sz w:val="21"/>
          <w:szCs w:val="21"/>
          <w14:textFill>
            <w14:solidFill>
              <w14:schemeClr w14:val="tx1"/>
            </w14:solidFill>
          </w14:textFill>
        </w:rPr>
        <w:t>保温、隔热工程</w:t>
      </w:r>
      <w:bookmarkEnd w:id="1098"/>
      <w:bookmarkEnd w:id="1099"/>
      <w:bookmarkEnd w:id="1100"/>
      <w:bookmarkEnd w:id="1101"/>
      <w:bookmarkEnd w:id="1102"/>
    </w:p>
    <w:p w14:paraId="44ED0419">
      <w:pPr>
        <w:ind w:firstLine="480" w:firstLineChars="200"/>
      </w:pPr>
      <w:bookmarkStart w:id="1104" w:name="_Toc8298"/>
      <w:bookmarkStart w:id="1105" w:name="_Toc383164218"/>
      <w:bookmarkStart w:id="1106" w:name="_Toc150"/>
      <w:bookmarkStart w:id="1107" w:name="_Toc16790"/>
      <w:bookmarkStart w:id="1108" w:name="_Toc403031686"/>
      <w:r>
        <w:rPr>
          <w:rFonts w:hint="eastAsia"/>
        </w:rPr>
        <w:t>1.保温、隔热清单项目</w:t>
      </w:r>
      <w:bookmarkEnd w:id="1104"/>
      <w:bookmarkEnd w:id="1105"/>
      <w:bookmarkEnd w:id="1106"/>
      <w:bookmarkEnd w:id="1107"/>
      <w:bookmarkEnd w:id="1108"/>
    </w:p>
    <w:p w14:paraId="6E527025">
      <w:pPr>
        <w:pStyle w:val="158"/>
        <w:ind w:firstLine="496"/>
        <w:rPr>
          <w:rFonts w:ascii="宋体" w:hAnsi="宋体" w:cs="宋体"/>
          <w:szCs w:val="24"/>
        </w:rPr>
      </w:pPr>
      <w:r>
        <w:rPr>
          <w:rFonts w:hint="eastAsia" w:ascii="宋体" w:hAnsi="宋体" w:cs="宋体"/>
          <w:szCs w:val="24"/>
        </w:rPr>
        <w:t>（1）计价综合考虑保温隔热部位、方式、做法、保温隔热材料规格和性能、粘结材料种类和做法、防护材料种类和做法等。</w:t>
      </w:r>
    </w:p>
    <w:p w14:paraId="47989C3E">
      <w:pPr>
        <w:pStyle w:val="158"/>
        <w:ind w:firstLine="496"/>
        <w:rPr>
          <w:rFonts w:ascii="宋体" w:hAnsi="宋体" w:cs="宋体"/>
          <w:szCs w:val="24"/>
        </w:rPr>
      </w:pPr>
      <w:r>
        <w:rPr>
          <w:rFonts w:hint="eastAsia" w:ascii="宋体" w:hAnsi="宋体" w:cs="宋体"/>
          <w:szCs w:val="24"/>
        </w:rPr>
        <w:t>（2）当保温材料厚度、种类、龙骨材料品种发生变更时，只调整材料价差。</w:t>
      </w:r>
    </w:p>
    <w:p w14:paraId="7B77064E">
      <w:pPr>
        <w:pStyle w:val="158"/>
        <w:ind w:firstLine="496"/>
        <w:rPr>
          <w:rFonts w:ascii="宋体" w:hAnsi="宋体" w:cs="宋体"/>
          <w:szCs w:val="24"/>
        </w:rPr>
      </w:pPr>
      <w:r>
        <w:rPr>
          <w:rFonts w:hint="eastAsia" w:ascii="宋体" w:hAnsi="宋体" w:cs="宋体"/>
          <w:szCs w:val="24"/>
        </w:rPr>
        <w:t>（3）计量按设计图示尺寸以按垂直投影面积计算。</w:t>
      </w:r>
    </w:p>
    <w:p w14:paraId="607DB616">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6.4</w:t>
      </w:r>
      <w:r>
        <w:rPr>
          <w:rFonts w:hint="eastAsia"/>
          <w:color w:val="000000" w:themeColor="text1"/>
          <w:sz w:val="21"/>
          <w:szCs w:val="21"/>
          <w14:textFill>
            <w14:solidFill>
              <w14:schemeClr w14:val="tx1"/>
            </w14:solidFill>
          </w14:textFill>
        </w:rPr>
        <w:t>天棚工程</w:t>
      </w:r>
    </w:p>
    <w:p w14:paraId="647158D3">
      <w:pPr>
        <w:ind w:firstLine="480" w:firstLineChars="200"/>
      </w:pPr>
      <w:r>
        <w:rPr>
          <w:rFonts w:hint="eastAsia"/>
        </w:rPr>
        <w:t>1.吊顶清单项目</w:t>
      </w:r>
    </w:p>
    <w:bookmarkEnd w:id="1103"/>
    <w:p w14:paraId="1EDFE98B">
      <w:pPr>
        <w:ind w:firstLine="480" w:firstLineChars="200"/>
      </w:pPr>
      <w:bookmarkStart w:id="1109" w:name="_Toc383164112"/>
      <w:bookmarkStart w:id="1110" w:name="_Toc251243056"/>
      <w:r>
        <w:rPr>
          <w:rFonts w:hint="eastAsia"/>
        </w:rPr>
        <w:t>（1）定位、弹线、焊接、膨胀螺栓及吊筋安装，选料、下料、组装、吊装，安装龙骨及横撑临时固定支撑，预留空洞、安封边龙骨，调整、校正，安装吊顶面层；</w:t>
      </w:r>
    </w:p>
    <w:p w14:paraId="34EF541C">
      <w:pPr>
        <w:ind w:firstLine="480" w:firstLineChars="200"/>
      </w:pPr>
      <w:r>
        <w:rPr>
          <w:rFonts w:hint="eastAsia"/>
        </w:rPr>
        <w:t>（2）计价综合考虑基层板的材质、厚度、规格采购安装；铝合金装饰条采购、安装；龙骨各种的中距、规格、类型采购安装；施工安装高度；照明、消防、通风空调、弱电等工程所需开槽、孔洞的恢复整理费用；以及吊顶的吊杆、吊件、配件等可能因安装各类管线的原因需要调整所发生的费用等，发生的铝合金扣条，先打密封胶，再安装扣条费用等。龙骨、基层采用符合规范的难燃材料、交接位的收口、封板、检查口的制作安装均应包含在综合单价中，不再另行计量；</w:t>
      </w:r>
    </w:p>
    <w:p w14:paraId="28F0283A">
      <w:pPr>
        <w:ind w:firstLine="480" w:firstLineChars="200"/>
      </w:pPr>
      <w:r>
        <w:rPr>
          <w:rFonts w:hint="eastAsia"/>
        </w:rPr>
        <w:t>（3）当面层材料品种、规格、厚度发生变更时，调整面层材料的价差；</w:t>
      </w:r>
    </w:p>
    <w:p w14:paraId="76AA6996">
      <w:pPr>
        <w:ind w:firstLine="480" w:firstLineChars="200"/>
      </w:pPr>
      <w:r>
        <w:rPr>
          <w:rFonts w:hint="eastAsia"/>
        </w:rPr>
        <w:t>（4）计量按设计图示面皮尺寸以展开面积计算。</w:t>
      </w:r>
    </w:p>
    <w:p w14:paraId="6AE01643">
      <w:pPr>
        <w:pStyle w:val="5"/>
        <w:spacing w:before="0" w:after="0" w:line="360" w:lineRule="auto"/>
        <w:ind w:firstLine="422" w:firstLineChars="200"/>
        <w:rPr>
          <w:color w:val="000000" w:themeColor="text1"/>
          <w:sz w:val="21"/>
          <w:szCs w:val="21"/>
          <w14:textFill>
            <w14:solidFill>
              <w14:schemeClr w14:val="tx1"/>
            </w14:solidFill>
          </w14:textFill>
        </w:rPr>
      </w:pPr>
      <w:bookmarkStart w:id="1111" w:name="_Toc403031733"/>
      <w:bookmarkStart w:id="1112" w:name="_Toc6880"/>
      <w:bookmarkStart w:id="1113" w:name="_Toc23325"/>
      <w:bookmarkStart w:id="1114" w:name="_Toc400614667"/>
      <w:bookmarkStart w:id="1115" w:name="_Toc3570"/>
      <w:r>
        <w:rPr>
          <w:color w:val="000000" w:themeColor="text1"/>
          <w:sz w:val="21"/>
          <w:szCs w:val="21"/>
          <w14:textFill>
            <w14:solidFill>
              <w14:schemeClr w14:val="tx1"/>
            </w14:solidFill>
          </w14:textFill>
        </w:rPr>
        <w:t>6.5</w:t>
      </w:r>
      <w:r>
        <w:rPr>
          <w:rFonts w:hint="eastAsia"/>
          <w:color w:val="000000" w:themeColor="text1"/>
          <w:sz w:val="21"/>
          <w:szCs w:val="21"/>
          <w14:textFill>
            <w14:solidFill>
              <w14:schemeClr w14:val="tx1"/>
            </w14:solidFill>
          </w14:textFill>
        </w:rPr>
        <w:t>其他装饰工程</w:t>
      </w:r>
      <w:bookmarkEnd w:id="1111"/>
      <w:bookmarkEnd w:id="1112"/>
      <w:bookmarkEnd w:id="1113"/>
      <w:bookmarkEnd w:id="1114"/>
      <w:bookmarkEnd w:id="1115"/>
    </w:p>
    <w:p w14:paraId="76F53AC3">
      <w:pPr>
        <w:ind w:firstLine="480" w:firstLineChars="200"/>
      </w:pPr>
      <w:bookmarkStart w:id="1116" w:name="_Toc403031735"/>
      <w:bookmarkStart w:id="1117" w:name="_Toc1743"/>
      <w:bookmarkStart w:id="1118" w:name="_Toc400614669"/>
      <w:bookmarkStart w:id="1119" w:name="_Toc22345"/>
      <w:bookmarkStart w:id="1120" w:name="_Toc5094"/>
      <w:r>
        <w:rPr>
          <w:rFonts w:hint="eastAsia"/>
        </w:rPr>
        <w:t>1.压条、装饰线条清单项目</w:t>
      </w:r>
      <w:bookmarkEnd w:id="1116"/>
      <w:bookmarkEnd w:id="1117"/>
      <w:bookmarkEnd w:id="1118"/>
      <w:bookmarkEnd w:id="1119"/>
      <w:bookmarkEnd w:id="1120"/>
    </w:p>
    <w:p w14:paraId="3B58B147">
      <w:pPr>
        <w:pStyle w:val="158"/>
        <w:ind w:firstLine="496"/>
        <w:rPr>
          <w:rFonts w:ascii="宋体" w:hAnsi="宋体" w:cs="宋体"/>
          <w:szCs w:val="24"/>
        </w:rPr>
      </w:pPr>
      <w:r>
        <w:rPr>
          <w:rFonts w:hint="eastAsia" w:ascii="宋体" w:hAnsi="宋体" w:cs="宋体"/>
          <w:szCs w:val="24"/>
        </w:rPr>
        <w:t>（1）综合考虑装饰线的宽度，基层类型、基层板厚度、材质，施工安装高度、安装部位，收口类型，油漆，防护材料种类等。</w:t>
      </w:r>
    </w:p>
    <w:p w14:paraId="5E34B8F7">
      <w:pPr>
        <w:pStyle w:val="158"/>
        <w:ind w:firstLine="496"/>
        <w:rPr>
          <w:rFonts w:ascii="宋体" w:hAnsi="宋体" w:cs="宋体"/>
          <w:szCs w:val="24"/>
        </w:rPr>
      </w:pPr>
      <w:r>
        <w:rPr>
          <w:rFonts w:hint="eastAsia" w:ascii="宋体" w:hAnsi="宋体" w:cs="宋体"/>
          <w:szCs w:val="24"/>
        </w:rPr>
        <w:t>（2）计价包括基层，压条或装饰线条，油漆，防护，运输等相关费用。</w:t>
      </w:r>
    </w:p>
    <w:p w14:paraId="7566266F">
      <w:pPr>
        <w:pStyle w:val="158"/>
        <w:ind w:firstLine="496"/>
        <w:rPr>
          <w:rFonts w:ascii="宋体" w:hAnsi="宋体" w:cs="宋体"/>
          <w:szCs w:val="24"/>
        </w:rPr>
      </w:pPr>
      <w:r>
        <w:rPr>
          <w:rFonts w:hint="eastAsia" w:ascii="宋体" w:hAnsi="宋体" w:cs="宋体"/>
          <w:szCs w:val="24"/>
        </w:rPr>
        <w:t>（3）计量按设计图示以长度计算。</w:t>
      </w:r>
    </w:p>
    <w:p w14:paraId="135951DB">
      <w:pPr>
        <w:pStyle w:val="158"/>
        <w:ind w:firstLine="496"/>
        <w:rPr>
          <w:rFonts w:ascii="宋体" w:hAnsi="宋体" w:cs="宋体"/>
          <w:szCs w:val="24"/>
        </w:rPr>
      </w:pPr>
      <w:r>
        <w:rPr>
          <w:rFonts w:hint="eastAsia" w:ascii="宋体" w:hAnsi="宋体" w:cs="宋体"/>
          <w:szCs w:val="24"/>
        </w:rPr>
        <w:t>（4）当面层材料发生变更时，只调整主材的价差。</w:t>
      </w:r>
    </w:p>
    <w:p w14:paraId="79F620FF">
      <w:pPr>
        <w:ind w:firstLine="480" w:firstLineChars="200"/>
      </w:pPr>
      <w:bookmarkStart w:id="1121" w:name="_Toc21365"/>
      <w:bookmarkStart w:id="1122" w:name="_Toc403031737"/>
      <w:bookmarkStart w:id="1123" w:name="_Toc400614671"/>
      <w:bookmarkStart w:id="1124" w:name="_Toc5631"/>
      <w:r>
        <w:rPr>
          <w:rFonts w:hint="eastAsia"/>
        </w:rPr>
        <w:t>2.栏杆（栏板）清单项目</w:t>
      </w:r>
      <w:bookmarkEnd w:id="1121"/>
      <w:bookmarkEnd w:id="1122"/>
      <w:bookmarkEnd w:id="1123"/>
      <w:bookmarkEnd w:id="1124"/>
    </w:p>
    <w:p w14:paraId="2285DF67">
      <w:pPr>
        <w:pStyle w:val="158"/>
        <w:ind w:firstLine="496"/>
        <w:rPr>
          <w:rFonts w:ascii="宋体" w:hAnsi="宋体" w:cs="宋体"/>
          <w:szCs w:val="24"/>
        </w:rPr>
      </w:pPr>
      <w:r>
        <w:rPr>
          <w:rFonts w:hint="eastAsia" w:ascii="宋体" w:hAnsi="宋体" w:cs="宋体"/>
          <w:szCs w:val="24"/>
        </w:rPr>
        <w:t>（1）计价综合栏杆（栏板）样式、栏杆规格，栏板平面尺寸、固定配件种类，油漆，防护材料种类等。</w:t>
      </w:r>
    </w:p>
    <w:p w14:paraId="20B59EB6">
      <w:pPr>
        <w:pStyle w:val="158"/>
        <w:ind w:firstLine="496"/>
        <w:rPr>
          <w:rFonts w:ascii="宋体" w:hAnsi="宋体" w:cs="宋体"/>
          <w:szCs w:val="24"/>
        </w:rPr>
      </w:pPr>
      <w:r>
        <w:rPr>
          <w:rFonts w:hint="eastAsia" w:ascii="宋体" w:hAnsi="宋体" w:cs="宋体"/>
          <w:szCs w:val="24"/>
        </w:rPr>
        <w:t>（2）计价包括栏杆（栏板）的预埋、制作、安装、油漆、防护、运输等相关费用。</w:t>
      </w:r>
    </w:p>
    <w:p w14:paraId="225B2582">
      <w:pPr>
        <w:pStyle w:val="158"/>
        <w:ind w:firstLine="496"/>
        <w:rPr>
          <w:rFonts w:ascii="宋体" w:hAnsi="宋体" w:cs="宋体"/>
          <w:szCs w:val="24"/>
        </w:rPr>
      </w:pPr>
      <w:r>
        <w:rPr>
          <w:rFonts w:hint="eastAsia" w:ascii="宋体" w:hAnsi="宋体" w:cs="宋体"/>
          <w:szCs w:val="24"/>
        </w:rPr>
        <w:t>（3）计量分高度、材质、栏板厚度按设计图示尺寸以扶手中心线长度（包括弯头）计算。</w:t>
      </w:r>
    </w:p>
    <w:p w14:paraId="052958CE">
      <w:pPr>
        <w:pStyle w:val="158"/>
        <w:ind w:firstLine="496"/>
        <w:rPr>
          <w:rFonts w:ascii="宋体" w:hAnsi="宋体" w:cs="宋体"/>
          <w:szCs w:val="24"/>
        </w:rPr>
      </w:pPr>
      <w:r>
        <w:rPr>
          <w:rFonts w:hint="eastAsia" w:ascii="宋体" w:hAnsi="宋体" w:cs="宋体"/>
          <w:szCs w:val="24"/>
        </w:rPr>
        <w:t>（4）当栏杆（栏板）材质、栏板厚度发生变更时，只调整栏杆（栏板）材料的价差；当相同材质的栏杆（栏板）高度发生变更时，其结算单价按相邻高度的清单子目综合单价折算成平方米的单价取低值者进行换算。</w:t>
      </w:r>
    </w:p>
    <w:p w14:paraId="4BE8B8D2">
      <w:pPr>
        <w:pStyle w:val="158"/>
        <w:ind w:firstLine="496"/>
        <w:rPr>
          <w:rFonts w:ascii="宋体" w:hAnsi="宋体" w:cs="宋体"/>
          <w:szCs w:val="24"/>
        </w:rPr>
      </w:pPr>
    </w:p>
    <w:p w14:paraId="058966BB">
      <w:pPr>
        <w:pStyle w:val="158"/>
        <w:ind w:firstLine="0" w:firstLineChars="0"/>
        <w:rPr>
          <w:rFonts w:ascii="宋体" w:hAnsi="宋体" w:cs="宋体"/>
          <w:szCs w:val="24"/>
        </w:rPr>
      </w:pPr>
      <w:r>
        <w:rPr>
          <w:rFonts w:hint="eastAsia" w:ascii="宋体" w:hAnsi="宋体" w:cs="宋体"/>
          <w:szCs w:val="24"/>
        </w:rPr>
        <w:br w:type="page"/>
      </w:r>
    </w:p>
    <w:bookmarkEnd w:id="1091"/>
    <w:bookmarkEnd w:id="1109"/>
    <w:bookmarkEnd w:id="1110"/>
    <w:p w14:paraId="2DB2F4C9">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（七）通用安装工程计价补充说明</w:t>
      </w:r>
    </w:p>
    <w:p w14:paraId="19D17143">
      <w:pPr>
        <w:widowControl/>
        <w:snapToGrid w:val="0"/>
        <w:ind w:firstLine="480" w:firstLineChars="200"/>
        <w:rPr>
          <w:rFonts w:ascii="宋体" w:hAnsi="宋体" w:cs="宋体"/>
          <w:kern w:val="0"/>
          <w:szCs w:val="24"/>
        </w:rPr>
      </w:pPr>
      <w:r>
        <w:rPr>
          <w:rFonts w:hint="eastAsia" w:ascii="宋体" w:hAnsi="宋体" w:cs="宋体"/>
          <w:kern w:val="0"/>
          <w:szCs w:val="24"/>
        </w:rPr>
        <w:t>凡在本说明中已明确的须按本说明执行；在本说明中未明确的则按《关于贯彻《通用安装工程工程量计算规范》（GB50856-2013）的实施意见（粤建造发〔2014〕4号）》、《广东省建设工程工程量清单计价指引》（粤建造发〔2013〕6号）、《广东省建设工程计价依据(2018)》的规定执行；在本须知及《关于贯彻《通用安装工程工程量计算规范》（GB50856-2013）的实施意见（粤建造发〔2014〕4号）》、《广东省建设工程工程量清单计价指引》（粤建造发〔2013〕6号）、《广东省建设工程计价依据(2018)》中均未明确的，则按《通用安装工程工程量计算规范（GB50856-2013）》、《房屋建筑与装饰工程工程量计算规范（GB50854-2013）》、《市政工程工程量计算规范（GB50857-2013）》、《园林绿化工程工程量计算规范（GB50858-2013）》、《建设工程工程量清单计价规范（GB50500-2013）》等国标规范的规定执行；以上均未明确的则按《广东省通用安装工程综合定额(2018)》、《广东省房屋建筑与装饰工程综合定额(2018)》、《广东省市政工程综合定额(2018)》、等专业定额的规定执行。</w:t>
      </w:r>
      <w:bookmarkStart w:id="1125" w:name="_Toc360724594"/>
      <w:bookmarkStart w:id="1126" w:name="_Toc21382"/>
      <w:bookmarkStart w:id="1127" w:name="_Toc226256913"/>
      <w:bookmarkStart w:id="1128" w:name="_Toc248914714"/>
      <w:bookmarkStart w:id="1129" w:name="_Toc353782538"/>
      <w:bookmarkStart w:id="1130" w:name="_Toc19161"/>
      <w:bookmarkStart w:id="1131" w:name="_Toc9858"/>
      <w:bookmarkStart w:id="1132" w:name="_Toc439060645"/>
      <w:bookmarkStart w:id="1133" w:name="_Toc1168"/>
      <w:bookmarkStart w:id="1134" w:name="_Toc237925853"/>
      <w:bookmarkStart w:id="1135" w:name="_Toc228524070"/>
    </w:p>
    <w:p w14:paraId="435F3CE6">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w:t>
      </w:r>
      <w:r>
        <w:rPr>
          <w:rFonts w:hint="eastAsia"/>
          <w:color w:val="000000" w:themeColor="text1"/>
          <w:sz w:val="21"/>
          <w:szCs w:val="21"/>
          <w14:textFill>
            <w14:solidFill>
              <w14:schemeClr w14:val="tx1"/>
            </w14:solidFill>
          </w14:textFill>
        </w:rPr>
        <w:t>控制箱</w:t>
      </w:r>
      <w:bookmarkEnd w:id="1125"/>
      <w:bookmarkEnd w:id="1126"/>
      <w:bookmarkEnd w:id="1127"/>
      <w:bookmarkEnd w:id="1128"/>
      <w:bookmarkEnd w:id="1129"/>
      <w:bookmarkEnd w:id="1130"/>
      <w:bookmarkEnd w:id="1131"/>
      <w:bookmarkEnd w:id="1132"/>
      <w:bookmarkEnd w:id="1133"/>
      <w:bookmarkEnd w:id="1134"/>
    </w:p>
    <w:p w14:paraId="536F3266">
      <w:pPr>
        <w:pStyle w:val="158"/>
        <w:ind w:firstLine="496"/>
        <w:rPr>
          <w:rFonts w:ascii="宋体" w:hAnsi="宋体" w:cs="宋体"/>
          <w:szCs w:val="24"/>
        </w:rPr>
      </w:pPr>
      <w:r>
        <w:rPr>
          <w:rFonts w:hint="eastAsia" w:ascii="宋体" w:hAnsi="宋体" w:cs="宋体"/>
          <w:szCs w:val="24"/>
        </w:rPr>
        <w:t>（1）包括智能排烟控制箱、汇流箱、并网柜等各类箱体。要求箱体应按设计图纸考虑及预留安装漏电报警模块、控制器及面板等的位置。</w:t>
      </w:r>
    </w:p>
    <w:p w14:paraId="70206F1E">
      <w:pPr>
        <w:pStyle w:val="158"/>
        <w:ind w:firstLine="496"/>
        <w:rPr>
          <w:rFonts w:ascii="宋体" w:hAnsi="宋体" w:cs="宋体"/>
          <w:szCs w:val="24"/>
        </w:rPr>
      </w:pPr>
      <w:r>
        <w:rPr>
          <w:rFonts w:hint="eastAsia" w:ascii="宋体" w:hAnsi="宋体" w:cs="宋体"/>
          <w:szCs w:val="24"/>
        </w:rPr>
        <w:t>（2）计量包括按不同的用途及设计编号，不分安装方式，以“台”为计量单位计算。</w:t>
      </w:r>
    </w:p>
    <w:p w14:paraId="78994DA6">
      <w:pPr>
        <w:pStyle w:val="158"/>
        <w:ind w:firstLine="496"/>
        <w:rPr>
          <w:rFonts w:ascii="宋体" w:hAnsi="宋体" w:cs="宋体"/>
          <w:szCs w:val="24"/>
        </w:rPr>
      </w:pPr>
      <w:r>
        <w:rPr>
          <w:rFonts w:hint="eastAsia" w:ascii="宋体" w:hAnsi="宋体" w:cs="宋体"/>
          <w:szCs w:val="24"/>
        </w:rPr>
        <w:t>（3）计价包括基础型钢制作、安装、箱体安装、接地、单体调试、接线等相关费用。</w:t>
      </w:r>
    </w:p>
    <w:p w14:paraId="0582F214">
      <w:pPr>
        <w:pStyle w:val="5"/>
        <w:spacing w:before="0" w:after="0" w:line="360" w:lineRule="auto"/>
        <w:ind w:firstLine="422" w:firstLineChars="200"/>
        <w:rPr>
          <w:color w:val="000000" w:themeColor="text1"/>
          <w:sz w:val="21"/>
          <w:szCs w:val="21"/>
          <w14:textFill>
            <w14:solidFill>
              <w14:schemeClr w14:val="tx1"/>
            </w14:solidFill>
          </w14:textFill>
        </w:rPr>
      </w:pPr>
      <w:bookmarkStart w:id="1136" w:name="_Toc16974"/>
      <w:bookmarkStart w:id="1137" w:name="_Toc3524"/>
      <w:bookmarkStart w:id="1138" w:name="_Toc861"/>
      <w:bookmarkStart w:id="1139" w:name="_Toc21411"/>
      <w:bookmarkStart w:id="1140" w:name="_Toc20449"/>
      <w:bookmarkStart w:id="1141" w:name="_Toc439060652"/>
      <w:r>
        <w:rPr>
          <w:color w:val="000000" w:themeColor="text1"/>
          <w:sz w:val="21"/>
          <w:szCs w:val="21"/>
          <w14:textFill>
            <w14:solidFill>
              <w14:schemeClr w14:val="tx1"/>
            </w14:solidFill>
          </w14:textFill>
        </w:rPr>
        <w:t>7.2</w:t>
      </w:r>
      <w:r>
        <w:rPr>
          <w:rFonts w:hint="eastAsia"/>
          <w:color w:val="000000" w:themeColor="text1"/>
          <w:sz w:val="21"/>
          <w:szCs w:val="21"/>
          <w14:textFill>
            <w14:solidFill>
              <w14:schemeClr w14:val="tx1"/>
            </w14:solidFill>
          </w14:textFill>
        </w:rPr>
        <w:t>桥架</w:t>
      </w:r>
    </w:p>
    <w:p w14:paraId="4DA76E2A">
      <w:pPr>
        <w:pStyle w:val="158"/>
        <w:ind w:firstLine="496"/>
        <w:rPr>
          <w:rFonts w:ascii="宋体" w:hAnsi="宋体" w:cs="宋体"/>
          <w:szCs w:val="24"/>
        </w:rPr>
      </w:pPr>
      <w:r>
        <w:rPr>
          <w:rFonts w:hint="eastAsia" w:ascii="宋体" w:hAnsi="宋体" w:cs="宋体"/>
          <w:szCs w:val="24"/>
        </w:rPr>
        <w:t>（1）计量包括按不同材质以“米”为计量单位计算。</w:t>
      </w:r>
    </w:p>
    <w:p w14:paraId="582EC5E0">
      <w:pPr>
        <w:pStyle w:val="158"/>
        <w:ind w:firstLine="496"/>
        <w:rPr>
          <w:rFonts w:ascii="宋体" w:hAnsi="宋体" w:cs="宋体"/>
          <w:szCs w:val="24"/>
        </w:rPr>
      </w:pPr>
      <w:r>
        <w:rPr>
          <w:rFonts w:hint="eastAsia" w:ascii="宋体" w:hAnsi="宋体" w:cs="宋体"/>
          <w:szCs w:val="24"/>
        </w:rPr>
        <w:t>（2）计价包括电缆桥架（包括盖板、隔板、直通、三通、四通、弯头、支承件等附件以及软接头、接地铜排等全部配件）及附件、配件安装、支（吊）架制作安装、除锈、刷油、接地、防火堵洞、伸缩软接头、刷防火漆等相关费用。</w:t>
      </w:r>
    </w:p>
    <w:p w14:paraId="2052D54C">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7.3</w:t>
      </w:r>
      <w:r>
        <w:rPr>
          <w:rFonts w:hint="eastAsia"/>
          <w:color w:val="000000" w:themeColor="text1"/>
          <w:sz w:val="21"/>
          <w:szCs w:val="21"/>
          <w14:textFill>
            <w14:solidFill>
              <w14:schemeClr w14:val="tx1"/>
            </w14:solidFill>
          </w14:textFill>
        </w:rPr>
        <w:t>线槽</w:t>
      </w:r>
      <w:bookmarkEnd w:id="1136"/>
      <w:bookmarkEnd w:id="1137"/>
      <w:bookmarkEnd w:id="1138"/>
      <w:bookmarkEnd w:id="1139"/>
      <w:bookmarkEnd w:id="1140"/>
      <w:bookmarkEnd w:id="1141"/>
    </w:p>
    <w:p w14:paraId="540F5AF8">
      <w:pPr>
        <w:pStyle w:val="158"/>
        <w:ind w:firstLine="218" w:firstLineChars="88"/>
        <w:rPr>
          <w:rFonts w:ascii="宋体" w:hAnsi="宋体" w:cs="宋体"/>
          <w:szCs w:val="24"/>
        </w:rPr>
      </w:pPr>
      <w:r>
        <w:rPr>
          <w:rFonts w:hint="eastAsia" w:ascii="宋体" w:hAnsi="宋体" w:cs="宋体"/>
          <w:szCs w:val="24"/>
        </w:rPr>
        <w:t xml:space="preserve"> （1）计量包括线槽按不同材质以截面半周长为步距，以“米”为计量单位计算。</w:t>
      </w:r>
    </w:p>
    <w:p w14:paraId="4A923FFE">
      <w:pPr>
        <w:pStyle w:val="158"/>
        <w:ind w:firstLine="218" w:firstLineChars="88"/>
        <w:rPr>
          <w:rFonts w:ascii="宋体" w:hAnsi="宋体" w:cs="宋体"/>
          <w:szCs w:val="24"/>
        </w:rPr>
      </w:pPr>
      <w:r>
        <w:rPr>
          <w:rFonts w:hint="eastAsia" w:ascii="宋体" w:hAnsi="宋体" w:cs="宋体"/>
          <w:szCs w:val="24"/>
        </w:rPr>
        <w:t xml:space="preserve"> （2）计价包括线槽（包括盖板、直通、三通、四通、弯头、支承件等附件以及软接头、接地铜排等全部配件）及附件、配件安装、支（吊）架制作安装、除锈、刷油、接地、防火堵洞、伸缩软接头、刷防火漆等相关费用。</w:t>
      </w:r>
    </w:p>
    <w:p w14:paraId="6BA02E6A">
      <w:pPr>
        <w:pStyle w:val="5"/>
        <w:spacing w:before="0" w:after="0" w:line="360" w:lineRule="auto"/>
        <w:ind w:firstLine="422" w:firstLineChars="200"/>
        <w:rPr>
          <w:color w:val="000000" w:themeColor="text1"/>
          <w:sz w:val="21"/>
          <w:szCs w:val="21"/>
          <w14:textFill>
            <w14:solidFill>
              <w14:schemeClr w14:val="tx1"/>
            </w14:solidFill>
          </w14:textFill>
        </w:rPr>
      </w:pPr>
      <w:bookmarkStart w:id="1142" w:name="_Toc12124"/>
      <w:bookmarkStart w:id="1143" w:name="_Toc3032"/>
      <w:bookmarkStart w:id="1144" w:name="_Toc3029"/>
      <w:bookmarkStart w:id="1145" w:name="_Toc439060654"/>
      <w:bookmarkStart w:id="1146" w:name="_Toc28094"/>
      <w:bookmarkStart w:id="1147" w:name="_Toc2038"/>
      <w:r>
        <w:rPr>
          <w:color w:val="000000" w:themeColor="text1"/>
          <w:sz w:val="21"/>
          <w:szCs w:val="21"/>
          <w14:textFill>
            <w14:solidFill>
              <w14:schemeClr w14:val="tx1"/>
            </w14:solidFill>
          </w14:textFill>
        </w:rPr>
        <w:t>7.4</w:t>
      </w:r>
      <w:r>
        <w:rPr>
          <w:rFonts w:hint="eastAsia"/>
          <w:color w:val="000000" w:themeColor="text1"/>
          <w:sz w:val="21"/>
          <w:szCs w:val="21"/>
          <w14:textFill>
            <w14:solidFill>
              <w14:schemeClr w14:val="tx1"/>
            </w14:solidFill>
          </w14:textFill>
        </w:rPr>
        <w:t>配线</w:t>
      </w:r>
      <w:bookmarkEnd w:id="1142"/>
      <w:bookmarkEnd w:id="1143"/>
      <w:bookmarkEnd w:id="1144"/>
      <w:bookmarkEnd w:id="1145"/>
      <w:bookmarkEnd w:id="1146"/>
      <w:bookmarkEnd w:id="1147"/>
    </w:p>
    <w:p w14:paraId="640BE0EA">
      <w:pPr>
        <w:pStyle w:val="158"/>
        <w:ind w:firstLine="496"/>
        <w:rPr>
          <w:rFonts w:ascii="宋体" w:hAnsi="宋体" w:cs="宋体"/>
          <w:szCs w:val="24"/>
        </w:rPr>
      </w:pPr>
      <w:r>
        <w:rPr>
          <w:rFonts w:hint="eastAsia" w:ascii="宋体" w:hAnsi="宋体" w:cs="宋体"/>
          <w:szCs w:val="24"/>
        </w:rPr>
        <w:t>（1）计量包括分电压等级、用途、材质、规格、型号，不分敷设方式，以“米”为计量单位计算。</w:t>
      </w:r>
    </w:p>
    <w:p w14:paraId="79EC9924">
      <w:pPr>
        <w:pStyle w:val="158"/>
        <w:ind w:firstLine="496"/>
        <w:rPr>
          <w:rFonts w:ascii="宋体" w:hAnsi="宋体" w:cs="宋体"/>
          <w:szCs w:val="24"/>
        </w:rPr>
      </w:pPr>
      <w:r>
        <w:rPr>
          <w:rFonts w:hint="eastAsia" w:ascii="宋体" w:hAnsi="宋体" w:cs="宋体"/>
          <w:szCs w:val="24"/>
        </w:rPr>
        <w:t>（2）计价包括支持体（夹板、绝缘子、街码等）安装、配线、管内穿线、焊、压接线端子、接地等相关费用。</w:t>
      </w:r>
    </w:p>
    <w:p w14:paraId="3D5C77FF">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w:t>
      </w:r>
      <w:r>
        <w:rPr>
          <w:rFonts w:hint="eastAsia"/>
          <w:color w:val="000000" w:themeColor="text1"/>
          <w:sz w:val="21"/>
          <w:szCs w:val="21"/>
          <w14:textFill>
            <w14:solidFill>
              <w14:schemeClr w14:val="tx1"/>
            </w14:solidFill>
          </w14:textFill>
        </w:rPr>
        <w:t>电力电缆</w:t>
      </w:r>
    </w:p>
    <w:p w14:paraId="3D30A21B">
      <w:pPr>
        <w:pStyle w:val="158"/>
        <w:ind w:firstLine="419" w:firstLineChars="169"/>
        <w:rPr>
          <w:rFonts w:ascii="宋体" w:hAnsi="宋体" w:cs="宋体"/>
          <w:szCs w:val="24"/>
        </w:rPr>
      </w:pPr>
      <w:r>
        <w:rPr>
          <w:rFonts w:hint="eastAsia" w:ascii="宋体" w:hAnsi="宋体" w:cs="宋体"/>
          <w:szCs w:val="24"/>
        </w:rPr>
        <w:t>（1）计量包括分电压等级、用途、材质、规格、型号，不分敷设方式，以“米”为计量单位计算。</w:t>
      </w:r>
    </w:p>
    <w:p w14:paraId="24B562D3">
      <w:pPr>
        <w:pStyle w:val="158"/>
        <w:ind w:firstLine="496"/>
        <w:rPr>
          <w:rFonts w:ascii="宋体" w:hAnsi="宋体" w:cs="宋体"/>
          <w:szCs w:val="24"/>
        </w:rPr>
      </w:pPr>
      <w:r>
        <w:rPr>
          <w:rFonts w:hint="eastAsia" w:ascii="宋体" w:hAnsi="宋体" w:cs="宋体"/>
          <w:szCs w:val="24"/>
        </w:rPr>
        <w:t>（2）计价包括揭（盖）盖板、电缆敷设、电缆头(含中间接头)制作及安装、电缆T接箱的制作安装、连接体、接地、试压、测试、防火堵洞、电缆防护、电缆防火隔板、电缆防火涂料、单体调试、电缆穿刺线夹制作及安装等相关费用。</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135"/>
      <w:bookmarkStart w:id="1148" w:name="_Toc20816"/>
      <w:bookmarkStart w:id="1149" w:name="_Toc316916412"/>
      <w:bookmarkStart w:id="1150" w:name="_Toc11709"/>
      <w:bookmarkStart w:id="1151" w:name="_Toc353782579"/>
      <w:bookmarkStart w:id="1152" w:name="_Toc30260"/>
      <w:bookmarkStart w:id="1153" w:name="_Toc462"/>
      <w:bookmarkStart w:id="1154" w:name="_Toc11584"/>
      <w:bookmarkStart w:id="1155" w:name="_Toc5861"/>
      <w:bookmarkStart w:id="1156" w:name="_Toc1844"/>
      <w:bookmarkStart w:id="1157" w:name="_Toc4268"/>
      <w:bookmarkStart w:id="1158" w:name="_Toc14704"/>
      <w:bookmarkStart w:id="1159" w:name="_Toc505776048"/>
      <w:bookmarkStart w:id="1160" w:name="_Toc314044191"/>
      <w:bookmarkStart w:id="1161" w:name="_Toc5709"/>
      <w:bookmarkStart w:id="1162" w:name="_Toc5269"/>
      <w:bookmarkStart w:id="1163" w:name="_Toc6897"/>
      <w:bookmarkStart w:id="1164" w:name="_Toc4939"/>
      <w:bookmarkStart w:id="1165" w:name="_Toc529298719"/>
      <w:bookmarkStart w:id="1166" w:name="_Toc294031078"/>
      <w:bookmarkStart w:id="1167" w:name="_Toc28135"/>
      <w:bookmarkStart w:id="1168" w:name="_Toc31208"/>
      <w:bookmarkStart w:id="1169" w:name="_Toc24587"/>
      <w:bookmarkStart w:id="1170" w:name="_Toc392516312"/>
      <w:bookmarkStart w:id="1171" w:name="_Toc24031_WPSOffice_Level1"/>
    </w:p>
    <w:p w14:paraId="1CF46867">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7.6</w:t>
      </w:r>
      <w:r>
        <w:rPr>
          <w:rFonts w:hint="eastAsia"/>
          <w:color w:val="000000" w:themeColor="text1"/>
          <w:sz w:val="21"/>
          <w:szCs w:val="21"/>
          <w14:textFill>
            <w14:solidFill>
              <w14:schemeClr w14:val="tx1"/>
            </w14:solidFill>
          </w14:textFill>
        </w:rPr>
        <w:t>擦窗机</w:t>
      </w:r>
    </w:p>
    <w:p w14:paraId="25560F22">
      <w:pPr>
        <w:pStyle w:val="158"/>
        <w:ind w:firstLine="496"/>
        <w:rPr>
          <w:rFonts w:ascii="宋体" w:hAnsi="宋体" w:cs="宋体"/>
        </w:rPr>
      </w:pPr>
      <w:r>
        <w:rPr>
          <w:rFonts w:hint="eastAsia" w:ascii="宋体" w:hAnsi="宋体" w:cs="宋体"/>
        </w:rPr>
        <w:t>（</w:t>
      </w:r>
      <w:r>
        <w:rPr>
          <w:rFonts w:ascii="宋体" w:hAnsi="宋体" w:cs="宋体"/>
        </w:rPr>
        <w:t>1）计量以“</w:t>
      </w:r>
      <w:r>
        <w:rPr>
          <w:rFonts w:hint="eastAsia" w:ascii="宋体" w:hAnsi="宋体" w:cs="宋体"/>
        </w:rPr>
        <w:t>项</w:t>
      </w:r>
      <w:r>
        <w:rPr>
          <w:rFonts w:ascii="宋体" w:hAnsi="宋体" w:cs="宋体"/>
        </w:rPr>
        <w:t>”</w:t>
      </w:r>
      <w:r>
        <w:rPr>
          <w:rFonts w:ascii="宋体" w:hAnsi="宋体"/>
        </w:rPr>
        <w:t xml:space="preserve"> 为计量单位计算</w:t>
      </w:r>
      <w:r>
        <w:rPr>
          <w:rFonts w:hint="eastAsia" w:ascii="宋体" w:hAnsi="宋体"/>
        </w:rPr>
        <w:t>，</w:t>
      </w:r>
      <w:r>
        <w:rPr>
          <w:rFonts w:hint="eastAsia" w:ascii="宋体" w:hAnsi="宋体"/>
          <w:szCs w:val="24"/>
        </w:rPr>
        <w:t>该费用合价包干，除合同另有约定或取消施工外，结算时不作调整</w:t>
      </w:r>
      <w:r>
        <w:rPr>
          <w:rFonts w:hint="eastAsia" w:ascii="宋体" w:hAnsi="宋体" w:cs="宋体"/>
        </w:rPr>
        <w:t>。</w:t>
      </w:r>
    </w:p>
    <w:p w14:paraId="083AF621">
      <w:pPr>
        <w:pStyle w:val="158"/>
        <w:ind w:firstLine="496"/>
        <w:rPr>
          <w:rFonts w:ascii="宋体" w:hAnsi="宋体" w:cs="宋体"/>
        </w:rPr>
      </w:pPr>
      <w:r>
        <w:rPr>
          <w:rFonts w:hint="eastAsia" w:ascii="宋体" w:hAnsi="宋体" w:cs="宋体"/>
        </w:rPr>
        <w:t>（2）满足合同相关要求，包括根据设计图纸、技术说明书及规范要求完成该清单项目所需要的其他附属工作内容，并综合考虑建筑物超高人工、机具增加费，以及其他完成本工作涉及的所有费用。</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5BD351B3">
      <w:pPr>
        <w:pStyle w:val="77"/>
        <w:rPr>
          <w:color w:val="000000" w:themeColor="text1"/>
          <w14:textFill>
            <w14:solidFill>
              <w14:schemeClr w14:val="tx1"/>
            </w14:solidFill>
          </w14:textFill>
        </w:rPr>
      </w:pPr>
      <w:bookmarkStart w:id="1172" w:name="_Toc32539"/>
      <w:bookmarkStart w:id="1173" w:name="_Toc22695"/>
      <w:bookmarkStart w:id="1174" w:name="_Toc12210"/>
      <w:bookmarkStart w:id="1175" w:name="_Toc14628"/>
      <w:bookmarkStart w:id="1176" w:name="_Toc5128"/>
      <w:bookmarkStart w:id="1177" w:name="_Toc9854"/>
      <w:bookmarkStart w:id="1178" w:name="_Toc17481"/>
      <w:bookmarkStart w:id="1179" w:name="_Toc28974"/>
      <w:bookmarkStart w:id="1180" w:name="_Toc27416"/>
      <w:r>
        <w:rPr>
          <w:rFonts w:hint="eastAsia"/>
          <w:color w:val="000000" w:themeColor="text1"/>
          <w14:textFill>
            <w14:solidFill>
              <w14:schemeClr w14:val="tx1"/>
            </w14:solidFill>
          </w14:textFill>
        </w:rPr>
        <w:t>（八）其它说明</w:t>
      </w:r>
      <w:bookmarkEnd w:id="1172"/>
      <w:bookmarkEnd w:id="1173"/>
      <w:bookmarkEnd w:id="1174"/>
      <w:bookmarkEnd w:id="1175"/>
      <w:bookmarkEnd w:id="1176"/>
      <w:bookmarkEnd w:id="1177"/>
      <w:bookmarkEnd w:id="1178"/>
      <w:bookmarkEnd w:id="1179"/>
      <w:bookmarkEnd w:id="1180"/>
    </w:p>
    <w:p w14:paraId="146856FF">
      <w:pPr>
        <w:pStyle w:val="159"/>
        <w:spacing w:before="143" w:beforeLines="0" w:after="143" w:afterLines="0"/>
        <w:ind w:firstLine="480"/>
        <w:rPr>
          <w:rFonts w:ascii="宋体" w:hAnsi="宋体" w:cs="宋体"/>
          <w:szCs w:val="24"/>
        </w:rPr>
      </w:pPr>
      <w:r>
        <w:rPr>
          <w:rFonts w:hint="eastAsia" w:ascii="宋体" w:hAnsi="宋体" w:cs="宋体"/>
          <w:szCs w:val="24"/>
        </w:rPr>
        <w:t>1、投标人需结合招标文件 ，充分考虑相应风险。</w:t>
      </w:r>
    </w:p>
    <w:p w14:paraId="7976E313">
      <w:pPr>
        <w:pStyle w:val="159"/>
        <w:spacing w:before="143" w:beforeLines="0" w:after="143" w:afterLines="0"/>
        <w:ind w:firstLine="480"/>
        <w:rPr>
          <w:rFonts w:ascii="宋体" w:hAnsi="宋体" w:cs="宋体"/>
          <w:szCs w:val="24"/>
        </w:rPr>
      </w:pPr>
      <w:r>
        <w:rPr>
          <w:rFonts w:hint="eastAsia" w:ascii="宋体" w:hAnsi="宋体" w:cs="宋体"/>
          <w:szCs w:val="24"/>
        </w:rPr>
        <w:t>2、投标人需对现场进行勘察，清楚了解现场施工条件，所有因现场条件限制，而导致实际施工成本的增加，由承包人在清单项目综合单价中综合考虑，中标人不得另外要求计取任何费用。</w:t>
      </w:r>
    </w:p>
    <w:p w14:paraId="12FEC934">
      <w:pPr>
        <w:pStyle w:val="3"/>
        <w:spacing w:before="0" w:after="0" w:line="240" w:lineRule="auto"/>
        <w:rPr>
          <w:rFonts w:ascii="仿宋" w:hAnsi="仿宋" w:eastAsia="仿宋" w:cs="宋体"/>
          <w:color w:val="000000" w:themeColor="text1"/>
          <w:sz w:val="36"/>
          <w:szCs w:val="28"/>
          <w14:textFill>
            <w14:solidFill>
              <w14:schemeClr w14:val="tx1"/>
            </w14:solidFill>
          </w14:textFill>
        </w:rPr>
      </w:pPr>
      <w:bookmarkStart w:id="1181" w:name="_Toc27903"/>
      <w:bookmarkStart w:id="1182" w:name="_Toc23051"/>
      <w:r>
        <w:rPr>
          <w:rFonts w:hint="eastAsia" w:ascii="仿宋" w:hAnsi="仿宋" w:eastAsia="仿宋" w:cs="宋体"/>
          <w:color w:val="000000" w:themeColor="text1"/>
          <w:sz w:val="36"/>
          <w:szCs w:val="28"/>
          <w14:textFill>
            <w14:solidFill>
              <w14:schemeClr w14:val="tx1"/>
            </w14:solidFill>
          </w14:textFill>
        </w:rPr>
        <w:t>五、</w:t>
      </w:r>
      <w:r>
        <w:rPr>
          <w:rFonts w:hint="eastAsia" w:ascii="仿宋" w:hAnsi="仿宋" w:eastAsia="仿宋" w:cs="宋体"/>
          <w:color w:val="000000" w:themeColor="text1"/>
          <w:sz w:val="36"/>
          <w:szCs w:val="28"/>
          <w:u w:val="single"/>
          <w14:textFill>
            <w14:solidFill>
              <w14:schemeClr w14:val="tx1"/>
            </w14:solidFill>
          </w14:textFill>
        </w:rPr>
        <w:t>综合单价风险范围</w:t>
      </w:r>
      <w:bookmarkEnd w:id="1181"/>
      <w:bookmarkEnd w:id="1182"/>
    </w:p>
    <w:p w14:paraId="7EACC011">
      <w:pPr>
        <w:pStyle w:val="159"/>
        <w:snapToGrid w:val="0"/>
        <w:spacing w:before="143" w:beforeLines="0" w:after="143" w:afterLines="0"/>
        <w:ind w:firstLine="480"/>
        <w:jc w:val="both"/>
        <w:rPr>
          <w:rFonts w:ascii="宋体" w:hAnsi="宋体" w:cs="宋体"/>
          <w:szCs w:val="24"/>
        </w:rPr>
      </w:pPr>
      <w:r>
        <w:rPr>
          <w:rFonts w:hint="eastAsia" w:ascii="宋体" w:hAnsi="宋体" w:cs="宋体"/>
          <w:szCs w:val="24"/>
        </w:rPr>
        <w:t>5.1本工程合同为固定单价合同，工程量按实结算。合同清单单价为分包人投标报价中相对应的中标清单单价。分包人在投标报价时，中标清单单价中的工作内容如有错漏，视为分包人在投标报价时已在相对应的中标清单单价中综合考虑。工程竣工结算时，构成合同价款合同清单单价</w:t>
      </w:r>
      <w:r>
        <w:rPr>
          <w:rFonts w:hint="eastAsia" w:ascii="宋体" w:hAnsi="宋体" w:cs="宋体"/>
          <w:szCs w:val="24"/>
          <w:lang w:bidi="ar"/>
        </w:rPr>
        <w:t>，除</w:t>
      </w:r>
      <w:r>
        <w:rPr>
          <w:rFonts w:hint="eastAsia" w:ascii="宋体" w:hAnsi="宋体" w:cs="宋体"/>
          <w:szCs w:val="24"/>
        </w:rPr>
        <w:t>合同另有约定</w:t>
      </w:r>
      <w:r>
        <w:rPr>
          <w:rFonts w:hint="eastAsia" w:ascii="宋体" w:hAnsi="宋体" w:cs="宋体"/>
          <w:szCs w:val="24"/>
          <w:lang w:bidi="ar"/>
        </w:rPr>
        <w:t>外，均</w:t>
      </w:r>
      <w:r>
        <w:rPr>
          <w:rFonts w:hint="eastAsia" w:ascii="宋体" w:hAnsi="宋体" w:cs="宋体"/>
          <w:szCs w:val="24"/>
        </w:rPr>
        <w:t>不予调整</w:t>
      </w:r>
      <w:r>
        <w:rPr>
          <w:rFonts w:hint="eastAsia" w:ascii="宋体" w:hAnsi="宋体" w:cs="宋体"/>
          <w:szCs w:val="24"/>
          <w:lang w:bidi="ar"/>
        </w:rPr>
        <w:t>。</w:t>
      </w:r>
      <w:r>
        <w:rPr>
          <w:rFonts w:hint="eastAsia" w:ascii="宋体" w:hAnsi="宋体" w:cs="宋体"/>
          <w:szCs w:val="24"/>
        </w:rPr>
        <w:t>合同清单单价风险范围包括但不限于：</w:t>
      </w:r>
    </w:p>
    <w:p w14:paraId="770599BA">
      <w:pPr>
        <w:pStyle w:val="159"/>
        <w:snapToGrid w:val="0"/>
        <w:spacing w:before="143" w:beforeLines="0" w:after="143" w:afterLines="0"/>
        <w:ind w:firstLine="480"/>
        <w:jc w:val="both"/>
        <w:rPr>
          <w:rFonts w:ascii="宋体" w:hAnsi="宋体" w:cs="宋体"/>
          <w:szCs w:val="24"/>
        </w:rPr>
      </w:pPr>
      <w:r>
        <w:rPr>
          <w:rFonts w:hint="eastAsia" w:ascii="宋体" w:hAnsi="宋体" w:cs="宋体"/>
          <w:szCs w:val="24"/>
        </w:rPr>
        <w:t>（1）由于承包人与其他承包人、专业承包人之间的交叉作业或配合而引起的窝工、停工损失；以及施工作业面移交等原因导致不均衡施工对劳动力需求的变化从而出现的赶工或窝工损失。</w:t>
      </w:r>
    </w:p>
    <w:p w14:paraId="1E951907">
      <w:pPr>
        <w:pStyle w:val="159"/>
        <w:snapToGrid w:val="0"/>
        <w:spacing w:before="143" w:beforeLines="0" w:after="143" w:afterLines="0"/>
        <w:ind w:firstLine="480"/>
        <w:jc w:val="both"/>
        <w:rPr>
          <w:rFonts w:ascii="宋体" w:hAnsi="宋体" w:cs="宋体"/>
          <w:szCs w:val="24"/>
        </w:rPr>
      </w:pPr>
      <w:r>
        <w:rPr>
          <w:rFonts w:hint="eastAsia" w:ascii="宋体" w:hAnsi="宋体" w:cs="宋体"/>
          <w:szCs w:val="24"/>
        </w:rPr>
        <w:t>（2）人工、材料、机械费等变化引起的风险（合同中约定的人工、主材调差除外）。</w:t>
      </w:r>
    </w:p>
    <w:p w14:paraId="34FECC7F">
      <w:pPr>
        <w:pStyle w:val="159"/>
        <w:snapToGrid w:val="0"/>
        <w:spacing w:before="143" w:beforeLines="0" w:after="143" w:afterLines="0"/>
        <w:ind w:firstLine="480"/>
        <w:jc w:val="both"/>
        <w:rPr>
          <w:rFonts w:ascii="宋体" w:hAnsi="宋体" w:cs="宋体"/>
          <w:szCs w:val="24"/>
        </w:rPr>
      </w:pPr>
      <w:r>
        <w:rPr>
          <w:rFonts w:hint="eastAsia" w:ascii="宋体" w:hAnsi="宋体" w:cs="宋体"/>
          <w:szCs w:val="24"/>
        </w:rPr>
        <w:t>（3）本工程由承包人自行深化设计而产生的一切成本及费用，由承包人在投标报价时综合考虑，结算时不另行计取。</w:t>
      </w:r>
    </w:p>
    <w:p w14:paraId="2B938CF9">
      <w:pPr>
        <w:pStyle w:val="159"/>
        <w:snapToGrid w:val="0"/>
        <w:spacing w:before="143" w:beforeLines="0" w:after="143" w:afterLines="0"/>
        <w:ind w:firstLine="480"/>
        <w:jc w:val="both"/>
        <w:rPr>
          <w:rFonts w:ascii="宋体" w:hAnsi="宋体" w:cs="宋体"/>
          <w:szCs w:val="24"/>
        </w:rPr>
      </w:pPr>
      <w:r>
        <w:rPr>
          <w:rFonts w:hint="eastAsia" w:ascii="宋体" w:hAnsi="宋体" w:cs="宋体"/>
          <w:szCs w:val="24"/>
        </w:rPr>
        <w:t>（4）与各专业工程之间的衔接、交叉部位的处理等所发生的一切费用，由于分包人与承包人、其他区段承包人、专业承包人之间的交叉作业或配合而引起的人工和机械的降效损失。</w:t>
      </w:r>
    </w:p>
    <w:p w14:paraId="69275B8B">
      <w:pPr>
        <w:pStyle w:val="159"/>
        <w:snapToGrid w:val="0"/>
        <w:spacing w:before="143" w:beforeLines="0" w:after="143" w:afterLines="0"/>
        <w:ind w:firstLine="480"/>
        <w:jc w:val="both"/>
        <w:rPr>
          <w:rFonts w:ascii="宋体" w:hAnsi="宋体" w:cs="宋体"/>
          <w:szCs w:val="24"/>
        </w:rPr>
      </w:pPr>
      <w:r>
        <w:rPr>
          <w:rFonts w:hint="eastAsia" w:ascii="宋体" w:hAnsi="宋体" w:cs="宋体"/>
          <w:szCs w:val="24"/>
        </w:rPr>
        <w:t>（5）其他本项目存在特殊性因素和施工难点。</w:t>
      </w:r>
    </w:p>
    <w:p w14:paraId="6B366953">
      <w:pPr>
        <w:pStyle w:val="159"/>
        <w:snapToGrid w:val="0"/>
        <w:spacing w:before="143" w:beforeLines="0" w:after="143" w:afterLines="0"/>
        <w:ind w:firstLine="480"/>
        <w:jc w:val="both"/>
        <w:rPr>
          <w:rFonts w:ascii="宋体" w:hAnsi="宋体" w:eastAsia="仿宋" w:cs="宋体"/>
          <w:szCs w:val="24"/>
          <w:u w:val="single"/>
        </w:rPr>
      </w:pPr>
      <w:r>
        <w:rPr>
          <w:rFonts w:hint="eastAsia" w:ascii="宋体" w:hAnsi="宋体" w:cs="宋体"/>
          <w:szCs w:val="24"/>
        </w:rPr>
        <w:t>（6）因市场汇率变化引起风险变化。</w:t>
      </w:r>
    </w:p>
    <w:p w14:paraId="626CE9C2">
      <w:pPr>
        <w:pStyle w:val="159"/>
        <w:spacing w:before="143" w:beforeLines="0" w:after="143" w:afterLines="0"/>
        <w:ind w:firstLine="480"/>
        <w:rPr>
          <w:rFonts w:ascii="宋体" w:hAnsi="宋体" w:cs="宋体"/>
          <w:szCs w:val="24"/>
        </w:rPr>
      </w:pPr>
    </w:p>
    <w:p w14:paraId="455B5A4F">
      <w:pPr>
        <w:pStyle w:val="56"/>
        <w:ind w:firstLine="0" w:firstLineChars="0"/>
        <w:rPr>
          <w:color w:val="000000" w:themeColor="text1"/>
          <w14:textFill>
            <w14:solidFill>
              <w14:schemeClr w14:val="tx1"/>
            </w14:solidFill>
          </w14:textFill>
        </w:rPr>
      </w:pPr>
    </w:p>
    <w:p w14:paraId="16E9DA75">
      <w:pPr>
        <w:pStyle w:val="56"/>
        <w:ind w:firstLine="0" w:firstLineChars="0"/>
        <w:rPr>
          <w:color w:val="000000" w:themeColor="text1"/>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906" w:h="16838"/>
          <w:pgMar w:top="1134" w:right="1701" w:bottom="1134" w:left="1701" w:header="851" w:footer="992" w:gutter="0"/>
          <w:cols w:space="720" w:num="1"/>
          <w:titlePg/>
          <w:docGrid w:linePitch="312" w:charSpace="0"/>
        </w:sectPr>
      </w:pPr>
    </w:p>
    <w:p w14:paraId="7FB27DE0">
      <w:pPr>
        <w:pStyle w:val="3"/>
        <w:rPr>
          <w:rFonts w:ascii="仿宋" w:hAnsi="仿宋" w:eastAsia="仿宋"/>
          <w:color w:val="000000" w:themeColor="text1"/>
          <w:sz w:val="30"/>
          <w:szCs w:val="30"/>
          <w14:textFill>
            <w14:solidFill>
              <w14:schemeClr w14:val="tx1"/>
            </w14:solidFill>
          </w14:textFill>
        </w:rPr>
      </w:pPr>
      <w:bookmarkStart w:id="1183" w:name="_Toc18562"/>
      <w:bookmarkStart w:id="1184" w:name="_Toc31031"/>
      <w:bookmarkStart w:id="1185" w:name="_Toc29522"/>
      <w:bookmarkStart w:id="1186" w:name="_Toc44227954"/>
      <w:bookmarkStart w:id="1187" w:name="_Toc44492631"/>
      <w:bookmarkStart w:id="1188" w:name="_Toc57"/>
      <w:bookmarkStart w:id="1189" w:name="_Toc15731"/>
      <w:bookmarkStart w:id="1190" w:name="_Toc23953"/>
      <w:r>
        <w:rPr>
          <w:rFonts w:hint="eastAsia" w:ascii="仿宋" w:hAnsi="仿宋" w:eastAsia="仿宋"/>
          <w:color w:val="000000" w:themeColor="text1"/>
          <w:sz w:val="30"/>
          <w:szCs w:val="30"/>
          <w14:textFill>
            <w14:solidFill>
              <w14:schemeClr w14:val="tx1"/>
            </w14:solidFill>
          </w14:textFill>
        </w:rPr>
        <w:t>附件</w:t>
      </w: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 xml:space="preserve"> 工程质量保修书</w:t>
      </w:r>
      <w:bookmarkEnd w:id="1183"/>
      <w:bookmarkEnd w:id="1184"/>
      <w:bookmarkEnd w:id="1185"/>
      <w:bookmarkEnd w:id="1186"/>
      <w:bookmarkEnd w:id="1187"/>
      <w:bookmarkEnd w:id="1188"/>
      <w:bookmarkEnd w:id="1189"/>
    </w:p>
    <w:p w14:paraId="5037CB61">
      <w:pPr>
        <w:jc w:val="center"/>
        <w:rPr>
          <w:rFonts w:ascii="仿宋" w:hAnsi="仿宋" w:eastAsia="仿宋"/>
          <w:sz w:val="36"/>
        </w:rPr>
      </w:pPr>
      <w:r>
        <w:rPr>
          <w:rFonts w:hint="eastAsia" w:ascii="仿宋" w:hAnsi="仿宋" w:eastAsia="仿宋"/>
          <w:sz w:val="36"/>
        </w:rPr>
        <w:t>质量保修书</w:t>
      </w:r>
    </w:p>
    <w:p w14:paraId="32A7BBAD">
      <w:pPr>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645808CF">
      <w:pPr>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02F1548B">
      <w:pPr>
        <w:spacing w:line="560" w:lineRule="exact"/>
        <w:ind w:firstLine="480" w:firstLineChars="200"/>
        <w:rPr>
          <w:rFonts w:ascii="仿宋" w:hAnsi="仿宋" w:eastAsia="仿宋" w:cs="仿宋"/>
          <w:szCs w:val="36"/>
        </w:rPr>
      </w:pPr>
      <w:r>
        <w:rPr>
          <w:rFonts w:hint="eastAsia" w:ascii="仿宋" w:hAnsi="仿宋" w:eastAsia="仿宋" w:cs="仿宋"/>
          <w:szCs w:val="36"/>
        </w:rPr>
        <w:t>承包人和分包人根据《中华人民共和国建筑法》和《建设工程质量管理条例》，经协商一致就 广州市天河区珠江新城A3-3（B）地块项目幕墙工程签订工程质量保修书。</w:t>
      </w:r>
    </w:p>
    <w:p w14:paraId="30596C00">
      <w:pPr>
        <w:spacing w:before="221" w:line="222" w:lineRule="auto"/>
        <w:ind w:left="596"/>
        <w:rPr>
          <w:rFonts w:ascii="黑体" w:hAnsi="黑体" w:eastAsia="黑体" w:cs="黑体"/>
          <w:szCs w:val="24"/>
        </w:rPr>
      </w:pPr>
      <w:r>
        <w:rPr>
          <w:rFonts w:ascii="黑体" w:hAnsi="黑体" w:eastAsia="黑体" w:cs="黑体"/>
          <w:spacing w:val="-2"/>
          <w:szCs w:val="24"/>
        </w:rPr>
        <w:t>一、工程质量保修范围和内容</w:t>
      </w:r>
    </w:p>
    <w:p w14:paraId="03D1A2CF">
      <w:pPr>
        <w:spacing w:line="560" w:lineRule="exact"/>
        <w:ind w:firstLine="480" w:firstLineChars="200"/>
        <w:rPr>
          <w:rFonts w:ascii="仿宋" w:hAnsi="仿宋" w:eastAsia="仿宋" w:cs="仿宋"/>
          <w:szCs w:val="36"/>
        </w:rPr>
      </w:pPr>
      <w:r>
        <w:rPr>
          <w:rFonts w:hint="eastAsia" w:ascii="仿宋" w:hAnsi="仿宋" w:eastAsia="仿宋" w:cs="仿宋"/>
          <w:szCs w:val="36"/>
        </w:rPr>
        <w:t>承包人在质量保修期内，按照有关法律规定和合同约定，承担工程质量保修责任。</w:t>
      </w:r>
    </w:p>
    <w:p w14:paraId="04CEB9B5">
      <w:pPr>
        <w:spacing w:line="560" w:lineRule="exact"/>
        <w:ind w:firstLine="480" w:firstLineChars="200"/>
        <w:rPr>
          <w:rFonts w:ascii="仿宋" w:hAnsi="仿宋" w:eastAsia="仿宋" w:cs="仿宋"/>
          <w:szCs w:val="36"/>
        </w:rPr>
      </w:pPr>
      <w:r>
        <w:rPr>
          <w:rFonts w:hint="eastAsia" w:ascii="仿宋" w:hAnsi="仿宋" w:eastAsia="仿宋" w:cs="仿宋"/>
          <w:szCs w:val="36"/>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B84BD0B">
      <w:pPr>
        <w:spacing w:line="560" w:lineRule="exact"/>
        <w:ind w:firstLine="480" w:firstLineChars="200"/>
        <w:rPr>
          <w:rFonts w:ascii="仿宋" w:hAnsi="仿宋" w:eastAsia="仿宋" w:cs="仿宋"/>
          <w:szCs w:val="36"/>
        </w:rPr>
      </w:pPr>
      <w:r>
        <w:rPr>
          <w:rFonts w:hint="eastAsia" w:ascii="仿宋" w:hAnsi="仿宋" w:eastAsia="仿宋" w:cs="仿宋"/>
          <w:szCs w:val="36"/>
          <w:u w:val="single"/>
        </w:rPr>
        <w:t>广州市天河区珠江新城A3-3（B）地块项目幕墙施工合同约定属于分包人承包范围的所有工程内容</w:t>
      </w:r>
      <w:r>
        <w:rPr>
          <w:rFonts w:hint="eastAsia" w:ascii="仿宋" w:hAnsi="仿宋" w:eastAsia="仿宋" w:cs="仿宋"/>
          <w:szCs w:val="36"/>
        </w:rPr>
        <w:t>。</w:t>
      </w:r>
    </w:p>
    <w:p w14:paraId="24293310">
      <w:pPr>
        <w:spacing w:before="221" w:line="222" w:lineRule="auto"/>
        <w:ind w:left="599"/>
        <w:rPr>
          <w:rFonts w:ascii="黑体" w:hAnsi="黑体" w:eastAsia="黑体" w:cs="黑体"/>
          <w:sz w:val="30"/>
          <w:szCs w:val="30"/>
        </w:rPr>
      </w:pPr>
      <w:r>
        <w:rPr>
          <w:rFonts w:ascii="黑体" w:hAnsi="黑体" w:eastAsia="黑体" w:cs="黑体"/>
          <w:spacing w:val="-2"/>
          <w:szCs w:val="24"/>
        </w:rPr>
        <w:t>二、质量保修期</w:t>
      </w:r>
    </w:p>
    <w:p w14:paraId="578A2B8A">
      <w:pPr>
        <w:spacing w:line="560" w:lineRule="exact"/>
        <w:ind w:firstLine="480" w:firstLineChars="200"/>
        <w:rPr>
          <w:rFonts w:ascii="仿宋" w:hAnsi="仿宋" w:eastAsia="仿宋" w:cs="仿宋"/>
          <w:szCs w:val="36"/>
        </w:rPr>
      </w:pPr>
      <w:r>
        <w:rPr>
          <w:rFonts w:hint="eastAsia" w:ascii="仿宋" w:hAnsi="仿宋" w:eastAsia="仿宋" w:cs="仿宋"/>
          <w:szCs w:val="36"/>
        </w:rPr>
        <w:t>根据《建设工程质量管理条例》及有关规定，工程的质量保修期如下：</w:t>
      </w:r>
    </w:p>
    <w:p w14:paraId="307AECB1">
      <w:pPr>
        <w:spacing w:line="560" w:lineRule="exact"/>
        <w:ind w:firstLine="480" w:firstLineChars="200"/>
        <w:rPr>
          <w:rFonts w:ascii="仿宋" w:hAnsi="仿宋" w:eastAsia="仿宋" w:cs="仿宋"/>
          <w:szCs w:val="36"/>
        </w:rPr>
      </w:pPr>
      <w:r>
        <w:rPr>
          <w:rFonts w:hint="eastAsia" w:ascii="仿宋" w:hAnsi="仿宋" w:eastAsia="仿宋" w:cs="仿宋"/>
          <w:szCs w:val="36"/>
        </w:rPr>
        <w:t>1.地基基础工程和主体结构工程为设计文件规定的工程合理使用年限；</w:t>
      </w:r>
    </w:p>
    <w:p w14:paraId="4B00B2A9">
      <w:pPr>
        <w:spacing w:line="560" w:lineRule="exact"/>
        <w:ind w:firstLine="480" w:firstLineChars="200"/>
        <w:rPr>
          <w:rFonts w:ascii="仿宋" w:hAnsi="仿宋" w:eastAsia="仿宋" w:cs="仿宋"/>
          <w:szCs w:val="36"/>
        </w:rPr>
      </w:pPr>
      <w:r>
        <w:rPr>
          <w:rFonts w:hint="eastAsia" w:ascii="仿宋" w:hAnsi="仿宋" w:eastAsia="仿宋" w:cs="仿宋"/>
          <w:szCs w:val="36"/>
        </w:rPr>
        <w:t>2.屋面防水工程、有防水要求的卫生间、房间和外墙面的防渗为</w:t>
      </w:r>
      <w:r>
        <w:rPr>
          <w:rFonts w:hint="eastAsia" w:ascii="仿宋" w:hAnsi="仿宋" w:eastAsia="仿宋" w:cs="仿宋"/>
          <w:szCs w:val="36"/>
          <w:u w:val="single"/>
        </w:rPr>
        <w:t>五</w:t>
      </w:r>
      <w:r>
        <w:rPr>
          <w:rFonts w:hint="eastAsia" w:ascii="仿宋" w:hAnsi="仿宋" w:eastAsia="仿宋" w:cs="仿宋"/>
          <w:szCs w:val="36"/>
        </w:rPr>
        <w:t>年；</w:t>
      </w:r>
    </w:p>
    <w:p w14:paraId="178F596D">
      <w:pPr>
        <w:spacing w:line="560" w:lineRule="exact"/>
        <w:ind w:firstLine="480" w:firstLineChars="200"/>
        <w:rPr>
          <w:rFonts w:ascii="仿宋" w:hAnsi="仿宋" w:eastAsia="仿宋" w:cs="仿宋"/>
          <w:szCs w:val="36"/>
        </w:rPr>
      </w:pPr>
      <w:r>
        <w:rPr>
          <w:rFonts w:hint="eastAsia" w:ascii="仿宋" w:hAnsi="仿宋" w:eastAsia="仿宋" w:cs="仿宋"/>
          <w:szCs w:val="36"/>
        </w:rPr>
        <w:t>3.装修工程为</w:t>
      </w:r>
      <w:r>
        <w:rPr>
          <w:rFonts w:hint="eastAsia" w:ascii="仿宋" w:hAnsi="仿宋" w:eastAsia="仿宋" w:cs="仿宋"/>
          <w:szCs w:val="36"/>
          <w:u w:val="single"/>
        </w:rPr>
        <w:t>二</w:t>
      </w:r>
      <w:r>
        <w:rPr>
          <w:rFonts w:hint="eastAsia" w:ascii="仿宋" w:hAnsi="仿宋" w:eastAsia="仿宋" w:cs="仿宋"/>
          <w:szCs w:val="36"/>
        </w:rPr>
        <w:t>年；</w:t>
      </w:r>
    </w:p>
    <w:p w14:paraId="40E3DBD5">
      <w:pPr>
        <w:spacing w:line="560" w:lineRule="exact"/>
        <w:ind w:firstLine="480" w:firstLineChars="200"/>
        <w:rPr>
          <w:rFonts w:ascii="仿宋" w:hAnsi="仿宋" w:eastAsia="仿宋" w:cs="仿宋"/>
          <w:szCs w:val="36"/>
        </w:rPr>
      </w:pPr>
      <w:r>
        <w:rPr>
          <w:rFonts w:hint="eastAsia" w:ascii="仿宋" w:hAnsi="仿宋" w:eastAsia="仿宋" w:cs="仿宋"/>
          <w:szCs w:val="36"/>
        </w:rPr>
        <w:t>4.电气管线、给排水管道、设备安装工程为</w:t>
      </w:r>
      <w:r>
        <w:rPr>
          <w:rFonts w:hint="eastAsia" w:ascii="仿宋" w:hAnsi="仿宋" w:eastAsia="仿宋" w:cs="仿宋"/>
          <w:szCs w:val="36"/>
          <w:u w:val="single"/>
        </w:rPr>
        <w:t xml:space="preserve"> 二 </w:t>
      </w:r>
      <w:r>
        <w:rPr>
          <w:rFonts w:hint="eastAsia" w:ascii="仿宋" w:hAnsi="仿宋" w:eastAsia="仿宋" w:cs="仿宋"/>
          <w:szCs w:val="36"/>
        </w:rPr>
        <w:t>年；</w:t>
      </w:r>
    </w:p>
    <w:p w14:paraId="7FD91AF0">
      <w:pPr>
        <w:spacing w:line="560" w:lineRule="exact"/>
        <w:ind w:firstLine="480" w:firstLineChars="200"/>
        <w:rPr>
          <w:rFonts w:ascii="仿宋" w:hAnsi="仿宋" w:eastAsia="仿宋" w:cs="仿宋"/>
          <w:szCs w:val="36"/>
        </w:rPr>
      </w:pPr>
      <w:r>
        <w:rPr>
          <w:rFonts w:hint="eastAsia" w:ascii="仿宋" w:hAnsi="仿宋" w:eastAsia="仿宋" w:cs="仿宋"/>
          <w:szCs w:val="36"/>
        </w:rPr>
        <w:t>5.供热与供冷系统为</w:t>
      </w:r>
      <w:r>
        <w:rPr>
          <w:rFonts w:hint="eastAsia" w:ascii="仿宋" w:hAnsi="仿宋" w:eastAsia="仿宋" w:cs="仿宋"/>
          <w:szCs w:val="36"/>
          <w:u w:val="single"/>
        </w:rPr>
        <w:t>二</w:t>
      </w:r>
      <w:r>
        <w:rPr>
          <w:rFonts w:hint="eastAsia" w:ascii="仿宋" w:hAnsi="仿宋" w:eastAsia="仿宋" w:cs="仿宋"/>
          <w:szCs w:val="36"/>
        </w:rPr>
        <w:t>个采暖期、供冷期；</w:t>
      </w:r>
    </w:p>
    <w:p w14:paraId="798B56A9">
      <w:pPr>
        <w:spacing w:line="560" w:lineRule="exact"/>
        <w:ind w:firstLine="480" w:firstLineChars="200"/>
        <w:rPr>
          <w:rFonts w:ascii="仿宋" w:hAnsi="仿宋" w:eastAsia="仿宋" w:cs="仿宋"/>
          <w:szCs w:val="36"/>
        </w:rPr>
      </w:pPr>
      <w:r>
        <w:rPr>
          <w:rFonts w:hint="eastAsia" w:ascii="仿宋" w:hAnsi="仿宋" w:eastAsia="仿宋" w:cs="仿宋"/>
          <w:szCs w:val="36"/>
        </w:rPr>
        <w:t>6.住宅小区内的给排水设施 、道路等配套工程为</w:t>
      </w:r>
      <w:r>
        <w:rPr>
          <w:rFonts w:hint="eastAsia" w:ascii="仿宋" w:hAnsi="仿宋" w:eastAsia="仿宋" w:cs="仿宋"/>
          <w:szCs w:val="36"/>
          <w:u w:val="single"/>
        </w:rPr>
        <w:t xml:space="preserve"> 二</w:t>
      </w:r>
      <w:r>
        <w:rPr>
          <w:rFonts w:hint="eastAsia" w:ascii="仿宋" w:hAnsi="仿宋" w:eastAsia="仿宋" w:cs="仿宋"/>
          <w:szCs w:val="36"/>
        </w:rPr>
        <w:t>年；</w:t>
      </w:r>
    </w:p>
    <w:p w14:paraId="3DE3E355">
      <w:pPr>
        <w:spacing w:line="560" w:lineRule="exact"/>
        <w:ind w:firstLine="480" w:firstLineChars="200"/>
        <w:rPr>
          <w:rFonts w:ascii="仿宋" w:hAnsi="仿宋" w:eastAsia="仿宋" w:cs="仿宋"/>
          <w:szCs w:val="36"/>
        </w:rPr>
      </w:pPr>
      <w:r>
        <w:rPr>
          <w:rFonts w:hint="eastAsia" w:ascii="仿宋" w:hAnsi="仿宋" w:eastAsia="仿宋" w:cs="仿宋"/>
          <w:szCs w:val="36"/>
        </w:rPr>
        <w:t>7.其他项目保修期限约定如下：</w:t>
      </w:r>
      <w:r>
        <w:rPr>
          <w:rFonts w:hint="eastAsia" w:ascii="仿宋" w:hAnsi="仿宋" w:eastAsia="仿宋" w:cs="仿宋"/>
          <w:szCs w:val="36"/>
          <w:u w:val="single"/>
        </w:rPr>
        <w:t xml:space="preserve"> 二 </w:t>
      </w:r>
      <w:r>
        <w:rPr>
          <w:rFonts w:hint="eastAsia" w:ascii="仿宋" w:hAnsi="仿宋" w:eastAsia="仿宋" w:cs="仿宋"/>
          <w:szCs w:val="36"/>
        </w:rPr>
        <w:t>年。</w:t>
      </w:r>
    </w:p>
    <w:p w14:paraId="58FEA672">
      <w:pPr>
        <w:spacing w:line="560" w:lineRule="exact"/>
        <w:ind w:firstLine="480" w:firstLineChars="200"/>
        <w:rPr>
          <w:rFonts w:ascii="仿宋" w:hAnsi="仿宋" w:eastAsia="仿宋" w:cs="仿宋"/>
          <w:sz w:val="30"/>
          <w:szCs w:val="30"/>
        </w:rPr>
      </w:pPr>
      <w:r>
        <w:rPr>
          <w:rFonts w:hint="eastAsia" w:ascii="仿宋" w:hAnsi="仿宋" w:eastAsia="仿宋" w:cs="仿宋"/>
          <w:szCs w:val="36"/>
        </w:rPr>
        <w:t>质量保修期自工程竣工验收合格之日起计算</w:t>
      </w:r>
      <w:r>
        <w:rPr>
          <w:rFonts w:ascii="仿宋" w:hAnsi="仿宋" w:eastAsia="仿宋" w:cs="仿宋"/>
          <w:spacing w:val="-2"/>
          <w:sz w:val="30"/>
          <w:szCs w:val="30"/>
        </w:rPr>
        <w:t>。</w:t>
      </w:r>
    </w:p>
    <w:p w14:paraId="1833BA92">
      <w:pPr>
        <w:spacing w:before="225" w:line="221" w:lineRule="auto"/>
        <w:ind w:left="590"/>
        <w:rPr>
          <w:rFonts w:ascii="黑体" w:hAnsi="黑体" w:eastAsia="黑体" w:cs="黑体"/>
          <w:sz w:val="30"/>
          <w:szCs w:val="30"/>
        </w:rPr>
      </w:pPr>
      <w:r>
        <w:rPr>
          <w:rFonts w:ascii="黑体" w:hAnsi="黑体" w:eastAsia="黑体" w:cs="黑体"/>
          <w:spacing w:val="-2"/>
          <w:szCs w:val="24"/>
        </w:rPr>
        <w:t>三、缺陷责任期</w:t>
      </w:r>
    </w:p>
    <w:p w14:paraId="59F8B07B">
      <w:pPr>
        <w:spacing w:line="560" w:lineRule="exact"/>
        <w:ind w:firstLine="480" w:firstLineChars="200"/>
        <w:rPr>
          <w:rFonts w:ascii="仿宋" w:hAnsi="仿宋" w:eastAsia="仿宋" w:cs="仿宋"/>
          <w:szCs w:val="36"/>
        </w:rPr>
      </w:pPr>
      <w:r>
        <w:rPr>
          <w:rFonts w:hint="eastAsia" w:ascii="仿宋" w:hAnsi="仿宋" w:eastAsia="仿宋" w:cs="仿宋"/>
          <w:szCs w:val="36"/>
        </w:rPr>
        <w:t>工程缺陷责任期为</w:t>
      </w:r>
      <w:r>
        <w:rPr>
          <w:rFonts w:hint="eastAsia" w:ascii="仿宋" w:hAnsi="仿宋" w:eastAsia="仿宋" w:cs="仿宋"/>
          <w:szCs w:val="36"/>
          <w:u w:val="single"/>
        </w:rPr>
        <w:t xml:space="preserve"> 24 </w:t>
      </w:r>
      <w:r>
        <w:rPr>
          <w:rFonts w:hint="eastAsia" w:ascii="仿宋" w:hAnsi="仿宋" w:eastAsia="仿宋" w:cs="仿宋"/>
          <w:szCs w:val="36"/>
        </w:rPr>
        <w:t>个月，缺陷责任期自工程通过竣工验收之日起计算。单位工程先于全部工程进行验收，单位工程缺陷责任期自单位工程验收合格之日起算。</w:t>
      </w:r>
    </w:p>
    <w:p w14:paraId="7ECC64A9">
      <w:pPr>
        <w:spacing w:line="560" w:lineRule="exact"/>
        <w:ind w:firstLine="480" w:firstLineChars="200"/>
        <w:rPr>
          <w:rFonts w:ascii="仿宋" w:hAnsi="仿宋" w:eastAsia="仿宋" w:cs="仿宋"/>
          <w:szCs w:val="36"/>
        </w:rPr>
      </w:pPr>
      <w:r>
        <w:rPr>
          <w:rFonts w:hint="eastAsia" w:ascii="仿宋" w:hAnsi="仿宋" w:eastAsia="仿宋" w:cs="仿宋"/>
          <w:szCs w:val="36"/>
        </w:rPr>
        <w:t>缺陷责任期终止后，建设单位应无息退还剩余的质量保证金。承包人提交与质量保证金等额的保函（保险）的，缺陷责任期终止后退回。</w:t>
      </w:r>
    </w:p>
    <w:p w14:paraId="5E93087A">
      <w:pPr>
        <w:spacing w:before="224" w:line="221" w:lineRule="auto"/>
        <w:ind w:left="602"/>
        <w:rPr>
          <w:rFonts w:ascii="黑体" w:hAnsi="黑体" w:eastAsia="黑体" w:cs="黑体"/>
          <w:sz w:val="30"/>
          <w:szCs w:val="30"/>
        </w:rPr>
      </w:pPr>
      <w:r>
        <w:rPr>
          <w:rFonts w:ascii="黑体" w:hAnsi="黑体" w:eastAsia="黑体" w:cs="黑体"/>
          <w:spacing w:val="-2"/>
          <w:szCs w:val="24"/>
        </w:rPr>
        <w:t>四、质量保修责任</w:t>
      </w:r>
    </w:p>
    <w:p w14:paraId="095B6384">
      <w:pPr>
        <w:spacing w:line="560" w:lineRule="exact"/>
        <w:ind w:firstLine="480" w:firstLineChars="200"/>
        <w:rPr>
          <w:rFonts w:ascii="仿宋" w:hAnsi="仿宋" w:eastAsia="仿宋" w:cs="仿宋"/>
          <w:szCs w:val="36"/>
        </w:rPr>
      </w:pPr>
      <w:r>
        <w:rPr>
          <w:rFonts w:hint="eastAsia" w:ascii="仿宋" w:hAnsi="仿宋" w:eastAsia="仿宋" w:cs="仿宋"/>
          <w:szCs w:val="36"/>
        </w:rPr>
        <w:t>1.属于保修范围、内容的项目，承包人应当在接到保修通知之日起</w:t>
      </w:r>
      <w:r>
        <w:rPr>
          <w:rFonts w:hint="eastAsia" w:ascii="仿宋" w:hAnsi="仿宋" w:eastAsia="仿宋" w:cs="仿宋"/>
          <w:szCs w:val="36"/>
          <w:u w:val="single"/>
        </w:rPr>
        <w:t xml:space="preserve"> 7 </w:t>
      </w:r>
      <w:r>
        <w:rPr>
          <w:rFonts w:hint="eastAsia" w:ascii="仿宋" w:hAnsi="仿宋" w:eastAsia="仿宋" w:cs="仿宋"/>
          <w:szCs w:val="36"/>
        </w:rPr>
        <w:t>天内派人保修。承包人不在约定期限内派人保修的，发包人可以委托他人修理。</w:t>
      </w:r>
    </w:p>
    <w:p w14:paraId="2DE34B78">
      <w:pPr>
        <w:spacing w:line="560" w:lineRule="exact"/>
        <w:ind w:firstLine="480" w:firstLineChars="200"/>
        <w:rPr>
          <w:rFonts w:ascii="仿宋" w:hAnsi="仿宋" w:eastAsia="仿宋" w:cs="仿宋"/>
          <w:szCs w:val="36"/>
        </w:rPr>
      </w:pPr>
      <w:r>
        <w:rPr>
          <w:rFonts w:hint="eastAsia" w:ascii="仿宋" w:hAnsi="仿宋" w:eastAsia="仿宋" w:cs="仿宋"/>
          <w:szCs w:val="36"/>
        </w:rPr>
        <w:t>2.发生紧急事故需抢修的，承包人在接到事故通知后，应当立即到达事故现场抢修。</w:t>
      </w:r>
    </w:p>
    <w:p w14:paraId="7AD92861">
      <w:pPr>
        <w:spacing w:line="560" w:lineRule="exact"/>
        <w:ind w:firstLine="480" w:firstLineChars="200"/>
        <w:rPr>
          <w:rFonts w:ascii="仿宋" w:hAnsi="仿宋" w:eastAsia="仿宋" w:cs="仿宋"/>
          <w:szCs w:val="36"/>
        </w:rPr>
      </w:pPr>
      <w:r>
        <w:rPr>
          <w:rFonts w:hint="eastAsia" w:ascii="仿宋" w:hAnsi="仿宋" w:eastAsia="仿宋" w:cs="仿宋"/>
          <w:szCs w:val="36"/>
        </w:rPr>
        <w:t>3.对于涉及结构安全的质量问题，应当按照《建设工程质量管理条例》的规定，立即向当地建设行政主管部门和有关部门报告， 采取安全防范措施，并由原设计人或者具有相应资质等级的设计人提出保修方案，承包人实施保修。</w:t>
      </w:r>
    </w:p>
    <w:p w14:paraId="59325B16">
      <w:pPr>
        <w:spacing w:line="560" w:lineRule="exact"/>
        <w:ind w:firstLine="480" w:firstLineChars="200"/>
        <w:rPr>
          <w:rFonts w:ascii="仿宋" w:hAnsi="仿宋" w:eastAsia="仿宋" w:cs="仿宋"/>
          <w:sz w:val="30"/>
          <w:szCs w:val="30"/>
        </w:rPr>
      </w:pPr>
      <w:r>
        <w:rPr>
          <w:rFonts w:hint="eastAsia" w:ascii="仿宋" w:hAnsi="仿宋" w:eastAsia="仿宋" w:cs="仿宋"/>
          <w:szCs w:val="36"/>
        </w:rPr>
        <w:t>4.质量保修完成后，由发包人组织验收。</w:t>
      </w:r>
    </w:p>
    <w:p w14:paraId="29D0BF63">
      <w:pPr>
        <w:spacing w:line="560" w:lineRule="exact"/>
        <w:ind w:firstLine="472" w:firstLineChars="200"/>
        <w:rPr>
          <w:rFonts w:ascii="黑体" w:hAnsi="黑体" w:eastAsia="黑体" w:cs="黑体"/>
          <w:sz w:val="30"/>
          <w:szCs w:val="30"/>
        </w:rPr>
      </w:pPr>
      <w:r>
        <w:rPr>
          <w:rFonts w:ascii="黑体" w:hAnsi="黑体" w:eastAsia="黑体" w:cs="黑体"/>
          <w:spacing w:val="-2"/>
          <w:szCs w:val="24"/>
        </w:rPr>
        <w:t>五、保修费用</w:t>
      </w:r>
    </w:p>
    <w:p w14:paraId="43F4CCE6">
      <w:pPr>
        <w:spacing w:line="560" w:lineRule="exact"/>
        <w:ind w:firstLine="480" w:firstLineChars="200"/>
        <w:rPr>
          <w:rFonts w:ascii="仿宋" w:hAnsi="仿宋" w:eastAsia="仿宋" w:cs="仿宋"/>
          <w:spacing w:val="-2"/>
          <w:sz w:val="30"/>
          <w:szCs w:val="30"/>
        </w:rPr>
      </w:pPr>
      <w:r>
        <w:rPr>
          <w:rFonts w:hint="eastAsia" w:ascii="仿宋" w:hAnsi="仿宋" w:eastAsia="仿宋" w:cs="仿宋"/>
          <w:szCs w:val="36"/>
        </w:rPr>
        <w:t>保修费用由造成质量缺陷的责任方承担。</w:t>
      </w:r>
    </w:p>
    <w:p w14:paraId="1ADBE9B5">
      <w:pPr>
        <w:spacing w:line="560" w:lineRule="exact"/>
        <w:ind w:firstLine="472" w:firstLineChars="200"/>
        <w:rPr>
          <w:rFonts w:ascii="仿宋" w:hAnsi="仿宋" w:eastAsia="仿宋" w:cs="仿宋"/>
          <w:sz w:val="30"/>
          <w:szCs w:val="30"/>
        </w:rPr>
      </w:pPr>
      <w:r>
        <w:rPr>
          <w:rFonts w:ascii="黑体" w:hAnsi="黑体" w:eastAsia="黑体" w:cs="黑体"/>
          <w:spacing w:val="-2"/>
          <w:szCs w:val="24"/>
        </w:rPr>
        <w:t>六、双方约定的其他工程质量保修事项：</w:t>
      </w:r>
      <w:r>
        <w:rPr>
          <w:rFonts w:ascii="黑体" w:hAnsi="黑体" w:eastAsia="黑体" w:cs="黑体"/>
          <w:spacing w:val="-2"/>
          <w:szCs w:val="24"/>
          <w:u w:val="single"/>
        </w:rPr>
        <w:t xml:space="preserve">  /  </w:t>
      </w:r>
      <w:r>
        <w:rPr>
          <w:rFonts w:ascii="黑体" w:hAnsi="黑体" w:eastAsia="黑体" w:cs="黑体"/>
          <w:spacing w:val="-2"/>
          <w:szCs w:val="24"/>
        </w:rPr>
        <w:t>。</w:t>
      </w:r>
    </w:p>
    <w:p w14:paraId="67BEA7C2">
      <w:pPr>
        <w:spacing w:line="560" w:lineRule="exact"/>
        <w:ind w:firstLine="480" w:firstLineChars="200"/>
        <w:rPr>
          <w:rFonts w:ascii="仿宋" w:hAnsi="仿宋" w:eastAsia="仿宋" w:cs="仿宋"/>
          <w:szCs w:val="36"/>
        </w:rPr>
      </w:pPr>
      <w:r>
        <w:rPr>
          <w:rFonts w:hint="eastAsia" w:ascii="仿宋" w:hAnsi="仿宋" w:eastAsia="仿宋" w:cs="仿宋"/>
          <w:szCs w:val="36"/>
        </w:rPr>
        <w:t>工程质量保修书由承包人、分包人在工程竣工验收前共同签署，作为施工合同附件，其有效期限至保修期满。</w:t>
      </w:r>
    </w:p>
    <w:p w14:paraId="0E1C8249">
      <w:pPr>
        <w:pStyle w:val="16"/>
        <w:spacing w:line="337" w:lineRule="auto"/>
        <w:ind w:right="72"/>
      </w:pPr>
    </w:p>
    <w:p w14:paraId="50648A72">
      <w:pPr>
        <w:pStyle w:val="16"/>
        <w:spacing w:line="337" w:lineRule="auto"/>
        <w:ind w:right="72"/>
      </w:pPr>
    </w:p>
    <w:p w14:paraId="549743CC">
      <w:pPr>
        <w:pStyle w:val="16"/>
        <w:spacing w:line="337" w:lineRule="auto"/>
        <w:ind w:right="72"/>
      </w:pPr>
    </w:p>
    <w:p w14:paraId="33FF3771">
      <w:pPr>
        <w:spacing w:before="97" w:line="359" w:lineRule="auto"/>
        <w:ind w:right="305" w:firstLine="11"/>
        <w:rPr>
          <w:rFonts w:ascii="仿宋" w:hAnsi="仿宋" w:eastAsia="仿宋" w:cs="仿宋"/>
          <w:spacing w:val="-3"/>
          <w:szCs w:val="24"/>
        </w:rPr>
      </w:pPr>
      <w:r>
        <w:rPr>
          <w:rFonts w:hint="eastAsia" w:ascii="仿宋" w:hAnsi="仿宋" w:eastAsia="仿宋" w:cs="仿宋"/>
          <w:spacing w:val="-2"/>
          <w:szCs w:val="24"/>
        </w:rPr>
        <w:t>承包人(公章)：</w:t>
      </w:r>
      <w:r>
        <w:rPr>
          <w:rFonts w:ascii="仿宋" w:hAnsi="仿宋" w:eastAsia="仿宋" w:cs="仿宋"/>
          <w:spacing w:val="5"/>
          <w:szCs w:val="24"/>
          <w:u w:val="single"/>
        </w:rPr>
        <w:t xml:space="preserve">             </w:t>
      </w:r>
      <w:r>
        <w:rPr>
          <w:rFonts w:ascii="仿宋" w:hAnsi="仿宋" w:eastAsia="仿宋" w:cs="仿宋"/>
          <w:spacing w:val="-2"/>
          <w:szCs w:val="24"/>
        </w:rPr>
        <w:t xml:space="preserve"> </w:t>
      </w:r>
      <w:r>
        <w:rPr>
          <w:rFonts w:hint="eastAsia" w:ascii="仿宋" w:hAnsi="仿宋" w:eastAsia="仿宋" w:cs="仿宋"/>
          <w:spacing w:val="-2"/>
          <w:szCs w:val="24"/>
        </w:rPr>
        <w:t xml:space="preserve">         分</w:t>
      </w:r>
      <w:r>
        <w:rPr>
          <w:rFonts w:ascii="仿宋" w:hAnsi="仿宋" w:eastAsia="仿宋" w:cs="仿宋"/>
          <w:spacing w:val="-2"/>
          <w:szCs w:val="24"/>
        </w:rPr>
        <w:t>包人</w:t>
      </w:r>
      <w:r>
        <w:rPr>
          <w:rFonts w:eastAsia="Calibri" w:cs="Calibri"/>
          <w:spacing w:val="-2"/>
          <w:szCs w:val="24"/>
        </w:rPr>
        <w:t>(</w:t>
      </w:r>
      <w:r>
        <w:rPr>
          <w:rFonts w:ascii="仿宋" w:hAnsi="仿宋" w:eastAsia="仿宋" w:cs="仿宋"/>
          <w:spacing w:val="-2"/>
          <w:szCs w:val="24"/>
        </w:rPr>
        <w:t>公章</w:t>
      </w:r>
      <w:r>
        <w:rPr>
          <w:rFonts w:eastAsia="Calibri" w:cs="Calibri"/>
          <w:spacing w:val="-2"/>
          <w:szCs w:val="24"/>
        </w:rPr>
        <w:t>)</w:t>
      </w:r>
      <w:r>
        <w:rPr>
          <w:rFonts w:ascii="仿宋" w:hAnsi="仿宋" w:eastAsia="仿宋" w:cs="仿宋"/>
          <w:spacing w:val="-2"/>
          <w:szCs w:val="24"/>
        </w:rPr>
        <w:t>：</w:t>
      </w:r>
      <w:r>
        <w:rPr>
          <w:rFonts w:ascii="仿宋" w:hAnsi="仿宋" w:eastAsia="仿宋" w:cs="仿宋"/>
          <w:spacing w:val="-2"/>
          <w:szCs w:val="24"/>
          <w:u w:val="single"/>
        </w:rPr>
        <w:t xml:space="preserve">            </w:t>
      </w:r>
      <w:r>
        <w:rPr>
          <w:rFonts w:ascii="仿宋" w:hAnsi="仿宋" w:eastAsia="仿宋" w:cs="仿宋"/>
          <w:spacing w:val="-3"/>
          <w:szCs w:val="24"/>
          <w:u w:val="single"/>
        </w:rPr>
        <w:t xml:space="preserve">   </w:t>
      </w:r>
      <w:r>
        <w:rPr>
          <w:rFonts w:ascii="仿宋" w:hAnsi="仿宋" w:eastAsia="仿宋" w:cs="仿宋"/>
          <w:spacing w:val="-3"/>
          <w:szCs w:val="24"/>
        </w:rPr>
        <w:t xml:space="preserve">  </w:t>
      </w:r>
    </w:p>
    <w:p w14:paraId="3593E1AD">
      <w:pPr>
        <w:spacing w:before="97" w:line="359" w:lineRule="auto"/>
        <w:ind w:right="305" w:firstLine="11"/>
        <w:rPr>
          <w:rFonts w:ascii="仿宋" w:hAnsi="仿宋" w:eastAsia="仿宋" w:cs="仿宋"/>
          <w:spacing w:val="4"/>
          <w:szCs w:val="24"/>
        </w:rPr>
      </w:pPr>
      <w:r>
        <w:rPr>
          <w:rFonts w:ascii="仿宋" w:hAnsi="仿宋" w:eastAsia="仿宋" w:cs="仿宋"/>
          <w:spacing w:val="-8"/>
          <w:szCs w:val="24"/>
        </w:rPr>
        <w:t>地</w:t>
      </w:r>
      <w:r>
        <w:rPr>
          <w:rFonts w:ascii="仿宋" w:hAnsi="仿宋" w:eastAsia="仿宋" w:cs="仿宋"/>
          <w:spacing w:val="12"/>
          <w:szCs w:val="24"/>
        </w:rPr>
        <w:t xml:space="preserve">  </w:t>
      </w:r>
      <w:r>
        <w:rPr>
          <w:rFonts w:ascii="仿宋" w:hAnsi="仿宋" w:eastAsia="仿宋" w:cs="仿宋"/>
          <w:spacing w:val="-8"/>
          <w:szCs w:val="24"/>
        </w:rPr>
        <w:t>址：</w:t>
      </w:r>
      <w:r>
        <w:rPr>
          <w:rFonts w:ascii="仿宋" w:hAnsi="仿宋" w:eastAsia="仿宋" w:cs="仿宋"/>
          <w:spacing w:val="-8"/>
          <w:szCs w:val="24"/>
          <w:u w:val="single"/>
        </w:rPr>
        <w:t xml:space="preserve">                    </w:t>
      </w:r>
      <w:r>
        <w:rPr>
          <w:rFonts w:ascii="仿宋" w:hAnsi="仿宋" w:eastAsia="仿宋" w:cs="仿宋"/>
          <w:spacing w:val="-9"/>
          <w:szCs w:val="24"/>
        </w:rPr>
        <w:t xml:space="preserve"> </w:t>
      </w:r>
      <w:r>
        <w:rPr>
          <w:rFonts w:hint="eastAsia" w:ascii="仿宋" w:hAnsi="仿宋" w:eastAsia="仿宋" w:cs="仿宋"/>
          <w:spacing w:val="-9"/>
          <w:szCs w:val="24"/>
        </w:rPr>
        <w:t xml:space="preserve">             </w:t>
      </w:r>
      <w:r>
        <w:rPr>
          <w:rFonts w:ascii="仿宋" w:hAnsi="仿宋" w:eastAsia="仿宋" w:cs="仿宋"/>
          <w:spacing w:val="-9"/>
          <w:szCs w:val="24"/>
        </w:rPr>
        <w:t>地</w:t>
      </w:r>
      <w:r>
        <w:rPr>
          <w:rFonts w:ascii="仿宋" w:hAnsi="仿宋" w:eastAsia="仿宋" w:cs="仿宋"/>
          <w:spacing w:val="13"/>
          <w:szCs w:val="24"/>
        </w:rPr>
        <w:t xml:space="preserve">  </w:t>
      </w:r>
      <w:r>
        <w:rPr>
          <w:rFonts w:ascii="仿宋" w:hAnsi="仿宋" w:eastAsia="仿宋" w:cs="仿宋"/>
          <w:spacing w:val="-9"/>
          <w:szCs w:val="24"/>
        </w:rPr>
        <w:t>址：</w:t>
      </w:r>
      <w:r>
        <w:rPr>
          <w:rFonts w:ascii="仿宋" w:hAnsi="仿宋" w:eastAsia="仿宋" w:cs="仿宋"/>
          <w:spacing w:val="3"/>
          <w:szCs w:val="24"/>
          <w:u w:val="single"/>
        </w:rPr>
        <w:t xml:space="preserve">                    </w:t>
      </w:r>
      <w:r>
        <w:rPr>
          <w:rFonts w:ascii="仿宋" w:hAnsi="仿宋" w:eastAsia="仿宋" w:cs="仿宋"/>
          <w:spacing w:val="4"/>
          <w:szCs w:val="24"/>
        </w:rPr>
        <w:t xml:space="preserve">  </w:t>
      </w:r>
    </w:p>
    <w:p w14:paraId="29800AD6">
      <w:pPr>
        <w:spacing w:before="97" w:line="359" w:lineRule="auto"/>
        <w:ind w:right="305" w:firstLine="11"/>
        <w:rPr>
          <w:rFonts w:ascii="仿宋" w:hAnsi="仿宋" w:eastAsia="仿宋" w:cs="仿宋"/>
          <w:szCs w:val="24"/>
        </w:rPr>
      </w:pPr>
      <w:r>
        <w:rPr>
          <w:rFonts w:ascii="仿宋" w:hAnsi="仿宋" w:eastAsia="仿宋" w:cs="仿宋"/>
          <w:szCs w:val="24"/>
        </w:rPr>
        <w:t>法定代表人</w:t>
      </w:r>
      <w:r>
        <w:rPr>
          <w:rFonts w:eastAsia="Calibri" w:cs="Calibri"/>
          <w:szCs w:val="24"/>
        </w:rPr>
        <w:t>(</w:t>
      </w:r>
      <w:r>
        <w:rPr>
          <w:rFonts w:ascii="仿宋" w:hAnsi="仿宋" w:eastAsia="仿宋" w:cs="仿宋"/>
          <w:szCs w:val="24"/>
        </w:rPr>
        <w:t>签字</w:t>
      </w:r>
      <w:r>
        <w:rPr>
          <w:rFonts w:eastAsia="Calibri" w:cs="Calibri"/>
          <w:szCs w:val="24"/>
        </w:rPr>
        <w:t>)</w:t>
      </w:r>
      <w:r>
        <w:rPr>
          <w:rFonts w:ascii="仿宋" w:hAnsi="仿宋" w:eastAsia="仿宋" w:cs="仿宋"/>
          <w:szCs w:val="24"/>
        </w:rPr>
        <w:t>：</w:t>
      </w:r>
      <w:r>
        <w:rPr>
          <w:rFonts w:ascii="仿宋" w:hAnsi="仿宋" w:eastAsia="仿宋" w:cs="仿宋"/>
          <w:szCs w:val="24"/>
          <w:u w:val="single"/>
        </w:rPr>
        <w:t xml:space="preserve">          </w:t>
      </w:r>
      <w:r>
        <w:rPr>
          <w:rFonts w:ascii="仿宋" w:hAnsi="仿宋" w:eastAsia="仿宋" w:cs="仿宋"/>
          <w:szCs w:val="24"/>
        </w:rPr>
        <w:t xml:space="preserve"> </w:t>
      </w:r>
      <w:r>
        <w:rPr>
          <w:rFonts w:hint="eastAsia" w:ascii="仿宋" w:hAnsi="仿宋" w:eastAsia="仿宋" w:cs="仿宋"/>
          <w:szCs w:val="24"/>
        </w:rPr>
        <w:t xml:space="preserve">         </w:t>
      </w:r>
      <w:r>
        <w:rPr>
          <w:rFonts w:ascii="仿宋" w:hAnsi="仿宋" w:eastAsia="仿宋" w:cs="仿宋"/>
          <w:szCs w:val="24"/>
        </w:rPr>
        <w:t>法定代</w:t>
      </w:r>
      <w:r>
        <w:rPr>
          <w:rFonts w:ascii="仿宋" w:hAnsi="仿宋" w:eastAsia="仿宋" w:cs="仿宋"/>
          <w:spacing w:val="-1"/>
          <w:szCs w:val="24"/>
        </w:rPr>
        <w:t>表人</w:t>
      </w:r>
      <w:r>
        <w:rPr>
          <w:rFonts w:eastAsia="Calibri" w:cs="Calibri"/>
          <w:spacing w:val="-1"/>
          <w:szCs w:val="24"/>
        </w:rPr>
        <w:t>(</w:t>
      </w:r>
      <w:r>
        <w:rPr>
          <w:rFonts w:ascii="仿宋" w:hAnsi="仿宋" w:eastAsia="仿宋" w:cs="仿宋"/>
          <w:spacing w:val="-1"/>
          <w:szCs w:val="24"/>
        </w:rPr>
        <w:t>签字</w:t>
      </w:r>
      <w:r>
        <w:rPr>
          <w:rFonts w:eastAsia="Calibri" w:cs="Calibri"/>
          <w:spacing w:val="-1"/>
          <w:szCs w:val="24"/>
        </w:rPr>
        <w:t>)</w:t>
      </w:r>
      <w:r>
        <w:rPr>
          <w:rFonts w:ascii="仿宋" w:hAnsi="仿宋" w:eastAsia="仿宋" w:cs="仿宋"/>
          <w:spacing w:val="-1"/>
          <w:szCs w:val="24"/>
        </w:rPr>
        <w:t>：</w:t>
      </w:r>
      <w:r>
        <w:rPr>
          <w:rFonts w:ascii="仿宋" w:hAnsi="仿宋" w:eastAsia="仿宋" w:cs="仿宋"/>
          <w:spacing w:val="-1"/>
          <w:szCs w:val="24"/>
          <w:u w:val="single"/>
        </w:rPr>
        <w:t xml:space="preserve">           </w:t>
      </w:r>
      <w:r>
        <w:rPr>
          <w:rFonts w:ascii="仿宋" w:hAnsi="仿宋" w:eastAsia="仿宋" w:cs="仿宋"/>
          <w:szCs w:val="24"/>
        </w:rPr>
        <w:t xml:space="preserve">  </w:t>
      </w:r>
    </w:p>
    <w:p w14:paraId="52B38494">
      <w:pPr>
        <w:spacing w:before="97" w:line="359" w:lineRule="auto"/>
        <w:ind w:right="305" w:firstLine="11"/>
        <w:rPr>
          <w:rFonts w:ascii="仿宋" w:hAnsi="仿宋" w:eastAsia="仿宋" w:cs="仿宋"/>
          <w:szCs w:val="24"/>
        </w:rPr>
      </w:pPr>
      <w:r>
        <w:rPr>
          <w:rFonts w:ascii="仿宋" w:hAnsi="仿宋" w:eastAsia="仿宋" w:cs="仿宋"/>
          <w:szCs w:val="24"/>
        </w:rPr>
        <w:t>委托代理人</w:t>
      </w:r>
      <w:r>
        <w:rPr>
          <w:rFonts w:eastAsia="Calibri" w:cs="Calibri"/>
          <w:szCs w:val="24"/>
        </w:rPr>
        <w:t>(</w:t>
      </w:r>
      <w:r>
        <w:rPr>
          <w:rFonts w:ascii="仿宋" w:hAnsi="仿宋" w:eastAsia="仿宋" w:cs="仿宋"/>
          <w:szCs w:val="24"/>
        </w:rPr>
        <w:t>签字</w:t>
      </w:r>
      <w:r>
        <w:rPr>
          <w:rFonts w:eastAsia="Calibri" w:cs="Calibri"/>
          <w:szCs w:val="24"/>
        </w:rPr>
        <w:t>)</w:t>
      </w:r>
      <w:r>
        <w:rPr>
          <w:rFonts w:ascii="仿宋" w:hAnsi="仿宋" w:eastAsia="仿宋" w:cs="仿宋"/>
          <w:szCs w:val="24"/>
        </w:rPr>
        <w:t>：</w:t>
      </w:r>
      <w:r>
        <w:rPr>
          <w:rFonts w:ascii="仿宋" w:hAnsi="仿宋" w:eastAsia="仿宋" w:cs="仿宋"/>
          <w:szCs w:val="24"/>
          <w:u w:val="single"/>
        </w:rPr>
        <w:t xml:space="preserve">          </w:t>
      </w:r>
      <w:r>
        <w:rPr>
          <w:rFonts w:ascii="仿宋" w:hAnsi="仿宋" w:eastAsia="仿宋" w:cs="仿宋"/>
          <w:szCs w:val="24"/>
        </w:rPr>
        <w:t xml:space="preserve"> </w:t>
      </w:r>
      <w:r>
        <w:rPr>
          <w:rFonts w:hint="eastAsia" w:ascii="仿宋" w:hAnsi="仿宋" w:eastAsia="仿宋" w:cs="仿宋"/>
          <w:szCs w:val="24"/>
        </w:rPr>
        <w:t xml:space="preserve">         </w:t>
      </w:r>
      <w:r>
        <w:rPr>
          <w:rFonts w:ascii="仿宋" w:hAnsi="仿宋" w:eastAsia="仿宋" w:cs="仿宋"/>
          <w:szCs w:val="24"/>
        </w:rPr>
        <w:t>委托代</w:t>
      </w:r>
      <w:r>
        <w:rPr>
          <w:rFonts w:ascii="仿宋" w:hAnsi="仿宋" w:eastAsia="仿宋" w:cs="仿宋"/>
          <w:spacing w:val="-1"/>
          <w:szCs w:val="24"/>
        </w:rPr>
        <w:t>理人</w:t>
      </w:r>
      <w:r>
        <w:rPr>
          <w:rFonts w:eastAsia="Calibri" w:cs="Calibri"/>
          <w:spacing w:val="-1"/>
          <w:szCs w:val="24"/>
        </w:rPr>
        <w:t>(</w:t>
      </w:r>
      <w:r>
        <w:rPr>
          <w:rFonts w:ascii="仿宋" w:hAnsi="仿宋" w:eastAsia="仿宋" w:cs="仿宋"/>
          <w:spacing w:val="-1"/>
          <w:szCs w:val="24"/>
        </w:rPr>
        <w:t>签字</w:t>
      </w:r>
      <w:r>
        <w:rPr>
          <w:rFonts w:eastAsia="Calibri" w:cs="Calibri"/>
          <w:spacing w:val="-1"/>
          <w:szCs w:val="24"/>
        </w:rPr>
        <w:t>)</w:t>
      </w:r>
      <w:r>
        <w:rPr>
          <w:rFonts w:ascii="仿宋" w:hAnsi="仿宋" w:eastAsia="仿宋" w:cs="仿宋"/>
          <w:spacing w:val="-1"/>
          <w:szCs w:val="24"/>
        </w:rPr>
        <w:t>：</w:t>
      </w:r>
      <w:r>
        <w:rPr>
          <w:rFonts w:ascii="仿宋" w:hAnsi="仿宋" w:eastAsia="仿宋" w:cs="仿宋"/>
          <w:spacing w:val="-1"/>
          <w:szCs w:val="24"/>
          <w:u w:val="single"/>
        </w:rPr>
        <w:t xml:space="preserve">           </w:t>
      </w:r>
      <w:r>
        <w:rPr>
          <w:rFonts w:ascii="仿宋" w:hAnsi="仿宋" w:eastAsia="仿宋" w:cs="仿宋"/>
          <w:szCs w:val="24"/>
        </w:rPr>
        <w:t xml:space="preserve">  </w:t>
      </w:r>
    </w:p>
    <w:p w14:paraId="570B6010">
      <w:pPr>
        <w:spacing w:before="97" w:line="359" w:lineRule="auto"/>
        <w:ind w:right="305" w:firstLine="11"/>
        <w:rPr>
          <w:rFonts w:ascii="仿宋" w:hAnsi="仿宋" w:eastAsia="仿宋" w:cs="仿宋"/>
          <w:spacing w:val="2"/>
          <w:szCs w:val="24"/>
        </w:rPr>
      </w:pPr>
      <w:r>
        <w:rPr>
          <w:rFonts w:ascii="仿宋" w:hAnsi="仿宋" w:eastAsia="仿宋" w:cs="仿宋"/>
          <w:spacing w:val="-10"/>
          <w:szCs w:val="24"/>
        </w:rPr>
        <w:t>电</w:t>
      </w:r>
      <w:r>
        <w:rPr>
          <w:rFonts w:ascii="仿宋" w:hAnsi="仿宋" w:eastAsia="仿宋" w:cs="仿宋"/>
          <w:spacing w:val="10"/>
          <w:szCs w:val="24"/>
        </w:rPr>
        <w:t xml:space="preserve">  </w:t>
      </w:r>
      <w:r>
        <w:rPr>
          <w:rFonts w:ascii="仿宋" w:hAnsi="仿宋" w:eastAsia="仿宋" w:cs="仿宋"/>
          <w:spacing w:val="-10"/>
          <w:szCs w:val="24"/>
        </w:rPr>
        <w:t>话：</w:t>
      </w:r>
      <w:r>
        <w:rPr>
          <w:rFonts w:ascii="仿宋" w:hAnsi="仿宋" w:eastAsia="仿宋" w:cs="仿宋"/>
          <w:spacing w:val="-10"/>
          <w:szCs w:val="24"/>
          <w:u w:val="single"/>
        </w:rPr>
        <w:t xml:space="preserve">                    </w:t>
      </w:r>
      <w:r>
        <w:rPr>
          <w:rFonts w:ascii="仿宋" w:hAnsi="仿宋" w:eastAsia="仿宋" w:cs="仿宋"/>
          <w:spacing w:val="51"/>
          <w:szCs w:val="24"/>
        </w:rPr>
        <w:t xml:space="preserve"> </w:t>
      </w:r>
      <w:r>
        <w:rPr>
          <w:rFonts w:hint="eastAsia" w:ascii="仿宋" w:hAnsi="仿宋" w:eastAsia="仿宋" w:cs="仿宋"/>
          <w:spacing w:val="51"/>
          <w:szCs w:val="24"/>
        </w:rPr>
        <w:t xml:space="preserve">      </w:t>
      </w:r>
      <w:r>
        <w:rPr>
          <w:rFonts w:ascii="仿宋" w:hAnsi="仿宋" w:eastAsia="仿宋" w:cs="仿宋"/>
          <w:spacing w:val="-10"/>
          <w:szCs w:val="24"/>
        </w:rPr>
        <w:t>电</w:t>
      </w:r>
      <w:r>
        <w:rPr>
          <w:rFonts w:ascii="仿宋" w:hAnsi="仿宋" w:eastAsia="仿宋" w:cs="仿宋"/>
          <w:spacing w:val="10"/>
          <w:szCs w:val="24"/>
        </w:rPr>
        <w:t xml:space="preserve">  </w:t>
      </w:r>
      <w:r>
        <w:rPr>
          <w:rFonts w:ascii="仿宋" w:hAnsi="仿宋" w:eastAsia="仿宋" w:cs="仿宋"/>
          <w:spacing w:val="-10"/>
          <w:szCs w:val="24"/>
        </w:rPr>
        <w:t>话：</w:t>
      </w:r>
      <w:r>
        <w:rPr>
          <w:rFonts w:ascii="仿宋" w:hAnsi="仿宋" w:eastAsia="仿宋" w:cs="仿宋"/>
          <w:szCs w:val="24"/>
          <w:u w:val="single"/>
        </w:rPr>
        <w:t xml:space="preserve">                     </w:t>
      </w:r>
      <w:r>
        <w:rPr>
          <w:rFonts w:ascii="仿宋" w:hAnsi="仿宋" w:eastAsia="仿宋" w:cs="仿宋"/>
          <w:spacing w:val="2"/>
          <w:szCs w:val="24"/>
        </w:rPr>
        <w:t xml:space="preserve"> </w:t>
      </w:r>
    </w:p>
    <w:p w14:paraId="7D27A79C">
      <w:pPr>
        <w:spacing w:before="97" w:line="359" w:lineRule="auto"/>
        <w:ind w:right="305" w:firstLine="11"/>
        <w:rPr>
          <w:rFonts w:ascii="仿宋" w:hAnsi="仿宋" w:eastAsia="仿宋" w:cs="仿宋"/>
          <w:spacing w:val="1"/>
          <w:szCs w:val="24"/>
        </w:rPr>
      </w:pPr>
      <w:r>
        <w:rPr>
          <w:rFonts w:ascii="仿宋" w:hAnsi="仿宋" w:eastAsia="仿宋" w:cs="仿宋"/>
          <w:spacing w:val="-8"/>
          <w:szCs w:val="24"/>
        </w:rPr>
        <w:t>传</w:t>
      </w:r>
      <w:r>
        <w:rPr>
          <w:rFonts w:ascii="仿宋" w:hAnsi="仿宋" w:eastAsia="仿宋" w:cs="仿宋"/>
          <w:spacing w:val="15"/>
          <w:szCs w:val="24"/>
        </w:rPr>
        <w:t xml:space="preserve">  </w:t>
      </w:r>
      <w:r>
        <w:rPr>
          <w:rFonts w:ascii="仿宋" w:hAnsi="仿宋" w:eastAsia="仿宋" w:cs="仿宋"/>
          <w:spacing w:val="-8"/>
          <w:szCs w:val="24"/>
        </w:rPr>
        <w:t>真：</w:t>
      </w:r>
      <w:r>
        <w:rPr>
          <w:rFonts w:ascii="仿宋" w:hAnsi="仿宋" w:eastAsia="仿宋" w:cs="仿宋"/>
          <w:spacing w:val="-8"/>
          <w:szCs w:val="24"/>
          <w:u w:val="single"/>
        </w:rPr>
        <w:t xml:space="preserve">                    </w:t>
      </w:r>
      <w:r>
        <w:rPr>
          <w:rFonts w:ascii="仿宋" w:hAnsi="仿宋" w:eastAsia="仿宋" w:cs="仿宋"/>
          <w:spacing w:val="22"/>
          <w:szCs w:val="24"/>
        </w:rPr>
        <w:t xml:space="preserve"> </w:t>
      </w:r>
      <w:r>
        <w:rPr>
          <w:rFonts w:hint="eastAsia" w:ascii="仿宋" w:hAnsi="仿宋" w:eastAsia="仿宋" w:cs="仿宋"/>
          <w:spacing w:val="22"/>
          <w:szCs w:val="24"/>
        </w:rPr>
        <w:t xml:space="preserve">        </w:t>
      </w:r>
      <w:r>
        <w:rPr>
          <w:rFonts w:ascii="仿宋" w:hAnsi="仿宋" w:eastAsia="仿宋" w:cs="仿宋"/>
          <w:spacing w:val="-8"/>
          <w:szCs w:val="24"/>
        </w:rPr>
        <w:t>传</w:t>
      </w:r>
      <w:r>
        <w:rPr>
          <w:rFonts w:ascii="仿宋" w:hAnsi="仿宋" w:eastAsia="仿宋" w:cs="仿宋"/>
          <w:spacing w:val="14"/>
          <w:szCs w:val="24"/>
        </w:rPr>
        <w:t xml:space="preserve">  </w:t>
      </w:r>
      <w:r>
        <w:rPr>
          <w:rFonts w:ascii="仿宋" w:hAnsi="仿宋" w:eastAsia="仿宋" w:cs="仿宋"/>
          <w:spacing w:val="-8"/>
          <w:szCs w:val="24"/>
        </w:rPr>
        <w:t>真：</w:t>
      </w:r>
      <w:r>
        <w:rPr>
          <w:rFonts w:ascii="仿宋" w:hAnsi="仿宋" w:eastAsia="仿宋" w:cs="仿宋"/>
          <w:spacing w:val="-8"/>
          <w:szCs w:val="24"/>
          <w:u w:val="single"/>
        </w:rPr>
        <w:t xml:space="preserve">        </w:t>
      </w:r>
      <w:r>
        <w:rPr>
          <w:rFonts w:ascii="仿宋" w:hAnsi="仿宋" w:eastAsia="仿宋" w:cs="仿宋"/>
          <w:spacing w:val="-9"/>
          <w:szCs w:val="24"/>
          <w:u w:val="single"/>
        </w:rPr>
        <w:t xml:space="preserve">              </w:t>
      </w:r>
      <w:r>
        <w:rPr>
          <w:rFonts w:ascii="仿宋" w:hAnsi="仿宋" w:eastAsia="仿宋" w:cs="仿宋"/>
          <w:spacing w:val="1"/>
          <w:szCs w:val="24"/>
        </w:rPr>
        <w:t xml:space="preserve"> </w:t>
      </w:r>
    </w:p>
    <w:p w14:paraId="5A71E4CF">
      <w:pPr>
        <w:spacing w:before="97" w:line="359" w:lineRule="auto"/>
        <w:ind w:right="305" w:firstLine="11"/>
        <w:rPr>
          <w:rFonts w:ascii="仿宋" w:hAnsi="仿宋" w:eastAsia="仿宋" w:cs="仿宋"/>
          <w:spacing w:val="-1"/>
          <w:szCs w:val="24"/>
          <w:u w:val="single"/>
        </w:rPr>
      </w:pPr>
      <w:r>
        <w:rPr>
          <w:rFonts w:ascii="仿宋" w:hAnsi="仿宋" w:eastAsia="仿宋" w:cs="仿宋"/>
          <w:spacing w:val="-1"/>
          <w:szCs w:val="24"/>
        </w:rPr>
        <w:t>开户银行：</w:t>
      </w:r>
      <w:r>
        <w:rPr>
          <w:rFonts w:ascii="仿宋" w:hAnsi="仿宋" w:eastAsia="仿宋" w:cs="仿宋"/>
          <w:spacing w:val="-1"/>
          <w:szCs w:val="24"/>
          <w:u w:val="single"/>
        </w:rPr>
        <w:t xml:space="preserve">                 </w:t>
      </w:r>
      <w:r>
        <w:rPr>
          <w:rFonts w:ascii="仿宋" w:hAnsi="仿宋" w:eastAsia="仿宋" w:cs="仿宋"/>
          <w:spacing w:val="29"/>
          <w:szCs w:val="24"/>
        </w:rPr>
        <w:t xml:space="preserve"> </w:t>
      </w:r>
      <w:r>
        <w:rPr>
          <w:rFonts w:hint="eastAsia" w:ascii="仿宋" w:hAnsi="仿宋" w:eastAsia="仿宋" w:cs="仿宋"/>
          <w:spacing w:val="29"/>
          <w:szCs w:val="24"/>
        </w:rPr>
        <w:t xml:space="preserve">       </w:t>
      </w:r>
      <w:r>
        <w:rPr>
          <w:rFonts w:ascii="仿宋" w:hAnsi="仿宋" w:eastAsia="仿宋" w:cs="仿宋"/>
          <w:spacing w:val="-1"/>
          <w:szCs w:val="24"/>
        </w:rPr>
        <w:t>开户银行：</w:t>
      </w:r>
      <w:r>
        <w:rPr>
          <w:rFonts w:ascii="仿宋" w:hAnsi="仿宋" w:eastAsia="仿宋" w:cs="仿宋"/>
          <w:spacing w:val="-1"/>
          <w:szCs w:val="24"/>
          <w:u w:val="single"/>
        </w:rPr>
        <w:t xml:space="preserve">                   </w:t>
      </w:r>
    </w:p>
    <w:p w14:paraId="3B814E47">
      <w:pPr>
        <w:spacing w:before="97" w:line="359" w:lineRule="auto"/>
        <w:ind w:right="305" w:firstLine="11"/>
        <w:rPr>
          <w:rFonts w:ascii="仿宋" w:hAnsi="仿宋" w:eastAsia="仿宋" w:cs="仿宋"/>
          <w:szCs w:val="24"/>
        </w:rPr>
      </w:pPr>
      <w:r>
        <w:rPr>
          <w:rFonts w:ascii="仿宋" w:hAnsi="仿宋" w:eastAsia="仿宋" w:cs="仿宋"/>
          <w:spacing w:val="-15"/>
          <w:szCs w:val="24"/>
        </w:rPr>
        <w:t>账</w:t>
      </w:r>
      <w:r>
        <w:rPr>
          <w:rFonts w:ascii="仿宋" w:hAnsi="仿宋" w:eastAsia="仿宋" w:cs="仿宋"/>
          <w:spacing w:val="14"/>
          <w:szCs w:val="24"/>
        </w:rPr>
        <w:t xml:space="preserve">  </w:t>
      </w:r>
      <w:r>
        <w:rPr>
          <w:rFonts w:ascii="仿宋" w:hAnsi="仿宋" w:eastAsia="仿宋" w:cs="仿宋"/>
          <w:spacing w:val="-15"/>
          <w:szCs w:val="24"/>
        </w:rPr>
        <w:t>号：</w:t>
      </w:r>
      <w:r>
        <w:rPr>
          <w:rFonts w:ascii="仿宋" w:hAnsi="仿宋" w:eastAsia="仿宋" w:cs="仿宋"/>
          <w:spacing w:val="3"/>
          <w:szCs w:val="24"/>
          <w:u w:val="single"/>
        </w:rPr>
        <w:t xml:space="preserve">                  </w:t>
      </w:r>
      <w:r>
        <w:rPr>
          <w:rFonts w:ascii="仿宋" w:hAnsi="仿宋" w:eastAsia="仿宋" w:cs="仿宋"/>
          <w:spacing w:val="15"/>
          <w:szCs w:val="24"/>
        </w:rPr>
        <w:t xml:space="preserve"> </w:t>
      </w:r>
      <w:r>
        <w:rPr>
          <w:rFonts w:hint="eastAsia" w:ascii="仿宋" w:hAnsi="仿宋" w:eastAsia="仿宋" w:cs="仿宋"/>
          <w:spacing w:val="15"/>
          <w:szCs w:val="24"/>
        </w:rPr>
        <w:t xml:space="preserve">       </w:t>
      </w:r>
      <w:r>
        <w:rPr>
          <w:rFonts w:ascii="仿宋" w:hAnsi="仿宋" w:eastAsia="仿宋" w:cs="仿宋"/>
          <w:spacing w:val="15"/>
          <w:szCs w:val="24"/>
        </w:rPr>
        <w:t xml:space="preserve"> </w:t>
      </w:r>
      <w:r>
        <w:rPr>
          <w:rFonts w:ascii="仿宋" w:hAnsi="仿宋" w:eastAsia="仿宋" w:cs="仿宋"/>
          <w:spacing w:val="-15"/>
          <w:szCs w:val="24"/>
        </w:rPr>
        <w:t>账</w:t>
      </w:r>
      <w:r>
        <w:rPr>
          <w:rFonts w:ascii="仿宋" w:hAnsi="仿宋" w:eastAsia="仿宋" w:cs="仿宋"/>
          <w:spacing w:val="13"/>
          <w:szCs w:val="24"/>
        </w:rPr>
        <w:t xml:space="preserve">  </w:t>
      </w:r>
      <w:r>
        <w:rPr>
          <w:rFonts w:ascii="仿宋" w:hAnsi="仿宋" w:eastAsia="仿宋" w:cs="仿宋"/>
          <w:spacing w:val="-15"/>
          <w:szCs w:val="24"/>
        </w:rPr>
        <w:t>号：</w:t>
      </w:r>
      <w:r>
        <w:rPr>
          <w:rFonts w:ascii="仿宋" w:hAnsi="仿宋" w:eastAsia="仿宋" w:cs="仿宋"/>
          <w:szCs w:val="24"/>
          <w:u w:val="single"/>
        </w:rPr>
        <w:t xml:space="preserve">                      </w:t>
      </w:r>
    </w:p>
    <w:p w14:paraId="776968E6">
      <w:pPr>
        <w:ind w:firstLine="444" w:firstLineChars="200"/>
        <w:jc w:val="left"/>
        <w:rPr>
          <w:rFonts w:ascii="宋体" w:hAnsi="宋体"/>
          <w:color w:val="000000" w:themeColor="text1"/>
          <w14:textFill>
            <w14:solidFill>
              <w14:schemeClr w14:val="tx1"/>
            </w14:solidFill>
          </w14:textFill>
        </w:rPr>
      </w:pPr>
      <w:r>
        <w:rPr>
          <w:rFonts w:ascii="仿宋" w:hAnsi="仿宋" w:eastAsia="仿宋" w:cs="仿宋"/>
          <w:spacing w:val="-9"/>
          <w:szCs w:val="24"/>
        </w:rPr>
        <w:t>邮政编码：</w:t>
      </w:r>
      <w:r>
        <w:rPr>
          <w:rFonts w:ascii="仿宋" w:hAnsi="仿宋" w:eastAsia="仿宋" w:cs="仿宋"/>
          <w:szCs w:val="24"/>
          <w:u w:val="single"/>
        </w:rPr>
        <w:t xml:space="preserve">                 </w:t>
      </w:r>
      <w:r>
        <w:rPr>
          <w:rFonts w:ascii="仿宋" w:hAnsi="仿宋" w:eastAsia="仿宋" w:cs="仿宋"/>
          <w:spacing w:val="45"/>
          <w:szCs w:val="24"/>
        </w:rPr>
        <w:t xml:space="preserve"> </w:t>
      </w:r>
      <w:r>
        <w:rPr>
          <w:rFonts w:hint="eastAsia" w:ascii="仿宋" w:hAnsi="仿宋" w:eastAsia="仿宋" w:cs="仿宋"/>
          <w:spacing w:val="45"/>
          <w:szCs w:val="24"/>
        </w:rPr>
        <w:t xml:space="preserve">      </w:t>
      </w:r>
      <w:r>
        <w:rPr>
          <w:rFonts w:ascii="仿宋" w:hAnsi="仿宋" w:eastAsia="仿宋" w:cs="仿宋"/>
          <w:spacing w:val="-9"/>
          <w:szCs w:val="24"/>
        </w:rPr>
        <w:t>邮政编码：</w:t>
      </w:r>
      <w:r>
        <w:rPr>
          <w:rFonts w:ascii="仿宋" w:hAnsi="仿宋" w:eastAsia="仿宋" w:cs="仿宋"/>
          <w:szCs w:val="24"/>
          <w:u w:val="single"/>
        </w:rPr>
        <w:t xml:space="preserve">                </w:t>
      </w:r>
      <w:r>
        <w:rPr>
          <w:rFonts w:ascii="仿宋" w:hAnsi="仿宋" w:eastAsia="仿宋" w:cs="仿宋"/>
          <w:szCs w:val="36"/>
        </w:rPr>
        <w:t xml:space="preserve"> </w:t>
      </w:r>
      <w:r>
        <w:rPr>
          <w:rFonts w:ascii="仿宋" w:hAnsi="仿宋" w:eastAsia="仿宋" w:cs="仿宋"/>
          <w:szCs w:val="24"/>
          <w:u w:val="single"/>
        </w:rPr>
        <w:t xml:space="preserve"> </w:t>
      </w:r>
    </w:p>
    <w:p w14:paraId="08F0CB08">
      <w:pPr>
        <w:pStyle w:val="2"/>
      </w:pPr>
      <w:r>
        <w:br w:type="page"/>
      </w:r>
    </w:p>
    <w:p w14:paraId="4769585D">
      <w:pPr>
        <w:pStyle w:val="3"/>
        <w:spacing w:before="0" w:after="0" w:line="240" w:lineRule="auto"/>
        <w:rPr>
          <w:rFonts w:ascii="仿宋" w:hAnsi="仿宋" w:eastAsia="仿宋"/>
          <w:color w:val="000000" w:themeColor="text1"/>
          <w:sz w:val="28"/>
          <w:szCs w:val="28"/>
          <w14:textFill>
            <w14:solidFill>
              <w14:schemeClr w14:val="tx1"/>
            </w14:solidFill>
          </w14:textFill>
        </w:rPr>
        <w:sectPr>
          <w:footerReference r:id="rId14" w:type="default"/>
          <w:pgSz w:w="11906" w:h="16838"/>
          <w:pgMar w:top="1134" w:right="1134" w:bottom="1134" w:left="1134" w:header="680" w:footer="992" w:gutter="0"/>
          <w:cols w:space="0" w:num="1"/>
          <w:titlePg/>
          <w:docGrid w:linePitch="312" w:charSpace="0"/>
        </w:sectPr>
      </w:pPr>
    </w:p>
    <w:p w14:paraId="4ECFFA62">
      <w:pPr>
        <w:pStyle w:val="3"/>
        <w:spacing w:before="0" w:after="0" w:line="240" w:lineRule="auto"/>
        <w:rPr>
          <w:rFonts w:ascii="仿宋" w:hAnsi="仿宋" w:eastAsia="仿宋"/>
          <w:color w:val="000000" w:themeColor="text1"/>
          <w:sz w:val="28"/>
          <w:szCs w:val="28"/>
          <w14:textFill>
            <w14:solidFill>
              <w14:schemeClr w14:val="tx1"/>
            </w14:solidFill>
          </w14:textFill>
        </w:rPr>
      </w:pPr>
      <w:bookmarkStart w:id="1191" w:name="_Toc10615"/>
      <w:bookmarkStart w:id="1192" w:name="_Toc19155"/>
      <w:r>
        <w:rPr>
          <w:rFonts w:hint="eastAsia" w:ascii="仿宋" w:hAnsi="仿宋" w:eastAsia="仿宋"/>
          <w:color w:val="000000" w:themeColor="text1"/>
          <w:sz w:val="28"/>
          <w:szCs w:val="28"/>
          <w14:textFill>
            <w14:solidFill>
              <w14:schemeClr w14:val="tx1"/>
            </w14:solidFill>
          </w14:textFill>
        </w:rPr>
        <w:t>附件2</w:t>
      </w:r>
      <w:bookmarkEnd w:id="1190"/>
      <w:r>
        <w:rPr>
          <w:rFonts w:hint="eastAsia" w:ascii="仿宋" w:hAnsi="仿宋" w:eastAsia="仿宋"/>
          <w:color w:val="000000" w:themeColor="text1"/>
          <w:sz w:val="28"/>
          <w:szCs w:val="28"/>
          <w14:textFill>
            <w14:solidFill>
              <w14:schemeClr w14:val="tx1"/>
            </w14:solidFill>
          </w14:textFill>
        </w:rPr>
        <w:t>幕墙工作界面划分表</w:t>
      </w:r>
      <w:bookmarkEnd w:id="1191"/>
      <w:bookmarkEnd w:id="1192"/>
    </w:p>
    <w:tbl>
      <w:tblPr>
        <w:tblStyle w:val="42"/>
        <w:tblW w:w="14825"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86"/>
        <w:gridCol w:w="1265"/>
        <w:gridCol w:w="6000"/>
        <w:gridCol w:w="5580"/>
      </w:tblGrid>
      <w:tr w14:paraId="51C7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151AEAC9">
            <w:pPr>
              <w:ind w:left="63" w:right="63"/>
            </w:pPr>
            <w:r>
              <w:rPr>
                <w:rFonts w:hint="eastAsia"/>
              </w:rPr>
              <w:t>总则</w:t>
            </w:r>
          </w:p>
        </w:tc>
        <w:tc>
          <w:tcPr>
            <w:tcW w:w="14131" w:type="dxa"/>
            <w:gridSpan w:val="4"/>
          </w:tcPr>
          <w:p w14:paraId="69C7F870">
            <w:pPr>
              <w:ind w:left="63" w:right="63"/>
            </w:pPr>
            <w:r>
              <w:rPr>
                <w:rFonts w:hint="eastAsia"/>
              </w:rPr>
              <w:t>乙方应完成按照招标文件、设计图纸和以下表中要求的施工范围内的所有工作，同时应</w:t>
            </w:r>
            <w:r>
              <w:rPr>
                <w:rFonts w:asciiTheme="minorEastAsia" w:hAnsiTheme="minorEastAsia"/>
                <w:bCs/>
                <w:color w:val="000000" w:themeColor="text1"/>
                <w14:textFill>
                  <w14:solidFill>
                    <w14:schemeClr w14:val="tx1"/>
                  </w14:solidFill>
                </w14:textFill>
              </w:rPr>
              <w:t>配合参加</w:t>
            </w:r>
            <w:r>
              <w:rPr>
                <w:rFonts w:hint="eastAsia" w:asciiTheme="minorEastAsia" w:hAnsiTheme="minorEastAsia"/>
                <w:bCs/>
                <w:color w:val="000000" w:themeColor="text1"/>
                <w14:textFill>
                  <w14:solidFill>
                    <w14:schemeClr w14:val="tx1"/>
                  </w14:solidFill>
                </w14:textFill>
              </w:rPr>
              <w:t>甲方</w:t>
            </w:r>
            <w:r>
              <w:rPr>
                <w:rFonts w:asciiTheme="minorEastAsia" w:hAnsiTheme="minorEastAsia"/>
                <w:bCs/>
                <w:color w:val="000000" w:themeColor="text1"/>
                <w14:textFill>
                  <w14:solidFill>
                    <w14:schemeClr w14:val="tx1"/>
                  </w14:solidFill>
                </w14:textFill>
              </w:rPr>
              <w:t>组织的进度</w:t>
            </w:r>
            <w:r>
              <w:rPr>
                <w:rFonts w:hint="eastAsia" w:asciiTheme="minorEastAsia" w:hAnsiTheme="minorEastAsia"/>
                <w:bCs/>
                <w:color w:val="000000" w:themeColor="text1"/>
                <w14:textFill>
                  <w14:solidFill>
                    <w14:schemeClr w14:val="tx1"/>
                  </w14:solidFill>
                </w14:textFill>
              </w:rPr>
              <w:t>、</w:t>
            </w:r>
            <w:r>
              <w:rPr>
                <w:rFonts w:asciiTheme="minorEastAsia" w:hAnsiTheme="minorEastAsia"/>
                <w:bCs/>
                <w:color w:val="000000" w:themeColor="text1"/>
                <w14:textFill>
                  <w14:solidFill>
                    <w14:schemeClr w14:val="tx1"/>
                  </w14:solidFill>
                </w14:textFill>
              </w:rPr>
              <w:t>安全及质量检查</w:t>
            </w:r>
            <w:r>
              <w:rPr>
                <w:rFonts w:hint="eastAsia" w:asciiTheme="minorEastAsia" w:hAnsiTheme="minorEastAsia"/>
                <w:bCs/>
                <w:color w:val="000000" w:themeColor="text1"/>
                <w14:textFill>
                  <w14:solidFill>
                    <w14:schemeClr w14:val="tx1"/>
                  </w14:solidFill>
                </w14:textFill>
              </w:rPr>
              <w:t>，</w:t>
            </w:r>
            <w:r>
              <w:rPr>
                <w:rFonts w:asciiTheme="minorEastAsia" w:hAnsiTheme="minorEastAsia"/>
                <w:bCs/>
                <w:color w:val="000000" w:themeColor="text1"/>
                <w14:textFill>
                  <w14:solidFill>
                    <w14:schemeClr w14:val="tx1"/>
                  </w14:solidFill>
                </w14:textFill>
              </w:rPr>
              <w:t>对</w:t>
            </w:r>
            <w:r>
              <w:rPr>
                <w:rFonts w:hint="eastAsia" w:asciiTheme="minorEastAsia" w:hAnsiTheme="minorEastAsia"/>
                <w:bCs/>
                <w:color w:val="000000" w:themeColor="text1"/>
                <w14:textFill>
                  <w14:solidFill>
                    <w14:schemeClr w14:val="tx1"/>
                  </w14:solidFill>
                </w14:textFill>
              </w:rPr>
              <w:t>甲方</w:t>
            </w:r>
            <w:r>
              <w:rPr>
                <w:rFonts w:asciiTheme="minorEastAsia" w:hAnsiTheme="minorEastAsia"/>
                <w:bCs/>
                <w:color w:val="000000" w:themeColor="text1"/>
                <w14:textFill>
                  <w14:solidFill>
                    <w14:schemeClr w14:val="tx1"/>
                  </w14:solidFill>
                </w14:textFill>
              </w:rPr>
              <w:t>检查中提到的问题在规定的时间内完成整改并回复</w:t>
            </w:r>
            <w:r>
              <w:rPr>
                <w:rFonts w:hint="eastAsia" w:asciiTheme="minorEastAsia" w:hAnsiTheme="minorEastAsia"/>
                <w:bCs/>
                <w:color w:val="000000" w:themeColor="text1"/>
                <w14:textFill>
                  <w14:solidFill>
                    <w14:schemeClr w14:val="tx1"/>
                  </w14:solidFill>
                </w14:textFill>
              </w:rPr>
              <w:t>，</w:t>
            </w:r>
            <w:r>
              <w:rPr>
                <w:rFonts w:hint="eastAsia"/>
              </w:rPr>
              <w:t>服从甲方对于施工现场的管理工作等。对其他专业工程的</w:t>
            </w:r>
            <w:r>
              <w:rPr>
                <w:rFonts w:hint="eastAsia"/>
                <w:bCs/>
                <w:color w:val="000000" w:themeColor="text1"/>
                <w14:textFill>
                  <w14:solidFill>
                    <w14:schemeClr w14:val="tx1"/>
                  </w14:solidFill>
                </w14:textFill>
              </w:rPr>
              <w:t>相关工作</w:t>
            </w:r>
            <w:r>
              <w:rPr>
                <w:rFonts w:hint="eastAsia"/>
              </w:rPr>
              <w:t>做好配合、协调等。</w:t>
            </w:r>
          </w:p>
        </w:tc>
      </w:tr>
      <w:tr w14:paraId="321C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208E130E">
            <w:pPr>
              <w:ind w:left="63" w:right="63"/>
            </w:pPr>
            <w:r>
              <w:rPr>
                <w:rFonts w:hint="eastAsia"/>
              </w:rPr>
              <w:t>序号</w:t>
            </w:r>
          </w:p>
        </w:tc>
        <w:tc>
          <w:tcPr>
            <w:tcW w:w="1286" w:type="dxa"/>
          </w:tcPr>
          <w:p w14:paraId="6ED90C6B">
            <w:pPr>
              <w:ind w:left="63" w:right="63"/>
            </w:pPr>
            <w:r>
              <w:rPr>
                <w:rFonts w:hint="eastAsia"/>
              </w:rPr>
              <w:t>工程名称</w:t>
            </w:r>
          </w:p>
        </w:tc>
        <w:tc>
          <w:tcPr>
            <w:tcW w:w="1265" w:type="dxa"/>
          </w:tcPr>
          <w:p w14:paraId="14861D26">
            <w:pPr>
              <w:ind w:left="63" w:right="63"/>
            </w:pPr>
            <w:r>
              <w:rPr>
                <w:rFonts w:hint="eastAsia"/>
              </w:rPr>
              <w:t>工程承包人</w:t>
            </w:r>
          </w:p>
        </w:tc>
        <w:tc>
          <w:tcPr>
            <w:tcW w:w="6000" w:type="dxa"/>
            <w:vAlign w:val="center"/>
          </w:tcPr>
          <w:p w14:paraId="02FFD88F">
            <w:pPr>
              <w:ind w:left="63" w:right="63"/>
              <w:jc w:val="center"/>
            </w:pPr>
            <w:r>
              <w:rPr>
                <w:rFonts w:hint="eastAsia"/>
              </w:rPr>
              <w:t>幕墙工程（乙方）工作界面</w:t>
            </w:r>
          </w:p>
          <w:p w14:paraId="198CD74E">
            <w:pPr>
              <w:ind w:left="63" w:right="63"/>
              <w:jc w:val="center"/>
            </w:pPr>
            <w:r>
              <w:rPr>
                <w:rFonts w:hint="eastAsia"/>
              </w:rPr>
              <w:t>（含擦窗机）光伏幕墙属于幕墙范围内。</w:t>
            </w:r>
          </w:p>
        </w:tc>
        <w:tc>
          <w:tcPr>
            <w:tcW w:w="5580" w:type="dxa"/>
            <w:vAlign w:val="center"/>
          </w:tcPr>
          <w:p w14:paraId="1FC63793">
            <w:pPr>
              <w:ind w:left="63" w:right="63"/>
              <w:jc w:val="center"/>
            </w:pPr>
            <w:r>
              <w:rPr>
                <w:rFonts w:hint="eastAsia"/>
              </w:rPr>
              <w:t>其他专业工程工作界面</w:t>
            </w:r>
          </w:p>
        </w:tc>
      </w:tr>
      <w:tr w14:paraId="0C24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694" w:type="dxa"/>
            <w:vAlign w:val="center"/>
          </w:tcPr>
          <w:p w14:paraId="5382957A">
            <w:pPr>
              <w:ind w:left="63" w:right="63"/>
              <w:jc w:val="center"/>
            </w:pPr>
            <w:r>
              <w:rPr>
                <w:rFonts w:hint="eastAsia"/>
              </w:rPr>
              <w:t>1</w:t>
            </w:r>
          </w:p>
        </w:tc>
        <w:tc>
          <w:tcPr>
            <w:tcW w:w="1286" w:type="dxa"/>
            <w:vAlign w:val="center"/>
          </w:tcPr>
          <w:p w14:paraId="57CB62AB">
            <w:pPr>
              <w:ind w:left="63" w:right="63"/>
              <w:jc w:val="center"/>
            </w:pPr>
            <w:r>
              <w:rPr>
                <w:rFonts w:hint="eastAsia"/>
              </w:rPr>
              <w:t>土建总承包工程</w:t>
            </w:r>
          </w:p>
        </w:tc>
        <w:tc>
          <w:tcPr>
            <w:tcW w:w="1265" w:type="dxa"/>
            <w:vAlign w:val="center"/>
          </w:tcPr>
          <w:p w14:paraId="72AEA658">
            <w:pPr>
              <w:ind w:left="63" w:right="63"/>
              <w:jc w:val="center"/>
            </w:pPr>
            <w:r>
              <w:rPr>
                <w:rFonts w:hint="eastAsia"/>
              </w:rPr>
              <w:t>甲方</w:t>
            </w:r>
          </w:p>
        </w:tc>
        <w:tc>
          <w:tcPr>
            <w:tcW w:w="6000" w:type="dxa"/>
            <w:vAlign w:val="center"/>
          </w:tcPr>
          <w:p w14:paraId="7170C2C6">
            <w:pPr>
              <w:ind w:left="63" w:right="63"/>
            </w:pPr>
            <w:r>
              <w:rPr>
                <w:rFonts w:hint="eastAsia"/>
              </w:rPr>
              <w:t>1、负责混凝土结构上的幕墙预埋件的深化设计、材料供货、制作、安装、验收等工作。</w:t>
            </w:r>
          </w:p>
          <w:p w14:paraId="02E0D610">
            <w:pPr>
              <w:ind w:left="63" w:right="63"/>
            </w:pPr>
            <w:r>
              <w:rPr>
                <w:rFonts w:hint="eastAsia"/>
              </w:rPr>
              <w:t>2、负责对于甲方已施工的预埋件进行验收、清理、除锈等。不论甲方预埋件还是承包人自身施工的埋件，若出现漏埋、偏差或损坏需要后置时，相关后置埋件所需的材料、人工及试验检测费用由乙方承担。</w:t>
            </w:r>
          </w:p>
          <w:p w14:paraId="00C6CEFD">
            <w:pPr>
              <w:snapToGrid w:val="0"/>
              <w:ind w:left="63" w:right="63"/>
              <w:jc w:val="left"/>
            </w:pPr>
            <w:r>
              <w:rPr>
                <w:rFonts w:hint="eastAsia"/>
              </w:rPr>
              <w:t>3、负责幕墙范围内水平与纵向的层间防火封堵及收边收口等工作。</w:t>
            </w:r>
          </w:p>
          <w:p w14:paraId="23A9E5FC">
            <w:pPr>
              <w:snapToGrid w:val="0"/>
              <w:ind w:left="63" w:right="63"/>
              <w:jc w:val="left"/>
            </w:pPr>
            <w:r>
              <w:rPr>
                <w:rFonts w:hint="eastAsia"/>
              </w:rPr>
              <w:t>4、负责幕墙范围内的防水施工，包括外门窗洞口的防水处理。</w:t>
            </w:r>
          </w:p>
          <w:p w14:paraId="40908A08">
            <w:pPr>
              <w:snapToGrid w:val="0"/>
              <w:ind w:left="63" w:right="63"/>
              <w:jc w:val="left"/>
            </w:pPr>
            <w:r>
              <w:rPr>
                <w:rFonts w:hint="eastAsia"/>
              </w:rPr>
              <w:t>5、负责幕墙范围内的自身防雷系统安装及与总防雷系统的连接，配合甲方完成防雷检测及验收。</w:t>
            </w:r>
          </w:p>
          <w:p w14:paraId="36145B07">
            <w:pPr>
              <w:ind w:left="63" w:right="63"/>
            </w:pPr>
            <w:r>
              <w:rPr>
                <w:rFonts w:hint="eastAsia"/>
              </w:rPr>
              <w:t>6、乙方要及时复核待移交工作面的各项指标，并办理经验收合格的施工工作面的移交手续，负责移交后的区域内的产品、半成品的维护保管。</w:t>
            </w:r>
          </w:p>
          <w:p w14:paraId="640E39B7">
            <w:pPr>
              <w:snapToGrid w:val="0"/>
              <w:ind w:left="63" w:right="63"/>
              <w:jc w:val="left"/>
            </w:pPr>
            <w:r>
              <w:rPr>
                <w:rFonts w:hint="eastAsia"/>
              </w:rPr>
              <w:t>7、按幕墙工程需求负责搭设、制作除甲方现有脚手架以外的操作平台，含脚手架、吊篮等，且符合现行规范要求。</w:t>
            </w:r>
          </w:p>
          <w:p w14:paraId="1D54C6E7">
            <w:pPr>
              <w:snapToGrid w:val="0"/>
              <w:ind w:left="63" w:right="63"/>
              <w:jc w:val="left"/>
            </w:pPr>
            <w:r>
              <w:rPr>
                <w:rFonts w:hint="eastAsia"/>
              </w:rPr>
              <w:t>8、乙方负责幕墙系统整体淋水试验。</w:t>
            </w:r>
          </w:p>
          <w:p w14:paraId="2BE4EE05">
            <w:pPr>
              <w:ind w:left="63" w:right="63"/>
            </w:pPr>
            <w:r>
              <w:rPr>
                <w:rFonts w:hint="eastAsia"/>
              </w:rPr>
              <w:t>9、乙方负责所有因设计变更、施工措施需求或其他原因在结构上的后开洞、开槽、后补埋件开孔等施工及封堵工作，完工后须得到甲方的验收认可。</w:t>
            </w:r>
          </w:p>
          <w:p w14:paraId="248BB0DC">
            <w:pPr>
              <w:ind w:left="63" w:right="63"/>
            </w:pPr>
            <w:r>
              <w:rPr>
                <w:rFonts w:hint="eastAsia"/>
              </w:rPr>
              <w:t>10、乙方固定在主体结构上的施工设备需要进行结构复核，并提交施工方案文件给甲方、监理人审核，须经审核确认后方可施工。当主体结构承载力不满足施工设备的需求时，乙方应制定合理的结构加固方案，以配合自身的环轨、胎架、转运平台、吊篮、起吊设备等设备设施的布置，相关结构加固方案须经甲方、监理人审核通过后方可实施。</w:t>
            </w:r>
          </w:p>
          <w:p w14:paraId="77A5CB81">
            <w:pPr>
              <w:ind w:left="63" w:right="63"/>
              <w:rPr>
                <w:rFonts w:ascii="宋体" w:hAnsi="宋体"/>
                <w:spacing w:val="-5"/>
                <w:szCs w:val="21"/>
              </w:rPr>
            </w:pPr>
            <w:r>
              <w:rPr>
                <w:rFonts w:hint="eastAsia"/>
              </w:rPr>
              <w:t>11、乙方负责擦窗机深化设计、采购、加工、施工、</w:t>
            </w:r>
            <w:r>
              <w:rPr>
                <w:rFonts w:hint="eastAsia"/>
                <w:spacing w:val="2"/>
              </w:rPr>
              <w:t>调试及验收工作</w:t>
            </w:r>
            <w:r>
              <w:rPr>
                <w:rFonts w:hint="eastAsia"/>
              </w:rPr>
              <w:t>，并将擦窗机系统固定需要的混</w:t>
            </w:r>
            <w:r>
              <w:rPr>
                <w:rFonts w:hint="eastAsia" w:ascii="宋体" w:hAnsi="宋体"/>
                <w:spacing w:val="-5"/>
                <w:szCs w:val="21"/>
              </w:rPr>
              <w:t>凝土设备基础</w:t>
            </w:r>
            <w:r>
              <w:rPr>
                <w:rFonts w:hint="eastAsia"/>
              </w:rPr>
              <w:t>提资给甲方，并配合</w:t>
            </w:r>
            <w:r>
              <w:rPr>
                <w:rFonts w:hint="eastAsia" w:ascii="宋体" w:hAnsi="宋体"/>
                <w:spacing w:val="-5"/>
                <w:szCs w:val="21"/>
              </w:rPr>
              <w:t>甲方基础施工工作。</w:t>
            </w:r>
          </w:p>
          <w:p w14:paraId="7B7BD8D8">
            <w:pPr>
              <w:ind w:left="63" w:right="63"/>
            </w:pPr>
            <w:r>
              <w:rPr>
                <w:rFonts w:hint="eastAsia"/>
              </w:rPr>
              <w:t>12、对承包范围内产生的施工垃圾清理，随时做好施工范围内的清洁工作（工完场清），垃圾清理运输到甲方指定垃圾集中堆放点，确保作业面干净清洁。</w:t>
            </w:r>
          </w:p>
          <w:p w14:paraId="416BC253">
            <w:pPr>
              <w:ind w:left="63" w:right="63"/>
            </w:pPr>
            <w:r>
              <w:rPr>
                <w:rFonts w:hint="eastAsia"/>
              </w:rPr>
              <w:t>13、负责收集、整理、汇总本专业工程合格的工程资料后统一交给甲方。</w:t>
            </w:r>
          </w:p>
          <w:p w14:paraId="1C8624B3">
            <w:pPr>
              <w:ind w:left="63" w:right="63"/>
              <w:rPr>
                <w:szCs w:val="21"/>
              </w:rPr>
            </w:pPr>
            <w:r>
              <w:rPr>
                <w:rFonts w:hint="eastAsia"/>
              </w:rPr>
              <w:t>14、负责本专业工程的进度计划铺排，同时配合甲方完成</w:t>
            </w:r>
            <w:r>
              <w:rPr>
                <w:rFonts w:hint="eastAsia"/>
                <w:szCs w:val="21"/>
              </w:rPr>
              <w:t>总体进度计划编制工作。</w:t>
            </w:r>
          </w:p>
          <w:p w14:paraId="0A6A1806">
            <w:pPr>
              <w:ind w:left="63" w:right="63"/>
            </w:pPr>
            <w:r>
              <w:rPr>
                <w:rFonts w:hint="eastAsia"/>
              </w:rPr>
              <w:t>15、工地内水平运输由乙方负责。</w:t>
            </w:r>
          </w:p>
          <w:p w14:paraId="2B6DD4F8">
            <w:pPr>
              <w:ind w:left="63" w:right="63"/>
            </w:pPr>
            <w:r>
              <w:rPr>
                <w:rFonts w:hint="eastAsia"/>
              </w:rPr>
              <w:t>16、甲方负责提供施工所需用水接驳口，由乙方自行负责从接驳口接出水表、阀门及管道设备等，并承担一切费用。</w:t>
            </w:r>
          </w:p>
          <w:p w14:paraId="419F424D">
            <w:pPr>
              <w:ind w:left="63" w:right="63"/>
            </w:pPr>
            <w:r>
              <w:rPr>
                <w:rFonts w:hint="eastAsia"/>
              </w:rPr>
              <w:t>17、乙方配合甲方完成政府主管部门强制要求的各种检验、检测（包括但不限于节能、室内环境检测等）及验收等。</w:t>
            </w:r>
          </w:p>
          <w:p w14:paraId="2DC7901F">
            <w:pPr>
              <w:ind w:left="63" w:right="63"/>
            </w:pPr>
            <w:r>
              <w:rPr>
                <w:rFonts w:hint="eastAsia"/>
              </w:rPr>
              <w:t>18、乙方负责幕墙样板的实施、拆除及恢复等工作。</w:t>
            </w:r>
          </w:p>
        </w:tc>
        <w:tc>
          <w:tcPr>
            <w:tcW w:w="5580" w:type="dxa"/>
          </w:tcPr>
          <w:p w14:paraId="46F066E5">
            <w:pPr>
              <w:spacing w:before="23" w:line="220" w:lineRule="auto"/>
              <w:ind w:left="63" w:right="63"/>
              <w:rPr>
                <w:rFonts w:ascii="宋体" w:hAnsi="宋体"/>
                <w:kern w:val="0"/>
                <w:szCs w:val="21"/>
              </w:rPr>
            </w:pPr>
            <w:r>
              <w:rPr>
                <w:rFonts w:ascii="宋体" w:hAnsi="宋体"/>
                <w:kern w:val="0"/>
                <w:szCs w:val="21"/>
              </w:rPr>
              <w:t>1、</w:t>
            </w:r>
            <w:r>
              <w:rPr>
                <w:rFonts w:ascii="宋体" w:hAnsi="宋体"/>
                <w:spacing w:val="-3"/>
                <w:szCs w:val="21"/>
              </w:rPr>
              <w:t>在</w:t>
            </w:r>
            <w:r>
              <w:rPr>
                <w:rFonts w:hint="eastAsia" w:ascii="宋体" w:hAnsi="宋体"/>
                <w:spacing w:val="-3"/>
                <w:szCs w:val="21"/>
              </w:rPr>
              <w:t>乙方</w:t>
            </w:r>
            <w:r>
              <w:rPr>
                <w:rFonts w:ascii="宋体" w:hAnsi="宋体"/>
                <w:spacing w:val="-3"/>
                <w:szCs w:val="21"/>
              </w:rPr>
              <w:t>进场前</w:t>
            </w:r>
            <w:r>
              <w:rPr>
                <w:rFonts w:hint="eastAsia" w:ascii="宋体" w:hAnsi="宋体"/>
                <w:spacing w:val="-3"/>
                <w:szCs w:val="21"/>
              </w:rPr>
              <w:t>，甲方施工的</w:t>
            </w:r>
            <w:r>
              <w:rPr>
                <w:rFonts w:ascii="宋体" w:hAnsi="宋体"/>
                <w:spacing w:val="-3"/>
                <w:szCs w:val="21"/>
              </w:rPr>
              <w:t>幕墙预埋</w:t>
            </w:r>
            <w:r>
              <w:rPr>
                <w:rFonts w:hint="eastAsia" w:ascii="宋体" w:hAnsi="宋体"/>
                <w:spacing w:val="-3"/>
                <w:szCs w:val="21"/>
              </w:rPr>
              <w:t>件</w:t>
            </w:r>
            <w:r>
              <w:rPr>
                <w:rFonts w:ascii="宋体" w:hAnsi="宋体"/>
                <w:spacing w:val="-3"/>
                <w:szCs w:val="21"/>
              </w:rPr>
              <w:t>由</w:t>
            </w:r>
            <w:r>
              <w:rPr>
                <w:rFonts w:hint="eastAsia" w:ascii="宋体" w:hAnsi="宋体"/>
                <w:spacing w:val="-3"/>
                <w:szCs w:val="21"/>
              </w:rPr>
              <w:t>甲方</w:t>
            </w:r>
            <w:r>
              <w:rPr>
                <w:rFonts w:ascii="宋体" w:hAnsi="宋体"/>
                <w:spacing w:val="-1"/>
                <w:szCs w:val="21"/>
              </w:rPr>
              <w:t>负责</w:t>
            </w:r>
            <w:r>
              <w:rPr>
                <w:rFonts w:hint="eastAsia"/>
              </w:rPr>
              <w:t>采购、加工、施工</w:t>
            </w:r>
            <w:r>
              <w:rPr>
                <w:rFonts w:hint="eastAsia" w:ascii="宋体" w:hAnsi="宋体"/>
                <w:szCs w:val="21"/>
              </w:rPr>
              <w:t>。</w:t>
            </w:r>
            <w:r>
              <w:rPr>
                <w:rFonts w:hint="eastAsia"/>
              </w:rPr>
              <w:t>甲方保证预埋件的施工质量在规范允许的误差范围内</w:t>
            </w:r>
            <w:r>
              <w:rPr>
                <w:rFonts w:hint="eastAsia" w:ascii="宋体" w:hAnsi="宋体"/>
                <w:kern w:val="0"/>
                <w:szCs w:val="21"/>
              </w:rPr>
              <w:t>。</w:t>
            </w:r>
          </w:p>
          <w:p w14:paraId="7344AD6C">
            <w:pPr>
              <w:spacing w:before="23" w:line="220" w:lineRule="auto"/>
              <w:ind w:left="63" w:right="63"/>
              <w:rPr>
                <w:rFonts w:ascii="宋体" w:hAnsi="宋体"/>
                <w:kern w:val="0"/>
                <w:szCs w:val="21"/>
              </w:rPr>
            </w:pPr>
            <w:r>
              <w:rPr>
                <w:rFonts w:ascii="宋体" w:hAnsi="宋体"/>
                <w:kern w:val="0"/>
                <w:szCs w:val="21"/>
              </w:rPr>
              <w:t>2、</w:t>
            </w:r>
            <w:r>
              <w:rPr>
                <w:rFonts w:hint="eastAsia"/>
              </w:rPr>
              <w:t>负责幕墙施工范围以外的立面百叶供应及安装</w:t>
            </w:r>
          </w:p>
          <w:p w14:paraId="77762DBD">
            <w:pPr>
              <w:ind w:left="63" w:right="63"/>
              <w:rPr>
                <w:rFonts w:ascii="宋体" w:hAnsi="宋体"/>
                <w:spacing w:val="-9"/>
                <w:szCs w:val="21"/>
              </w:rPr>
            </w:pPr>
            <w:r>
              <w:rPr>
                <w:rFonts w:ascii="宋体" w:hAnsi="宋体"/>
                <w:kern w:val="0"/>
                <w:szCs w:val="21"/>
              </w:rPr>
              <w:t>3、</w:t>
            </w:r>
            <w:r>
              <w:rPr>
                <w:rFonts w:ascii="宋体" w:hAnsi="宋体"/>
                <w:spacing w:val="-9"/>
                <w:szCs w:val="21"/>
              </w:rPr>
              <w:t>负责幕墙</w:t>
            </w:r>
            <w:r>
              <w:rPr>
                <w:rFonts w:hint="eastAsia" w:ascii="宋体" w:hAnsi="宋体"/>
                <w:spacing w:val="-9"/>
                <w:szCs w:val="21"/>
              </w:rPr>
              <w:t>施工范围</w:t>
            </w:r>
            <w:r>
              <w:rPr>
                <w:rFonts w:ascii="宋体" w:hAnsi="宋体"/>
                <w:spacing w:val="-9"/>
                <w:szCs w:val="21"/>
              </w:rPr>
              <w:t>以外的防火封堵。</w:t>
            </w:r>
          </w:p>
          <w:p w14:paraId="5F93FDA8">
            <w:pPr>
              <w:ind w:left="63" w:right="63"/>
            </w:pPr>
            <w:r>
              <w:rPr>
                <w:rFonts w:hint="eastAsia" w:ascii="宋体" w:hAnsi="宋体"/>
                <w:spacing w:val="-9"/>
                <w:szCs w:val="21"/>
              </w:rPr>
              <w:t>4、</w:t>
            </w:r>
            <w:r>
              <w:rPr>
                <w:rFonts w:hint="eastAsia"/>
              </w:rPr>
              <w:t>负责</w:t>
            </w:r>
            <w:r>
              <w:rPr>
                <w:rFonts w:ascii="宋体" w:hAnsi="宋体"/>
                <w:spacing w:val="-9"/>
                <w:szCs w:val="21"/>
              </w:rPr>
              <w:t>幕墙</w:t>
            </w:r>
            <w:r>
              <w:rPr>
                <w:rFonts w:hint="eastAsia" w:ascii="宋体" w:hAnsi="宋体"/>
                <w:spacing w:val="-9"/>
                <w:szCs w:val="21"/>
              </w:rPr>
              <w:t>施工范围</w:t>
            </w:r>
            <w:r>
              <w:rPr>
                <w:rFonts w:ascii="宋体" w:hAnsi="宋体"/>
                <w:spacing w:val="-9"/>
                <w:szCs w:val="21"/>
              </w:rPr>
              <w:t>以外</w:t>
            </w:r>
            <w:r>
              <w:rPr>
                <w:rFonts w:hint="eastAsia"/>
              </w:rPr>
              <w:t>的外防水施工。</w:t>
            </w:r>
          </w:p>
          <w:p w14:paraId="1CF98819">
            <w:pPr>
              <w:ind w:left="63" w:right="63"/>
              <w:rPr>
                <w:rFonts w:ascii="宋体" w:hAnsi="宋体"/>
                <w:spacing w:val="-9"/>
                <w:szCs w:val="21"/>
              </w:rPr>
            </w:pPr>
            <w:r>
              <w:rPr>
                <w:rFonts w:hint="eastAsia" w:ascii="宋体" w:hAnsi="宋体"/>
                <w:spacing w:val="-9"/>
                <w:szCs w:val="21"/>
              </w:rPr>
              <w:t>5、甲方负责完成与幕墙专业相关的土建部分的收边收口工作及</w:t>
            </w:r>
            <w:r>
              <w:rPr>
                <w:rFonts w:ascii="宋体" w:hAnsi="宋体"/>
                <w:spacing w:val="-9"/>
                <w:szCs w:val="21"/>
              </w:rPr>
              <w:t>建筑物土建结构与幕墙底部防水</w:t>
            </w:r>
            <w:r>
              <w:rPr>
                <w:rFonts w:hint="eastAsia" w:ascii="宋体" w:hAnsi="宋体"/>
                <w:spacing w:val="-9"/>
                <w:szCs w:val="21"/>
              </w:rPr>
              <w:t>部位</w:t>
            </w:r>
            <w:r>
              <w:rPr>
                <w:rFonts w:ascii="宋体" w:hAnsi="宋体"/>
                <w:spacing w:val="-9"/>
                <w:szCs w:val="21"/>
              </w:rPr>
              <w:t>的收边收口</w:t>
            </w:r>
            <w:r>
              <w:rPr>
                <w:rFonts w:hint="eastAsia" w:ascii="宋体" w:hAnsi="宋体"/>
                <w:spacing w:val="-9"/>
                <w:szCs w:val="21"/>
              </w:rPr>
              <w:t>工作</w:t>
            </w:r>
            <w:r>
              <w:rPr>
                <w:rFonts w:ascii="宋体" w:hAnsi="宋体"/>
                <w:spacing w:val="-9"/>
                <w:szCs w:val="21"/>
              </w:rPr>
              <w:t>。</w:t>
            </w:r>
          </w:p>
          <w:p w14:paraId="549687AB">
            <w:pPr>
              <w:ind w:left="63" w:right="63"/>
            </w:pPr>
            <w:r>
              <w:rPr>
                <w:rFonts w:hint="eastAsia"/>
              </w:rPr>
              <w:t>6、甲方应根据擦窗机专业的需求进行擦窗机混凝土设备基础施工及收边收口。</w:t>
            </w:r>
          </w:p>
          <w:p w14:paraId="3E1BA96F">
            <w:pPr>
              <w:ind w:left="63" w:right="63"/>
            </w:pPr>
            <w:r>
              <w:rPr>
                <w:rFonts w:hint="eastAsia"/>
              </w:rPr>
              <w:t>7、根据施工工期需要及时向乙方移交作业面，移交后因甲方原因产生的质量缺陷由甲方负责处理。</w:t>
            </w:r>
          </w:p>
          <w:p w14:paraId="2C6278D1">
            <w:pPr>
              <w:ind w:left="63" w:right="63"/>
              <w:rPr>
                <w:rFonts w:ascii="宋体" w:hAnsi="宋体"/>
                <w:spacing w:val="-5"/>
                <w:szCs w:val="21"/>
              </w:rPr>
            </w:pPr>
            <w:r>
              <w:rPr>
                <w:rFonts w:hint="eastAsia"/>
              </w:rPr>
              <w:t>8、负责在外墙装饰工程施工完成后，对幕墙范围以外区域进行淋闭水试验</w:t>
            </w:r>
            <w:r>
              <w:rPr>
                <w:rFonts w:hint="eastAsia" w:ascii="宋体" w:hAnsi="宋体"/>
                <w:spacing w:val="-5"/>
                <w:szCs w:val="21"/>
              </w:rPr>
              <w:t>。</w:t>
            </w:r>
          </w:p>
          <w:p w14:paraId="2DD57A1C">
            <w:pPr>
              <w:ind w:left="63" w:right="63"/>
              <w:rPr>
                <w:rFonts w:ascii="宋体" w:hAnsi="宋体"/>
                <w:spacing w:val="-1"/>
                <w:szCs w:val="21"/>
              </w:rPr>
            </w:pPr>
            <w:r>
              <w:rPr>
                <w:rFonts w:hint="eastAsia" w:ascii="宋体" w:hAnsi="宋体"/>
                <w:spacing w:val="-1"/>
                <w:szCs w:val="21"/>
              </w:rPr>
              <w:t>9、</w:t>
            </w:r>
            <w:r>
              <w:rPr>
                <w:rFonts w:ascii="宋体" w:hAnsi="宋体"/>
                <w:spacing w:val="-1"/>
                <w:szCs w:val="21"/>
              </w:rPr>
              <w:t>负责为</w:t>
            </w:r>
            <w:r>
              <w:rPr>
                <w:rFonts w:hint="eastAsia" w:ascii="宋体" w:hAnsi="宋体"/>
                <w:spacing w:val="-1"/>
                <w:szCs w:val="21"/>
              </w:rPr>
              <w:t>乙方</w:t>
            </w:r>
            <w:r>
              <w:rPr>
                <w:rFonts w:ascii="宋体" w:hAnsi="宋体"/>
                <w:spacing w:val="-1"/>
                <w:szCs w:val="21"/>
              </w:rPr>
              <w:t>提供淋水条件</w:t>
            </w:r>
            <w:r>
              <w:rPr>
                <w:rFonts w:hint="eastAsia" w:ascii="宋体" w:hAnsi="宋体"/>
                <w:spacing w:val="-1"/>
                <w:szCs w:val="21"/>
              </w:rPr>
              <w:t>。</w:t>
            </w:r>
          </w:p>
          <w:p w14:paraId="2D77A430">
            <w:pPr>
              <w:ind w:left="63" w:right="63"/>
            </w:pPr>
            <w:r>
              <w:rPr>
                <w:rFonts w:hint="eastAsia"/>
              </w:rPr>
              <w:t>10、当幕墙施工设备</w:t>
            </w:r>
            <w:r>
              <w:t>需要</w:t>
            </w:r>
            <w:r>
              <w:rPr>
                <w:rFonts w:hint="eastAsia"/>
              </w:rPr>
              <w:t>固定</w:t>
            </w:r>
            <w:r>
              <w:t>主体结构上</w:t>
            </w:r>
            <w:r>
              <w:rPr>
                <w:rFonts w:hint="eastAsia"/>
              </w:rPr>
              <w:t>时，</w:t>
            </w:r>
            <w:r>
              <w:rPr>
                <w:rFonts w:hint="eastAsia" w:ascii="宋体" w:hAnsi="宋体"/>
                <w:spacing w:val="-5"/>
                <w:szCs w:val="21"/>
              </w:rPr>
              <w:t>甲方</w:t>
            </w:r>
            <w:r>
              <w:rPr>
                <w:rFonts w:hint="eastAsia"/>
              </w:rPr>
              <w:t>应审核幕墙方案</w:t>
            </w:r>
            <w:r>
              <w:t>文件的</w:t>
            </w:r>
            <w:r>
              <w:rPr>
                <w:rFonts w:hint="eastAsia"/>
              </w:rPr>
              <w:t>合理性及安全性，同时</w:t>
            </w:r>
            <w:r>
              <w:t>在施工过程中应进行</w:t>
            </w:r>
            <w:r>
              <w:rPr>
                <w:rFonts w:hint="eastAsia"/>
              </w:rPr>
              <w:t>安全</w:t>
            </w:r>
            <w:r>
              <w:t>巡检</w:t>
            </w:r>
            <w:r>
              <w:rPr>
                <w:rFonts w:hint="eastAsia"/>
              </w:rPr>
              <w:t>。</w:t>
            </w:r>
          </w:p>
          <w:p w14:paraId="605AC9F9">
            <w:pPr>
              <w:ind w:left="63" w:right="63"/>
              <w:rPr>
                <w:szCs w:val="21"/>
              </w:rPr>
            </w:pPr>
            <w:r>
              <w:rPr>
                <w:rFonts w:hint="eastAsia"/>
                <w:szCs w:val="21"/>
              </w:rPr>
              <w:t>11、全面负责协调管理工地现场清洁、清扫，保持工地整洁，协调好乙方现场材料堆放，并指定垃圾集中堆放点，垃圾统一外运。</w:t>
            </w:r>
          </w:p>
          <w:p w14:paraId="036221BE">
            <w:pPr>
              <w:ind w:left="63" w:right="63"/>
            </w:pPr>
            <w:r>
              <w:rPr>
                <w:rFonts w:hint="eastAsia"/>
              </w:rPr>
              <w:t>12、因工程验收需要按规定为乙方提供合格的（包括承包人盖章）验收资料。</w:t>
            </w:r>
          </w:p>
          <w:p w14:paraId="3C4E3470">
            <w:pPr>
              <w:ind w:left="63" w:right="63"/>
              <w:rPr>
                <w:szCs w:val="21"/>
              </w:rPr>
            </w:pPr>
            <w:r>
              <w:rPr>
                <w:rFonts w:hint="eastAsia"/>
                <w:szCs w:val="21"/>
              </w:rPr>
              <w:t>13、负责施工总体进度控制，制定工程总体进度计划，组织、协调各方按计划实施，解决施工过程中出现的矛盾，保证总工期目标的实现。</w:t>
            </w:r>
          </w:p>
          <w:p w14:paraId="225B8A7F">
            <w:pPr>
              <w:ind w:left="63" w:right="63"/>
              <w:rPr>
                <w:szCs w:val="21"/>
              </w:rPr>
            </w:pPr>
            <w:r>
              <w:rPr>
                <w:rFonts w:hint="eastAsia"/>
                <w:szCs w:val="21"/>
              </w:rPr>
              <w:t>14、施工过程中的土建配合，包括提供临时水电接驳点（至少每层设置二级配电箱及用水点，数量满足需要）、含提供现有垂直运输设施和为乙方提供所需测量基点和基线等。</w:t>
            </w:r>
          </w:p>
          <w:p w14:paraId="0DAB1AF3">
            <w:pPr>
              <w:ind w:left="63" w:right="63"/>
              <w:rPr>
                <w:rFonts w:ascii="宋体" w:hAnsi="宋体"/>
                <w:spacing w:val="-1"/>
                <w:szCs w:val="21"/>
              </w:rPr>
            </w:pPr>
            <w:r>
              <w:rPr>
                <w:rFonts w:hint="eastAsia"/>
                <w:szCs w:val="21"/>
              </w:rPr>
              <w:t>15、</w:t>
            </w:r>
            <w:r>
              <w:rPr>
                <w:rFonts w:hint="eastAsia"/>
              </w:rPr>
              <w:t>甲方须负责统筹政府主管部门强制要求的各种检验、检测（包括但不限于节能、室内环境检测等）及验收等，同时需统筹各专业检验、检测及验收事宜。</w:t>
            </w:r>
          </w:p>
          <w:p w14:paraId="00E00946">
            <w:pPr>
              <w:spacing w:before="23" w:line="220" w:lineRule="auto"/>
              <w:ind w:left="63" w:right="63"/>
              <w:rPr>
                <w:rFonts w:ascii="宋体" w:hAnsi="宋体"/>
                <w:kern w:val="0"/>
                <w:szCs w:val="21"/>
              </w:rPr>
            </w:pPr>
          </w:p>
        </w:tc>
      </w:tr>
      <w:tr w14:paraId="2029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7118CE0C">
            <w:pPr>
              <w:ind w:left="63" w:right="63"/>
            </w:pPr>
            <w:r>
              <w:t>2</w:t>
            </w:r>
          </w:p>
        </w:tc>
        <w:tc>
          <w:tcPr>
            <w:tcW w:w="1286" w:type="dxa"/>
          </w:tcPr>
          <w:p w14:paraId="1794E4D5">
            <w:pPr>
              <w:ind w:left="63" w:right="63"/>
            </w:pPr>
            <w:r>
              <w:rPr>
                <w:rFonts w:hint="eastAsia"/>
              </w:rPr>
              <w:t>机电工程</w:t>
            </w:r>
          </w:p>
          <w:p w14:paraId="77A15F8D">
            <w:pPr>
              <w:ind w:left="63" w:right="63"/>
            </w:pPr>
          </w:p>
        </w:tc>
        <w:tc>
          <w:tcPr>
            <w:tcW w:w="1265" w:type="dxa"/>
          </w:tcPr>
          <w:p w14:paraId="21759075">
            <w:pPr>
              <w:ind w:left="63" w:right="63"/>
            </w:pPr>
            <w:r>
              <w:rPr>
                <w:rFonts w:hint="eastAsia"/>
              </w:rPr>
              <w:t>甲方</w:t>
            </w:r>
          </w:p>
        </w:tc>
        <w:tc>
          <w:tcPr>
            <w:tcW w:w="6000" w:type="dxa"/>
          </w:tcPr>
          <w:p w14:paraId="3EC31349">
            <w:pPr>
              <w:ind w:left="63" w:right="63"/>
            </w:pPr>
            <w:r>
              <w:rPr>
                <w:rFonts w:hint="eastAsia"/>
              </w:rPr>
              <w:t>1、乙方负责幕墙招标范围内幕墙自身的防雷接地系统安装及与总防雷接地系统的连接，配合甲方完成防雷检测及验收。</w:t>
            </w:r>
          </w:p>
          <w:p w14:paraId="647B1E60">
            <w:pPr>
              <w:ind w:left="63" w:right="63"/>
            </w:pPr>
            <w:r>
              <w:rPr>
                <w:rFonts w:hint="eastAsia"/>
              </w:rPr>
              <w:t>2、配合防雷验收及第三方检测工作。</w:t>
            </w:r>
          </w:p>
          <w:p w14:paraId="758FC7FB">
            <w:pPr>
              <w:ind w:left="63" w:right="63"/>
            </w:pPr>
            <w:r>
              <w:rPr>
                <w:rFonts w:hint="eastAsia"/>
              </w:rPr>
              <w:t>3、乙方负责天沟及雨水斗供应、安装，雨水斗规格和位置由甲方提供，排水管由甲方完成。</w:t>
            </w:r>
          </w:p>
          <w:p w14:paraId="16224D52">
            <w:pPr>
              <w:ind w:left="63" w:right="63"/>
            </w:pPr>
            <w:r>
              <w:rPr>
                <w:rFonts w:hint="eastAsia"/>
              </w:rPr>
              <w:t>4、乙方负责提供电动开启扇控制器及其后端接线。</w:t>
            </w:r>
          </w:p>
          <w:p w14:paraId="3B12FBF7">
            <w:pPr>
              <w:ind w:left="63" w:right="63"/>
            </w:pPr>
            <w:r>
              <w:rPr>
                <w:rFonts w:hint="eastAsia"/>
              </w:rPr>
              <w:t>5、乙方负责提供及安装擦窗机设备插座及设备插座后端相关一切工作。</w:t>
            </w:r>
            <w:r>
              <w:rPr>
                <w:rFonts w:ascii="宋体" w:hAnsi="宋体"/>
                <w:color w:val="000000"/>
                <w:sz w:val="22"/>
              </w:rPr>
              <w:t>自预留接地点至擦窗机设备及导轨的连接由</w:t>
            </w:r>
            <w:r>
              <w:rPr>
                <w:rFonts w:hint="eastAsia" w:ascii="宋体" w:hAnsi="宋体"/>
                <w:color w:val="000000"/>
                <w:sz w:val="22"/>
              </w:rPr>
              <w:t>乙方</w:t>
            </w:r>
            <w:r>
              <w:rPr>
                <w:rFonts w:ascii="宋体" w:hAnsi="宋体"/>
                <w:color w:val="000000"/>
                <w:sz w:val="22"/>
              </w:rPr>
              <w:t>负责。</w:t>
            </w:r>
          </w:p>
          <w:p w14:paraId="4F85F887">
            <w:pPr>
              <w:ind w:left="63" w:right="63"/>
            </w:pPr>
            <w:r>
              <w:rPr>
                <w:rFonts w:hint="eastAsia"/>
              </w:rPr>
              <w:t>6、乙方负责完成屋顶层擦窗机给水管总阀门后端相关一切工作。</w:t>
            </w:r>
          </w:p>
          <w:p w14:paraId="5FC9D2A7">
            <w:pPr>
              <w:ind w:left="63" w:right="63"/>
            </w:pPr>
            <w:r>
              <w:rPr>
                <w:rFonts w:hint="eastAsia"/>
              </w:rPr>
              <w:t>7、乙方负责幕墙上的进风</w:t>
            </w:r>
            <w:r>
              <w:t>/</w:t>
            </w:r>
            <w:r>
              <w:rPr>
                <w:rFonts w:hint="eastAsia"/>
              </w:rPr>
              <w:t>排风百叶的供应、安装及收口。</w:t>
            </w:r>
          </w:p>
          <w:p w14:paraId="3C392489">
            <w:pPr>
              <w:ind w:left="63" w:right="63"/>
            </w:pPr>
            <w:r>
              <w:rPr>
                <w:rFonts w:hint="eastAsia"/>
              </w:rPr>
              <w:t>8、外立面上的逃生口标识由</w:t>
            </w:r>
            <w:r>
              <w:rPr>
                <w:rFonts w:hint="eastAsia"/>
                <w:bCs/>
                <w:color w:val="000000" w:themeColor="text1"/>
                <w14:textFill>
                  <w14:solidFill>
                    <w14:schemeClr w14:val="tx1"/>
                  </w14:solidFill>
                </w14:textFill>
              </w:rPr>
              <w:t>乙方</w:t>
            </w:r>
            <w:r>
              <w:rPr>
                <w:rFonts w:hint="eastAsia"/>
              </w:rPr>
              <w:t>施工。</w:t>
            </w:r>
          </w:p>
          <w:p w14:paraId="124E3F66">
            <w:pPr>
              <w:ind w:left="63" w:right="63"/>
              <w:rPr>
                <w:bCs/>
                <w:color w:val="000000" w:themeColor="text1"/>
                <w14:textFill>
                  <w14:solidFill>
                    <w14:schemeClr w14:val="tx1"/>
                  </w14:solidFill>
                </w14:textFill>
              </w:rPr>
            </w:pPr>
            <w:r>
              <w:rPr>
                <w:rFonts w:hint="eastAsia"/>
              </w:rPr>
              <w:t>9、手报装置和声光装置的开孔由</w:t>
            </w:r>
            <w:r>
              <w:rPr>
                <w:rFonts w:hint="eastAsia"/>
                <w:bCs/>
                <w:color w:val="000000" w:themeColor="text1"/>
                <w14:textFill>
                  <w14:solidFill>
                    <w14:schemeClr w14:val="tx1"/>
                  </w14:solidFill>
                </w14:textFill>
              </w:rPr>
              <w:t>乙方完成。</w:t>
            </w:r>
          </w:p>
          <w:p w14:paraId="693638FE">
            <w:pPr>
              <w:ind w:left="63" w:right="63"/>
              <w:rPr>
                <w:b/>
              </w:rPr>
            </w:pPr>
            <w:r>
              <w:rPr>
                <w:rFonts w:hint="eastAsia"/>
              </w:rPr>
              <w:t>10、乙方负责光伏幕墙组件、接线盒、直流汇流箱、逆变器、从光伏幕墙组件到逆变器的直流电缆；交流汇流箱、光伏并网计量柜、光伏交流汇流箱至配电房低压柜的交流电缆。</w:t>
            </w:r>
          </w:p>
        </w:tc>
        <w:tc>
          <w:tcPr>
            <w:tcW w:w="5580" w:type="dxa"/>
          </w:tcPr>
          <w:p w14:paraId="29A48DAD">
            <w:pPr>
              <w:ind w:left="63" w:right="63"/>
            </w:pPr>
            <w:r>
              <w:rPr>
                <w:rFonts w:hint="eastAsia"/>
              </w:rPr>
              <w:t>1、负责按防雷接地要求安装接驳接地装置提供给乙方。负责正负零以上一次结构中防雷接地系统施工、验收、移交；</w:t>
            </w:r>
          </w:p>
          <w:p w14:paraId="4A25C168">
            <w:pPr>
              <w:ind w:left="63" w:right="63"/>
            </w:pPr>
            <w:r>
              <w:rPr>
                <w:rFonts w:hint="eastAsia"/>
              </w:rPr>
              <w:t>2、机电专业工程承包人负责组织政府相关部门或第三方检测进行防雷工程过程检测及验收工作。</w:t>
            </w:r>
          </w:p>
          <w:p w14:paraId="6775DC9A">
            <w:pPr>
              <w:ind w:left="63" w:right="63"/>
            </w:pPr>
            <w:r>
              <w:rPr>
                <w:rFonts w:hint="eastAsia" w:ascii="宋体" w:hAnsi="宋体"/>
                <w:kern w:val="0"/>
                <w:szCs w:val="21"/>
              </w:rPr>
              <w:t>3、负责提供金属天沟内的雨水斗的规格和位置，竖向排水管由机电专业工程承包人完成</w:t>
            </w:r>
          </w:p>
          <w:p w14:paraId="6FBE2D57">
            <w:pPr>
              <w:ind w:left="63" w:right="63"/>
            </w:pPr>
            <w:r>
              <w:rPr>
                <w:rFonts w:hint="eastAsia"/>
              </w:rPr>
              <w:t>4、如有在主体结构上的套管预留预埋，均由甲方负责提供及埋设。</w:t>
            </w:r>
          </w:p>
          <w:p w14:paraId="531674C9">
            <w:pPr>
              <w:ind w:left="63" w:right="63"/>
            </w:pPr>
            <w:r>
              <w:rPr>
                <w:rFonts w:hint="eastAsia"/>
              </w:rPr>
              <w:t>5、甲方负责幕墙上预留的套管内的防水、防火封堵及因管路改动剔凿后的填充物覆盖。</w:t>
            </w:r>
          </w:p>
          <w:p w14:paraId="6D8365BE">
            <w:pPr>
              <w:ind w:left="63" w:right="63"/>
            </w:pPr>
            <w:r>
              <w:rPr>
                <w:rFonts w:hint="eastAsia"/>
              </w:rPr>
              <w:t>6、雨棚、屋面、天沟内的地漏与衔接至建筑排水系统的管道由甲方完成。</w:t>
            </w:r>
          </w:p>
          <w:p w14:paraId="20CF005D">
            <w:pPr>
              <w:ind w:left="63" w:right="63"/>
            </w:pPr>
            <w:r>
              <w:rPr>
                <w:rFonts w:hint="eastAsia"/>
              </w:rPr>
              <w:t>7、负责幕墙电动开启扇系统的配电箱</w:t>
            </w:r>
            <w:r>
              <w:t>(</w:t>
            </w:r>
            <w:r>
              <w:rPr>
                <w:rFonts w:hint="eastAsia"/>
              </w:rPr>
              <w:t>柜</w:t>
            </w:r>
            <w:r>
              <w:t>)</w:t>
            </w:r>
            <w:r>
              <w:rPr>
                <w:rFonts w:hint="eastAsia"/>
              </w:rPr>
              <w:t>、电线电缆、桥架的安装，甲方负责接线至电动开启扇控制器。</w:t>
            </w:r>
          </w:p>
          <w:p w14:paraId="46EA2FD4">
            <w:pPr>
              <w:ind w:left="63" w:right="63"/>
            </w:pPr>
            <w:r>
              <w:rPr>
                <w:rFonts w:hint="eastAsia"/>
              </w:rPr>
              <w:t>8、甲方负责擦窗机配电箱及配电箱进出线，出线引至擦窗机设备插座位置并负责接线。</w:t>
            </w:r>
            <w:r>
              <w:t xml:space="preserve"> </w:t>
            </w:r>
          </w:p>
          <w:p w14:paraId="64460A3C">
            <w:pPr>
              <w:ind w:left="63" w:right="63"/>
            </w:pPr>
            <w:r>
              <w:rPr>
                <w:rFonts w:hint="eastAsia"/>
              </w:rPr>
              <w:t>9、甲方负责屋顶层擦窗机给水管总阀门（包含总阀门）前的管线供应、安装。</w:t>
            </w:r>
            <w:r>
              <w:t xml:space="preserve">                                                                                                                                       </w:t>
            </w:r>
          </w:p>
          <w:p w14:paraId="471EEB07">
            <w:pPr>
              <w:ind w:left="63" w:right="63"/>
            </w:pPr>
            <w:r>
              <w:rPr>
                <w:rFonts w:hint="eastAsia"/>
              </w:rPr>
              <w:t>10、甲方负责提供百叶尺寸、复核百叶位置，完成百叶与风管的接驳与密封工作。</w:t>
            </w:r>
          </w:p>
          <w:p w14:paraId="486D71C8">
            <w:pPr>
              <w:ind w:left="63" w:right="63"/>
            </w:pPr>
            <w:r>
              <w:rPr>
                <w:rFonts w:hint="eastAsia"/>
              </w:rPr>
              <w:t>11、消防百叶与风管的接驳与密封由甲方负责。</w:t>
            </w:r>
          </w:p>
          <w:p w14:paraId="795ABCDE">
            <w:pPr>
              <w:ind w:left="63" w:right="63"/>
            </w:pPr>
            <w:r>
              <w:rPr>
                <w:rFonts w:hint="eastAsia"/>
              </w:rPr>
              <w:t>12、手报装置和声光装置由甲方安装。</w:t>
            </w:r>
          </w:p>
          <w:p w14:paraId="0E7BB326">
            <w:pPr>
              <w:ind w:left="63" w:right="63"/>
            </w:pPr>
            <w:r>
              <w:rPr>
                <w:rFonts w:hint="eastAsia"/>
              </w:rPr>
              <w:t>13、负责验收的总体策划和实施，包括消防第三方检测工作。确保消防验收通过。</w:t>
            </w:r>
          </w:p>
          <w:p w14:paraId="6193F0E7">
            <w:pPr>
              <w:ind w:left="63" w:right="63"/>
              <w:rPr>
                <w:b/>
                <w:bCs/>
              </w:rPr>
            </w:pPr>
            <w:r>
              <w:rPr>
                <w:rFonts w:hint="eastAsia"/>
              </w:rPr>
              <w:t>14、负责在低压柜预留光伏并网的断路器。</w:t>
            </w:r>
            <w:r>
              <w:rPr>
                <w:b/>
                <w:bCs/>
              </w:rPr>
              <w:t xml:space="preserve">                                                                           </w:t>
            </w:r>
          </w:p>
        </w:tc>
      </w:tr>
      <w:tr w14:paraId="10F8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4E35B989">
            <w:pPr>
              <w:ind w:left="63" w:right="63"/>
            </w:pPr>
            <w:r>
              <w:t>3</w:t>
            </w:r>
          </w:p>
        </w:tc>
        <w:tc>
          <w:tcPr>
            <w:tcW w:w="1286" w:type="dxa"/>
          </w:tcPr>
          <w:p w14:paraId="0D4CD897">
            <w:pPr>
              <w:ind w:left="63" w:right="63"/>
            </w:pPr>
            <w:r>
              <w:t>景观工程</w:t>
            </w:r>
          </w:p>
          <w:p w14:paraId="75362B34">
            <w:pPr>
              <w:ind w:left="63" w:right="63"/>
            </w:pPr>
          </w:p>
        </w:tc>
        <w:tc>
          <w:tcPr>
            <w:tcW w:w="1265" w:type="dxa"/>
          </w:tcPr>
          <w:p w14:paraId="69E3CCD5">
            <w:pPr>
              <w:ind w:left="63" w:right="63"/>
            </w:pPr>
            <w:r>
              <w:rPr>
                <w:rFonts w:hint="eastAsia"/>
              </w:rPr>
              <w:t>景观专业承包人</w:t>
            </w:r>
          </w:p>
        </w:tc>
        <w:tc>
          <w:tcPr>
            <w:tcW w:w="6000" w:type="dxa"/>
          </w:tcPr>
          <w:p w14:paraId="2203DF0D">
            <w:pPr>
              <w:ind w:left="63" w:right="63"/>
            </w:pPr>
            <w:r>
              <w:rPr>
                <w:rFonts w:hint="eastAsia"/>
              </w:rPr>
              <w:t>1、乙方在图纸深化时应充分复核景观施工图纸并进行交圈，现场复核基准轴线及标高，保证两个专业基础标高数据统一。</w:t>
            </w:r>
          </w:p>
          <w:p w14:paraId="6CBF1713">
            <w:pPr>
              <w:ind w:left="63" w:right="63"/>
            </w:pPr>
            <w:r>
              <w:rPr>
                <w:rFonts w:hint="eastAsia"/>
              </w:rPr>
              <w:t>2、乙方应完成幕墙与景观交接部位的防水处理。</w:t>
            </w:r>
          </w:p>
          <w:p w14:paraId="01D11E14">
            <w:pPr>
              <w:pStyle w:val="111"/>
              <w:ind w:left="63" w:right="63" w:firstLine="0" w:firstLineChars="0"/>
            </w:pPr>
            <w:r>
              <w:rPr>
                <w:rFonts w:hint="eastAsia"/>
              </w:rPr>
              <w:t>3、在幕墙与景观交叉施工作业时，乙方应做好与景观交叉施工部位的相关半成品、成品保护。</w:t>
            </w:r>
          </w:p>
        </w:tc>
        <w:tc>
          <w:tcPr>
            <w:tcW w:w="5580" w:type="dxa"/>
          </w:tcPr>
          <w:p w14:paraId="79BEB7FD">
            <w:pPr>
              <w:ind w:left="63" w:right="63"/>
            </w:pPr>
            <w:r>
              <w:rPr>
                <w:rFonts w:hint="eastAsia"/>
              </w:rPr>
              <w:t>1、</w:t>
            </w:r>
            <w:r>
              <w:t>确定两者施工的先后顺序，</w:t>
            </w:r>
            <w:r>
              <w:rPr>
                <w:rFonts w:hint="eastAsia"/>
              </w:rPr>
              <w:t>专业承包人</w:t>
            </w:r>
            <w:r>
              <w:t>后施工时应对幕墙成品做好保护，不能随意污染和破坏已完成幕墙工程成品。</w:t>
            </w:r>
          </w:p>
          <w:p w14:paraId="533A2B2F">
            <w:pPr>
              <w:ind w:left="63" w:right="63"/>
            </w:pPr>
            <w:r>
              <w:rPr>
                <w:rFonts w:hint="eastAsia"/>
              </w:rPr>
              <w:t>2、专业承包人应提前与建筑结构及幕墙叠图交圈，并反馈近建筑物所需收边收口具体样式，安排合理排水坡向，以免出现积水及排水不畅。</w:t>
            </w:r>
          </w:p>
          <w:p w14:paraId="08B9E1D0">
            <w:pPr>
              <w:ind w:left="63" w:right="63"/>
            </w:pPr>
            <w:r>
              <w:rPr>
                <w:rFonts w:hint="eastAsia"/>
              </w:rPr>
              <w:t>3、专业承包人镜面水及大面积水景近建筑幕墙处应做一体化结构处理，做好防水及二次排水处理，以免对建筑及幕墙面板造成锈蚀或漏水影响。</w:t>
            </w:r>
          </w:p>
        </w:tc>
      </w:tr>
      <w:tr w14:paraId="7C0B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6E40B71A">
            <w:pPr>
              <w:ind w:left="63" w:right="63"/>
            </w:pPr>
            <w:r>
              <w:rPr>
                <w:rFonts w:hint="eastAsia"/>
              </w:rPr>
              <w:t>4</w:t>
            </w:r>
          </w:p>
        </w:tc>
        <w:tc>
          <w:tcPr>
            <w:tcW w:w="1286" w:type="dxa"/>
          </w:tcPr>
          <w:p w14:paraId="1318CBEA">
            <w:pPr>
              <w:ind w:left="63" w:right="63"/>
            </w:pPr>
            <w:r>
              <w:t>精装修工程</w:t>
            </w:r>
          </w:p>
        </w:tc>
        <w:tc>
          <w:tcPr>
            <w:tcW w:w="1265" w:type="dxa"/>
          </w:tcPr>
          <w:p w14:paraId="53D4BDBF">
            <w:pPr>
              <w:ind w:left="63" w:right="63"/>
            </w:pPr>
            <w:r>
              <w:rPr>
                <w:rFonts w:hint="eastAsia"/>
              </w:rPr>
              <w:t>精装修专业承包人</w:t>
            </w:r>
          </w:p>
        </w:tc>
        <w:tc>
          <w:tcPr>
            <w:tcW w:w="6000" w:type="dxa"/>
          </w:tcPr>
          <w:p w14:paraId="718012EE">
            <w:pPr>
              <w:ind w:left="63" w:right="63"/>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乙方负责幕墙与结构之间防火构造，应包含供应、安装防火及隔烟镀锌钢板及其他防火材料，以及层间横竖向封堵板，乙方封堵的原则是除满足消防排烟以及相关性能要求外，应使每一个独立区域成为密闭完整的空间。</w:t>
            </w:r>
          </w:p>
          <w:p w14:paraId="6566C385">
            <w:pPr>
              <w:ind w:left="63" w:right="63"/>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2、乙方应负责供应、安装室内窗台盖板。</w:t>
            </w:r>
          </w:p>
          <w:p w14:paraId="786DE1BC">
            <w:pPr>
              <w:ind w:left="63" w:right="63"/>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3、精装修工程如因需利用幕墙骨架进行连接固定时，乙方应复核幕墙骨架的安全性。</w:t>
            </w:r>
          </w:p>
          <w:p w14:paraId="7B033B85">
            <w:pPr>
              <w:ind w:left="63" w:right="63"/>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4、乙方</w:t>
            </w:r>
            <w:r>
              <w:rPr>
                <w:bCs/>
                <w:color w:val="000000" w:themeColor="text1"/>
                <w14:textFill>
                  <w14:solidFill>
                    <w14:schemeClr w14:val="tx1"/>
                  </w14:solidFill>
                </w14:textFill>
              </w:rPr>
              <w:t>在幕墙施工完成后应进行成品保护工作，</w:t>
            </w:r>
            <w:r>
              <w:rPr>
                <w:rFonts w:hint="eastAsia"/>
                <w:bCs/>
                <w:color w:val="000000" w:themeColor="text1"/>
                <w14:textFill>
                  <w14:solidFill>
                    <w14:schemeClr w14:val="tx1"/>
                  </w14:solidFill>
                </w14:textFill>
              </w:rPr>
              <w:t>对于</w:t>
            </w:r>
            <w:r>
              <w:rPr>
                <w:bCs/>
                <w:color w:val="000000" w:themeColor="text1"/>
                <w14:textFill>
                  <w14:solidFill>
                    <w14:schemeClr w14:val="tx1"/>
                  </w14:solidFill>
                </w14:textFill>
              </w:rPr>
              <w:t>铝板、型材及玻璃等保护膜撕除前应和精装修</w:t>
            </w:r>
            <w:r>
              <w:rPr>
                <w:rFonts w:hint="eastAsia"/>
                <w:bCs/>
                <w:color w:val="000000" w:themeColor="text1"/>
                <w14:textFill>
                  <w14:solidFill>
                    <w14:schemeClr w14:val="tx1"/>
                  </w14:solidFill>
                </w14:textFill>
              </w:rPr>
              <w:t>专业承包人</w:t>
            </w:r>
            <w:r>
              <w:rPr>
                <w:bCs/>
                <w:color w:val="000000" w:themeColor="text1"/>
                <w14:textFill>
                  <w14:solidFill>
                    <w14:schemeClr w14:val="tx1"/>
                  </w14:solidFill>
                </w14:textFill>
              </w:rPr>
              <w:t>沟通并经</w:t>
            </w:r>
            <w:r>
              <w:rPr>
                <w:rFonts w:hint="eastAsia"/>
                <w:bCs/>
                <w:color w:val="000000" w:themeColor="text1"/>
                <w14:textFill>
                  <w14:solidFill>
                    <w14:schemeClr w14:val="tx1"/>
                  </w14:solidFill>
                </w14:textFill>
              </w:rPr>
              <w:t>建设单位和监理人</w:t>
            </w:r>
            <w:r>
              <w:rPr>
                <w:bCs/>
                <w:color w:val="000000" w:themeColor="text1"/>
                <w14:textFill>
                  <w14:solidFill>
                    <w14:schemeClr w14:val="tx1"/>
                  </w14:solidFill>
                </w14:textFill>
              </w:rPr>
              <w:t>同意后方可安排</w:t>
            </w:r>
            <w:r>
              <w:rPr>
                <w:rFonts w:hint="eastAsia"/>
                <w:bCs/>
                <w:color w:val="000000" w:themeColor="text1"/>
                <w14:textFill>
                  <w14:solidFill>
                    <w14:schemeClr w14:val="tx1"/>
                  </w14:solidFill>
                </w14:textFill>
              </w:rPr>
              <w:t>，乙方应充分评估保护膜时效性及精装修大面施工阶段成品保护的责任，必要时需要撕除原保护膜进行二次复膜保护。</w:t>
            </w:r>
          </w:p>
          <w:p w14:paraId="4C81BE66">
            <w:pPr>
              <w:pStyle w:val="111"/>
              <w:ind w:left="63" w:right="63" w:firstLine="0" w:firstLineChars="0"/>
              <w:rPr>
                <w:rFonts w:ascii="宋体" w:hAnsi="宋体"/>
                <w:kern w:val="0"/>
                <w:szCs w:val="21"/>
              </w:rPr>
            </w:pPr>
            <w:r>
              <w:rPr>
                <w:rFonts w:hint="eastAsia"/>
                <w:bCs/>
                <w:color w:val="000000" w:themeColor="text1"/>
                <w14:textFill>
                  <w14:solidFill>
                    <w14:schemeClr w14:val="tx1"/>
                  </w14:solidFill>
                </w14:textFill>
              </w:rPr>
              <w:t>5、为保证精装修工程(包括精装样板间)施工，乙方需要根据合同要求对楼层内幕墙与结构之间空隙进行截水处理，包含材料供应和安装工作。</w:t>
            </w:r>
          </w:p>
        </w:tc>
        <w:tc>
          <w:tcPr>
            <w:tcW w:w="5580" w:type="dxa"/>
          </w:tcPr>
          <w:p w14:paraId="39380FC5">
            <w:pPr>
              <w:ind w:left="63" w:right="63"/>
              <w:rPr>
                <w:b/>
                <w:color w:val="C00000"/>
              </w:rPr>
            </w:pPr>
            <w:r>
              <w:rPr>
                <w:rFonts w:hint="eastAsia"/>
              </w:rPr>
              <w:t>1、专业承包人</w:t>
            </w:r>
            <w:r>
              <w:rPr>
                <w:rFonts w:hint="eastAsia"/>
                <w:bCs/>
                <w:color w:val="000000" w:themeColor="text1"/>
                <w14:textFill>
                  <w14:solidFill>
                    <w14:schemeClr w14:val="tx1"/>
                  </w14:solidFill>
                </w14:textFill>
              </w:rPr>
              <w:t>负责室内地面和天花吊顶与幕墙收边收口处理,承包人与精装承包人在监理人见证下办理明确的工作面书面移交。负责分户墙及隔间位置的竖向封堵。</w:t>
            </w:r>
          </w:p>
          <w:p w14:paraId="60E11730">
            <w:pPr>
              <w:ind w:left="63" w:right="63"/>
            </w:pPr>
            <w:r>
              <w:rPr>
                <w:rFonts w:hint="eastAsia"/>
              </w:rPr>
              <w:t>2、专业工程承包人进场后，负责接收精装修工程与幕墙工程有交界面的成品保护工作，负责组织后续室内移交物业的保洁实施。</w:t>
            </w:r>
          </w:p>
          <w:p w14:paraId="25CDFE61">
            <w:pPr>
              <w:ind w:left="63" w:right="63"/>
            </w:pPr>
            <w:r>
              <w:rPr>
                <w:rFonts w:hint="eastAsia"/>
              </w:rPr>
              <w:t>3、地面找平和面层施工时，负责幕墙与土建结构之间防火漆封修部位的保护措施。</w:t>
            </w:r>
          </w:p>
          <w:p w14:paraId="0A835B93">
            <w:pPr>
              <w:ind w:left="63" w:right="63"/>
            </w:pPr>
          </w:p>
        </w:tc>
      </w:tr>
      <w:tr w14:paraId="2A7E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94" w:type="dxa"/>
          </w:tcPr>
          <w:p w14:paraId="6698A838">
            <w:pPr>
              <w:ind w:left="63" w:right="63"/>
            </w:pPr>
            <w:r>
              <w:rPr>
                <w:rFonts w:hint="eastAsia"/>
              </w:rPr>
              <w:t>5</w:t>
            </w:r>
          </w:p>
        </w:tc>
        <w:tc>
          <w:tcPr>
            <w:tcW w:w="1286" w:type="dxa"/>
          </w:tcPr>
          <w:p w14:paraId="7443B8FA">
            <w:pPr>
              <w:ind w:left="63" w:right="63"/>
            </w:pPr>
            <w:r>
              <w:rPr>
                <w:rFonts w:hint="eastAsia"/>
              </w:rPr>
              <w:t>智能化工程</w:t>
            </w:r>
          </w:p>
        </w:tc>
        <w:tc>
          <w:tcPr>
            <w:tcW w:w="1265" w:type="dxa"/>
          </w:tcPr>
          <w:p w14:paraId="2556AC9A">
            <w:pPr>
              <w:ind w:left="63" w:right="63"/>
            </w:pPr>
            <w:r>
              <w:rPr>
                <w:rFonts w:hint="eastAsia"/>
              </w:rPr>
              <w:t>智能化专业承包人</w:t>
            </w:r>
          </w:p>
        </w:tc>
        <w:tc>
          <w:tcPr>
            <w:tcW w:w="6000" w:type="dxa"/>
          </w:tcPr>
          <w:p w14:paraId="307D20B3">
            <w:pPr>
              <w:ind w:left="63" w:right="63"/>
            </w:pPr>
            <w:r>
              <w:rPr>
                <w:rFonts w:hint="eastAsia"/>
              </w:rPr>
              <w:t>1、负责幕墙范围内针对智能化专业需求的相关支架、底座的开孔工作和孔洞穿管后防水修复等工作。</w:t>
            </w:r>
          </w:p>
          <w:p w14:paraId="0D903CF4">
            <w:pPr>
              <w:ind w:left="63" w:right="63"/>
            </w:pPr>
            <w:r>
              <w:rPr>
                <w:rFonts w:hint="eastAsia"/>
              </w:rPr>
              <w:t>2、配合智能化工程验收及第三方检测工作。</w:t>
            </w:r>
          </w:p>
        </w:tc>
        <w:tc>
          <w:tcPr>
            <w:tcW w:w="5580" w:type="dxa"/>
          </w:tcPr>
          <w:p w14:paraId="0705F544">
            <w:pPr>
              <w:ind w:left="63" w:right="63"/>
            </w:pPr>
            <w:r>
              <w:rPr>
                <w:rFonts w:hint="eastAsia"/>
              </w:rPr>
              <w:t>1、专业承包人负责就与智能化相关的幕墙专业预留（包括但不限于相关的支架、底座、开孔等）进行深化设计提资。</w:t>
            </w:r>
          </w:p>
          <w:p w14:paraId="3A8EFD1A">
            <w:pPr>
              <w:ind w:left="63" w:right="63"/>
            </w:pPr>
            <w:r>
              <w:rPr>
                <w:rFonts w:hint="eastAsia"/>
              </w:rPr>
              <w:t>2、负责智能化工程的预留预埋工作。</w:t>
            </w:r>
          </w:p>
          <w:p w14:paraId="7B243E14">
            <w:pPr>
              <w:ind w:left="63" w:right="63"/>
            </w:pPr>
            <w:r>
              <w:rPr>
                <w:rFonts w:hint="eastAsia"/>
              </w:rPr>
              <w:t>3、负责穿孔管道内防水处理。</w:t>
            </w:r>
          </w:p>
        </w:tc>
      </w:tr>
      <w:tr w14:paraId="2109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3EA00FF8">
            <w:pPr>
              <w:ind w:left="63" w:right="63"/>
            </w:pPr>
            <w:r>
              <w:rPr>
                <w:rFonts w:hint="eastAsia"/>
              </w:rPr>
              <w:t>6</w:t>
            </w:r>
          </w:p>
        </w:tc>
        <w:tc>
          <w:tcPr>
            <w:tcW w:w="1286" w:type="dxa"/>
          </w:tcPr>
          <w:p w14:paraId="7D3CA5C3">
            <w:pPr>
              <w:ind w:left="63" w:right="63"/>
            </w:pPr>
            <w:r>
              <w:rPr>
                <w:rFonts w:hint="eastAsia"/>
              </w:rPr>
              <w:t>泛光照明工程</w:t>
            </w:r>
          </w:p>
        </w:tc>
        <w:tc>
          <w:tcPr>
            <w:tcW w:w="1265" w:type="dxa"/>
          </w:tcPr>
          <w:p w14:paraId="5E7C4885">
            <w:pPr>
              <w:ind w:left="63" w:right="63"/>
            </w:pPr>
            <w:r>
              <w:rPr>
                <w:rFonts w:hint="eastAsia"/>
              </w:rPr>
              <w:t>泛光专业承包人</w:t>
            </w:r>
          </w:p>
        </w:tc>
        <w:tc>
          <w:tcPr>
            <w:tcW w:w="6000" w:type="dxa"/>
          </w:tcPr>
          <w:p w14:paraId="35972177">
            <w:pPr>
              <w:ind w:left="63" w:right="63"/>
            </w:pPr>
            <w:r>
              <w:rPr>
                <w:rFonts w:hint="eastAsia"/>
              </w:rPr>
              <w:t>1、负责幕墙范围内针对泛光专业需求的相关支架、底座的开孔和孔洞穿管后防水修复等工程施工。负责在幕墙系统内提供灯具所需的固定及装饰盖板、铝型材灯槽、连接位置及码件、布线开口穿孔及其防水封堵的施工。</w:t>
            </w:r>
          </w:p>
          <w:p w14:paraId="3F0C44F5">
            <w:pPr>
              <w:ind w:left="63" w:right="63"/>
            </w:pPr>
            <w:r>
              <w:rPr>
                <w:rFonts w:hint="eastAsia"/>
              </w:rPr>
              <w:t>2、配合泛光工程进行幕墙（立面、雨蓬等）工程范围内的外立面泛光的连接、布线、固定及灯具隐藏装饰的深化设计。</w:t>
            </w:r>
          </w:p>
          <w:p w14:paraId="4292C75E">
            <w:pPr>
              <w:ind w:left="63" w:right="63"/>
            </w:pPr>
            <w:r>
              <w:rPr>
                <w:rFonts w:hint="eastAsia"/>
              </w:rPr>
              <w:t>3、配合专业工程承包人的安装工作，协同甲方提供现有的脚手架、垂直运输设施、吊篮等供专业工程承包人使用。</w:t>
            </w:r>
          </w:p>
          <w:p w14:paraId="24FE71BA">
            <w:pPr>
              <w:ind w:left="63" w:right="63"/>
            </w:pPr>
            <w:r>
              <w:rPr>
                <w:rFonts w:hint="eastAsia"/>
              </w:rPr>
              <w:t>4、配合泛光工程现场实体样板段安装及优化调整，对于泛光明确需要安装实体样板的部位，应提前组织生产及现场安装。</w:t>
            </w:r>
          </w:p>
          <w:p w14:paraId="07370741">
            <w:pPr>
              <w:ind w:left="63" w:right="63"/>
            </w:pPr>
            <w:r>
              <w:rPr>
                <w:rFonts w:hint="eastAsia"/>
              </w:rPr>
              <w:t>5、负责穿孔管道内防水处理。</w:t>
            </w:r>
          </w:p>
        </w:tc>
        <w:tc>
          <w:tcPr>
            <w:tcW w:w="5580" w:type="dxa"/>
          </w:tcPr>
          <w:p w14:paraId="61FE9797">
            <w:pPr>
              <w:ind w:left="63" w:right="63"/>
            </w:pPr>
            <w:r>
              <w:rPr>
                <w:rFonts w:hint="eastAsia"/>
              </w:rPr>
              <w:t>1、专业工程承包人负责就与泛光专业工程相关的幕墙专业预留（包括但不限于相关的灯槽、支架、底座、开孔等）进行深化设计提资。</w:t>
            </w:r>
          </w:p>
          <w:p w14:paraId="77239A71">
            <w:pPr>
              <w:ind w:left="63" w:right="63"/>
            </w:pPr>
            <w:r>
              <w:rPr>
                <w:rFonts w:hint="eastAsia"/>
              </w:rPr>
              <w:t>2、专业工程承包人负责泛光照明工程的所有预留预埋工作。</w:t>
            </w:r>
          </w:p>
          <w:p w14:paraId="187DC22F">
            <w:pPr>
              <w:ind w:left="63" w:right="63"/>
            </w:pPr>
            <w:r>
              <w:rPr>
                <w:rFonts w:hint="eastAsia"/>
              </w:rPr>
              <w:t>3、泛光照明配电箱及所有出线回路的线管由专业承包人完成。</w:t>
            </w:r>
          </w:p>
          <w:p w14:paraId="19735D08">
            <w:pPr>
              <w:ind w:left="63" w:right="63"/>
            </w:pPr>
            <w:r>
              <w:rPr>
                <w:rFonts w:hint="eastAsia"/>
              </w:rPr>
              <w:t>4、室外泛光照明的灯具自身的防水、防尘由泛光专业承包人负责。</w:t>
            </w:r>
          </w:p>
          <w:p w14:paraId="6EFC031E">
            <w:pPr>
              <w:ind w:left="63" w:right="63"/>
            </w:pPr>
            <w:r>
              <w:rPr>
                <w:rFonts w:hint="eastAsia"/>
              </w:rPr>
              <w:t>5、灯具穿线套管由专业承包人负责供应及施工，对于需要在幕墙工厂预留安装的灯具、管线、构配件，</w:t>
            </w:r>
            <w:r>
              <w:rPr>
                <w:rFonts w:ascii="宋体" w:hAnsi="宋体"/>
                <w:color w:val="000000"/>
                <w:sz w:val="22"/>
              </w:rPr>
              <w:t>由</w:t>
            </w:r>
            <w:r>
              <w:rPr>
                <w:rFonts w:hint="eastAsia" w:ascii="宋体" w:hAnsi="宋体"/>
                <w:color w:val="000000"/>
                <w:sz w:val="22"/>
              </w:rPr>
              <w:t>专业</w:t>
            </w:r>
            <w:r>
              <w:rPr>
                <w:rFonts w:ascii="宋体" w:hAnsi="宋体"/>
                <w:color w:val="000000"/>
                <w:sz w:val="22"/>
              </w:rPr>
              <w:t>承包</w:t>
            </w:r>
            <w:r>
              <w:rPr>
                <w:rFonts w:hint="eastAsia" w:ascii="宋体" w:hAnsi="宋体"/>
                <w:color w:val="000000"/>
                <w:sz w:val="22"/>
              </w:rPr>
              <w:t>人</w:t>
            </w:r>
            <w:r>
              <w:rPr>
                <w:rFonts w:ascii="宋体" w:hAnsi="宋体"/>
                <w:color w:val="000000"/>
                <w:sz w:val="22"/>
              </w:rPr>
              <w:t>提供至幕墙承包商指定的加工厂，</w:t>
            </w:r>
            <w:r>
              <w:rPr>
                <w:rFonts w:hint="eastAsia"/>
              </w:rPr>
              <w:t>并由专业承包人安排工人到幕墙工厂驻场配合，</w:t>
            </w:r>
            <w:r>
              <w:rPr>
                <w:rFonts w:ascii="宋体" w:hAnsi="宋体"/>
                <w:color w:val="000000"/>
                <w:sz w:val="22"/>
              </w:rPr>
              <w:t>由</w:t>
            </w:r>
            <w:r>
              <w:rPr>
                <w:rFonts w:hint="eastAsia" w:ascii="宋体" w:hAnsi="宋体"/>
                <w:color w:val="000000"/>
                <w:sz w:val="22"/>
              </w:rPr>
              <w:t>乙方</w:t>
            </w:r>
            <w:r>
              <w:rPr>
                <w:rFonts w:ascii="宋体" w:hAnsi="宋体"/>
                <w:color w:val="000000"/>
                <w:sz w:val="22"/>
              </w:rPr>
              <w:t>在幕墙加工厂完成安装、防水密封及收口</w:t>
            </w:r>
            <w:r>
              <w:rPr>
                <w:rFonts w:hint="eastAsia"/>
              </w:rPr>
              <w:t>。同时满足幕墙现场安装进度要求。</w:t>
            </w:r>
          </w:p>
        </w:tc>
      </w:tr>
      <w:tr w14:paraId="2DD8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215CD3DD">
            <w:pPr>
              <w:ind w:left="63" w:right="63"/>
            </w:pPr>
            <w:r>
              <w:rPr>
                <w:rFonts w:hint="eastAsia"/>
              </w:rPr>
              <w:t>7</w:t>
            </w:r>
          </w:p>
        </w:tc>
        <w:tc>
          <w:tcPr>
            <w:tcW w:w="1286" w:type="dxa"/>
          </w:tcPr>
          <w:p w14:paraId="699DAF9A">
            <w:pPr>
              <w:ind w:left="63" w:right="63"/>
            </w:pPr>
            <w:r>
              <w:rPr>
                <w:rFonts w:hint="eastAsia"/>
              </w:rPr>
              <w:t>标识工程</w:t>
            </w:r>
          </w:p>
        </w:tc>
        <w:tc>
          <w:tcPr>
            <w:tcW w:w="1265" w:type="dxa"/>
          </w:tcPr>
          <w:p w14:paraId="6CC21D6D">
            <w:pPr>
              <w:ind w:left="63" w:right="63"/>
            </w:pPr>
            <w:r>
              <w:rPr>
                <w:rFonts w:hint="eastAsia"/>
              </w:rPr>
              <w:t>精装修专业承包人</w:t>
            </w:r>
          </w:p>
        </w:tc>
        <w:tc>
          <w:tcPr>
            <w:tcW w:w="6000" w:type="dxa"/>
          </w:tcPr>
          <w:p w14:paraId="4C133E3A">
            <w:pPr>
              <w:ind w:left="63" w:right="63"/>
            </w:pPr>
            <w:r>
              <w:rPr>
                <w:rFonts w:hint="eastAsia"/>
              </w:rPr>
              <w:t>1、乙方须配合标识工程进行幕墙（立面、雨蓬等）工程范围内的外立面的连接、布线、固定及相关构件隐藏装饰的设计，并负责在幕墙系统内提供标识所需的固定及装饰盖板、连接码件、布线开口穿孔及其防水封堵的施工。</w:t>
            </w:r>
          </w:p>
          <w:p w14:paraId="2C9E0463">
            <w:pPr>
              <w:ind w:left="63" w:right="63"/>
            </w:pPr>
            <w:r>
              <w:rPr>
                <w:rFonts w:hint="eastAsia"/>
                <w:bCs/>
                <w:color w:val="000000" w:themeColor="text1"/>
                <w14:textFill>
                  <w14:solidFill>
                    <w14:schemeClr w14:val="tx1"/>
                  </w14:solidFill>
                </w14:textFill>
              </w:rPr>
              <w:t>2、负责配合</w:t>
            </w:r>
            <w:r>
              <w:rPr>
                <w:rFonts w:hint="eastAsia"/>
              </w:rPr>
              <w:t>专业承包人安装</w:t>
            </w:r>
            <w:r>
              <w:rPr>
                <w:rFonts w:hint="eastAsia"/>
                <w:bCs/>
                <w:color w:val="000000" w:themeColor="text1"/>
                <w14:textFill>
                  <w14:solidFill>
                    <w14:schemeClr w14:val="tx1"/>
                  </w14:solidFill>
                </w14:textFill>
              </w:rPr>
              <w:t>施工。当标识工程需要利用幕墙骨架进行连接固定时，乙方应复核幕墙骨架的安全性。</w:t>
            </w:r>
          </w:p>
        </w:tc>
        <w:tc>
          <w:tcPr>
            <w:tcW w:w="5580" w:type="dxa"/>
          </w:tcPr>
          <w:p w14:paraId="69A76160">
            <w:pPr>
              <w:ind w:left="63" w:right="63"/>
            </w:pPr>
            <w:r>
              <w:rPr>
                <w:rFonts w:hint="eastAsia"/>
              </w:rPr>
              <w:t>1、专业承包人负责标识工程的所有预留、预埋工作。</w:t>
            </w:r>
          </w:p>
          <w:p w14:paraId="7347FF49">
            <w:pPr>
              <w:ind w:left="63" w:right="63"/>
            </w:pPr>
            <w:r>
              <w:rPr>
                <w:rFonts w:hint="eastAsia"/>
              </w:rPr>
              <w:t>2、专业承包人负责穿孔管道内防水处理。</w:t>
            </w:r>
          </w:p>
          <w:p w14:paraId="6D5C2248">
            <w:pPr>
              <w:ind w:left="63" w:right="63"/>
            </w:pPr>
            <w:r>
              <w:rPr>
                <w:rFonts w:hint="eastAsia"/>
              </w:rPr>
              <w:t>3、完成标识的配电箱及所有出线回路。</w:t>
            </w:r>
          </w:p>
          <w:p w14:paraId="39C7D3F7">
            <w:pPr>
              <w:ind w:left="63" w:right="63"/>
            </w:pPr>
            <w:r>
              <w:rPr>
                <w:rFonts w:hint="eastAsia"/>
              </w:rPr>
              <w:t>4、室外标识标牌自身的防水、防尘由专业承包人负责。</w:t>
            </w:r>
          </w:p>
          <w:p w14:paraId="1AC4960F">
            <w:pPr>
              <w:ind w:left="63" w:right="63"/>
            </w:pPr>
            <w:r>
              <w:rPr>
                <w:rFonts w:hint="eastAsia"/>
              </w:rPr>
              <w:t>5、</w:t>
            </w:r>
            <w:r>
              <w:t>对于需要在幕墙工厂预留安装的灯具、管线，由专业承包人安排工人到幕墙工厂驻场安装。</w:t>
            </w:r>
          </w:p>
        </w:tc>
      </w:tr>
      <w:tr w14:paraId="60C4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3F611046">
            <w:pPr>
              <w:ind w:left="63" w:right="63"/>
            </w:pPr>
            <w:r>
              <w:rPr>
                <w:rFonts w:hint="eastAsia"/>
              </w:rPr>
              <w:t>8</w:t>
            </w:r>
          </w:p>
        </w:tc>
        <w:tc>
          <w:tcPr>
            <w:tcW w:w="1286" w:type="dxa"/>
          </w:tcPr>
          <w:p w14:paraId="23AD39CC">
            <w:pPr>
              <w:ind w:left="63" w:right="63"/>
            </w:pPr>
            <w:r>
              <w:rPr>
                <w:rFonts w:hint="eastAsia"/>
              </w:rPr>
              <w:t>燃气工程</w:t>
            </w:r>
          </w:p>
        </w:tc>
        <w:tc>
          <w:tcPr>
            <w:tcW w:w="1265" w:type="dxa"/>
          </w:tcPr>
          <w:p w14:paraId="1CA771A4">
            <w:pPr>
              <w:ind w:left="63" w:right="63"/>
              <w:rPr>
                <w:color w:val="000000"/>
                <w:sz w:val="22"/>
              </w:rPr>
            </w:pPr>
            <w:r>
              <w:rPr>
                <w:rFonts w:hint="eastAsia"/>
                <w:color w:val="000000"/>
                <w:sz w:val="22"/>
              </w:rPr>
              <w:t>甲方</w:t>
            </w:r>
          </w:p>
        </w:tc>
        <w:tc>
          <w:tcPr>
            <w:tcW w:w="6000" w:type="dxa"/>
          </w:tcPr>
          <w:p w14:paraId="383BBCD2">
            <w:pPr>
              <w:ind w:left="63" w:right="63"/>
            </w:pPr>
            <w:r>
              <w:rPr>
                <w:rFonts w:hint="eastAsia"/>
              </w:rPr>
              <w:t>1、乙方负责燃气管后加格栅、燃气管进户封堵施工。</w:t>
            </w:r>
          </w:p>
          <w:p w14:paraId="11BB9EAE">
            <w:pPr>
              <w:ind w:left="63" w:right="63"/>
            </w:pPr>
            <w:r>
              <w:rPr>
                <w:rFonts w:hint="eastAsia"/>
              </w:rPr>
              <w:t>2、乙方负责燃气管相关预留洞口施工。</w:t>
            </w:r>
          </w:p>
          <w:p w14:paraId="3F8E2441">
            <w:pPr>
              <w:ind w:left="63" w:right="63"/>
            </w:pPr>
            <w:r>
              <w:rPr>
                <w:rFonts w:hint="eastAsia"/>
              </w:rPr>
              <w:t>3、乙方负责燃气管连接管卡与幕墙之间的连接件施工。</w:t>
            </w:r>
          </w:p>
        </w:tc>
        <w:tc>
          <w:tcPr>
            <w:tcW w:w="5580" w:type="dxa"/>
          </w:tcPr>
          <w:p w14:paraId="42D0EADB">
            <w:pPr>
              <w:ind w:left="63" w:right="63"/>
            </w:pPr>
            <w:r>
              <w:rPr>
                <w:rFonts w:hint="eastAsia"/>
              </w:rPr>
              <w:t>1、甲方负责燃气管、燃气管连接管卡、橡胶垫片施工。</w:t>
            </w:r>
          </w:p>
        </w:tc>
      </w:tr>
    </w:tbl>
    <w:p w14:paraId="43DEA61E"/>
    <w:p w14:paraId="6B9CD753">
      <w:bookmarkStart w:id="1193" w:name="_Toc12253"/>
    </w:p>
    <w:p w14:paraId="1249C0C9">
      <w:pPr>
        <w:pStyle w:val="2"/>
        <w:sectPr>
          <w:pgSz w:w="16838" w:h="11906" w:orient="landscape"/>
          <w:pgMar w:top="1134" w:right="1134" w:bottom="1134" w:left="1134" w:header="680" w:footer="992" w:gutter="0"/>
          <w:cols w:space="0" w:num="1"/>
          <w:titlePg/>
          <w:docGrid w:linePitch="312" w:charSpace="0"/>
        </w:sectPr>
      </w:pPr>
    </w:p>
    <w:p w14:paraId="4B742F01">
      <w:pPr>
        <w:pStyle w:val="3"/>
        <w:spacing w:before="0" w:after="0" w:line="240" w:lineRule="auto"/>
        <w:rPr>
          <w:rFonts w:ascii="仿宋" w:hAnsi="仿宋" w:eastAsia="仿宋"/>
          <w:color w:val="000000" w:themeColor="text1"/>
          <w:sz w:val="30"/>
          <w:szCs w:val="30"/>
          <w14:textFill>
            <w14:solidFill>
              <w14:schemeClr w14:val="tx1"/>
            </w14:solidFill>
          </w14:textFill>
        </w:rPr>
      </w:pPr>
      <w:bookmarkStart w:id="1194" w:name="_Toc24643"/>
      <w:bookmarkStart w:id="1195" w:name="_Toc10526"/>
      <w:r>
        <w:rPr>
          <w:rFonts w:hint="eastAsia" w:ascii="仿宋" w:hAnsi="仿宋" w:eastAsia="仿宋"/>
          <w:color w:val="000000" w:themeColor="text1"/>
          <w:sz w:val="28"/>
          <w:szCs w:val="28"/>
          <w14:textFill>
            <w14:solidFill>
              <w14:schemeClr w14:val="tx1"/>
            </w14:solidFill>
          </w14:textFill>
        </w:rPr>
        <w:t>附件3施工技术要求</w:t>
      </w:r>
      <w:bookmarkEnd w:id="898"/>
      <w:bookmarkEnd w:id="899"/>
      <w:bookmarkEnd w:id="1193"/>
      <w:r>
        <w:rPr>
          <w:rFonts w:hint="eastAsia" w:ascii="仿宋" w:hAnsi="仿宋" w:eastAsia="仿宋"/>
          <w:color w:val="000000" w:themeColor="text1"/>
          <w:sz w:val="28"/>
          <w:szCs w:val="28"/>
          <w14:textFill>
            <w14:solidFill>
              <w14:schemeClr w14:val="tx1"/>
            </w14:solidFill>
          </w14:textFill>
        </w:rPr>
        <w:t>（另册）</w:t>
      </w:r>
      <w:bookmarkEnd w:id="900"/>
      <w:bookmarkEnd w:id="901"/>
      <w:bookmarkEnd w:id="1194"/>
      <w:bookmarkEnd w:id="1195"/>
    </w:p>
    <w:p w14:paraId="76F0A2B0">
      <w:pPr>
        <w:ind w:left="851"/>
        <w:rPr>
          <w:rFonts w:ascii="宋体" w:hAnsi="宋体"/>
          <w:color w:val="000000" w:themeColor="text1"/>
          <w:szCs w:val="21"/>
          <w14:textFill>
            <w14:solidFill>
              <w14:schemeClr w14:val="tx1"/>
            </w14:solidFill>
          </w14:textFill>
        </w:rPr>
      </w:pPr>
    </w:p>
    <w:p w14:paraId="294D19FD"/>
    <w:p w14:paraId="62DB256A">
      <w:pPr>
        <w:widowControl/>
        <w:jc w:val="left"/>
        <w:rPr>
          <w:rFonts w:ascii="仿宋_GB2312" w:hAnsi="宋体" w:eastAsia="仿宋_GB2312"/>
          <w:color w:val="000000" w:themeColor="text1"/>
          <w:szCs w:val="24"/>
          <w14:textFill>
            <w14:solidFill>
              <w14:schemeClr w14:val="tx1"/>
            </w14:solidFill>
          </w14:textFill>
        </w:rPr>
      </w:pPr>
      <w:r>
        <w:rPr>
          <w:rFonts w:ascii="仿宋_GB2312" w:hAnsi="宋体" w:eastAsia="仿宋_GB2312"/>
          <w:color w:val="000000" w:themeColor="text1"/>
          <w:szCs w:val="24"/>
          <w14:textFill>
            <w14:solidFill>
              <w14:schemeClr w14:val="tx1"/>
            </w14:solidFill>
          </w14:textFill>
        </w:rPr>
        <w:br w:type="page"/>
      </w:r>
    </w:p>
    <w:p w14:paraId="2D725495">
      <w:pPr>
        <w:pStyle w:val="3"/>
        <w:spacing w:before="0" w:after="0" w:line="240" w:lineRule="auto"/>
        <w:ind w:left="420" w:hanging="420"/>
        <w:rPr>
          <w:color w:val="000000" w:themeColor="text1"/>
          <w:sz w:val="30"/>
          <w:szCs w:val="30"/>
          <w14:textFill>
            <w14:solidFill>
              <w14:schemeClr w14:val="tx1"/>
            </w14:solidFill>
          </w14:textFill>
        </w:rPr>
      </w:pPr>
      <w:bookmarkStart w:id="1196" w:name="_Toc31229"/>
      <w:bookmarkStart w:id="1197" w:name="_Toc18036"/>
      <w:bookmarkStart w:id="1198" w:name="_Toc3043"/>
      <w:bookmarkStart w:id="1199" w:name="_Toc4792"/>
      <w:bookmarkStart w:id="1200" w:name="_Toc44492630"/>
      <w:bookmarkStart w:id="1201" w:name="_Toc1066"/>
      <w:bookmarkStart w:id="1202" w:name="_Toc44227953"/>
      <w:r>
        <w:rPr>
          <w:rFonts w:hint="eastAsia"/>
          <w:color w:val="000000" w:themeColor="text1"/>
          <w:sz w:val="30"/>
          <w:szCs w:val="30"/>
          <w14:textFill>
            <w14:solidFill>
              <w14:schemeClr w14:val="tx1"/>
            </w14:solidFill>
          </w14:textFill>
        </w:rPr>
        <w:t>附件</w:t>
      </w:r>
      <w:r>
        <w:rPr>
          <w:color w:val="000000" w:themeColor="text1"/>
          <w:sz w:val="30"/>
          <w:szCs w:val="30"/>
          <w14:textFill>
            <w14:solidFill>
              <w14:schemeClr w14:val="tx1"/>
            </w14:solidFill>
          </w14:textFill>
        </w:rPr>
        <w:t>4</w:t>
      </w:r>
      <w:r>
        <w:rPr>
          <w:rFonts w:hint="eastAsia"/>
          <w:color w:val="000000" w:themeColor="text1"/>
          <w:sz w:val="30"/>
          <w:szCs w:val="30"/>
          <w14:textFill>
            <w14:solidFill>
              <w14:schemeClr w14:val="tx1"/>
            </w14:solidFill>
          </w14:textFill>
        </w:rPr>
        <w:t>材料设备品牌推荐表</w:t>
      </w:r>
      <w:bookmarkEnd w:id="1196"/>
      <w:bookmarkEnd w:id="1197"/>
      <w:bookmarkEnd w:id="1198"/>
      <w:bookmarkEnd w:id="1199"/>
      <w:bookmarkEnd w:id="1200"/>
      <w:bookmarkEnd w:id="1201"/>
      <w:bookmarkEnd w:id="1202"/>
    </w:p>
    <w:p w14:paraId="1FCB4084">
      <w:pPr>
        <w:keepNext/>
        <w:keepLines/>
        <w:spacing w:line="240" w:lineRule="auto"/>
        <w:ind w:left="420" w:hanging="420"/>
        <w:jc w:val="center"/>
        <w:rPr>
          <w:rFonts w:ascii="仿宋" w:hAnsi="仿宋" w:eastAsia="仿宋" w:cs="宋体"/>
          <w:b/>
          <w:sz w:val="32"/>
          <w:szCs w:val="32"/>
        </w:rPr>
      </w:pPr>
      <w:bookmarkStart w:id="1203" w:name="_Toc20769"/>
      <w:r>
        <w:rPr>
          <w:rFonts w:hint="eastAsia"/>
          <w:color w:val="000000" w:themeColor="text1"/>
          <w:sz w:val="30"/>
          <w:szCs w:val="30"/>
          <w14:textFill>
            <w14:solidFill>
              <w14:schemeClr w14:val="tx1"/>
            </w14:solidFill>
          </w14:textFill>
        </w:rPr>
        <w:t>材料设备品牌推荐表</w:t>
      </w:r>
      <w:bookmarkEnd w:id="1203"/>
    </w:p>
    <w:tbl>
      <w:tblPr>
        <w:tblStyle w:val="41"/>
        <w:tblW w:w="5251" w:type="pct"/>
        <w:tblInd w:w="-642" w:type="dxa"/>
        <w:tblLayout w:type="fixed"/>
        <w:tblCellMar>
          <w:top w:w="0" w:type="dxa"/>
          <w:left w:w="108" w:type="dxa"/>
          <w:bottom w:w="0" w:type="dxa"/>
          <w:right w:w="108" w:type="dxa"/>
        </w:tblCellMar>
      </w:tblPr>
      <w:tblGrid>
        <w:gridCol w:w="855"/>
        <w:gridCol w:w="3433"/>
        <w:gridCol w:w="6061"/>
      </w:tblGrid>
      <w:tr w14:paraId="4BD0BC6B">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0B0CE0">
            <w:pPr>
              <w:widowControl/>
              <w:jc w:val="center"/>
              <w:textAlignment w:val="center"/>
              <w:rPr>
                <w:rFonts w:ascii="宋体" w:hAnsi="宋体" w:cs="宋体"/>
                <w:kern w:val="0"/>
                <w:sz w:val="22"/>
              </w:rPr>
            </w:pPr>
            <w:r>
              <w:rPr>
                <w:rFonts w:hint="eastAsia" w:ascii="宋体" w:hAnsi="宋体" w:cs="宋体"/>
                <w:color w:val="000000"/>
                <w:kern w:val="0"/>
                <w:sz w:val="28"/>
                <w:szCs w:val="28"/>
                <w:lang w:bidi="ar"/>
              </w:rPr>
              <w:t>序号</w:t>
            </w:r>
          </w:p>
        </w:tc>
        <w:tc>
          <w:tcPr>
            <w:tcW w:w="3433" w:type="dxa"/>
            <w:tcBorders>
              <w:top w:val="single" w:color="000000" w:sz="4" w:space="0"/>
              <w:left w:val="nil"/>
              <w:bottom w:val="single" w:color="000000" w:sz="4" w:space="0"/>
              <w:right w:val="single" w:color="000000" w:sz="4" w:space="0"/>
            </w:tcBorders>
            <w:shd w:val="clear" w:color="000000" w:fill="FFFFFF"/>
            <w:vAlign w:val="center"/>
          </w:tcPr>
          <w:p w14:paraId="50536459">
            <w:pPr>
              <w:widowControl/>
              <w:jc w:val="center"/>
              <w:textAlignment w:val="center"/>
              <w:rPr>
                <w:rFonts w:ascii="宋体" w:hAnsi="宋体" w:cs="宋体"/>
                <w:kern w:val="0"/>
                <w:sz w:val="22"/>
              </w:rPr>
            </w:pPr>
            <w:r>
              <w:rPr>
                <w:rFonts w:hint="eastAsia" w:ascii="宋体" w:hAnsi="宋体" w:cs="宋体"/>
                <w:color w:val="000000"/>
                <w:kern w:val="0"/>
                <w:sz w:val="28"/>
                <w:szCs w:val="28"/>
                <w:lang w:bidi="ar"/>
              </w:rPr>
              <w:t>材料名称</w:t>
            </w:r>
          </w:p>
        </w:tc>
        <w:tc>
          <w:tcPr>
            <w:tcW w:w="6066" w:type="dxa"/>
            <w:tcBorders>
              <w:top w:val="single" w:color="000000" w:sz="4" w:space="0"/>
              <w:left w:val="nil"/>
              <w:bottom w:val="single" w:color="000000" w:sz="4" w:space="0"/>
              <w:right w:val="single" w:color="auto" w:sz="4" w:space="0"/>
            </w:tcBorders>
            <w:shd w:val="clear" w:color="000000" w:fill="FFFFFF"/>
            <w:vAlign w:val="center"/>
          </w:tcPr>
          <w:p w14:paraId="5C0DB356">
            <w:pPr>
              <w:widowControl/>
              <w:jc w:val="center"/>
              <w:textAlignment w:val="center"/>
              <w:rPr>
                <w:rFonts w:ascii="宋体" w:hAnsi="宋体" w:cs="宋体"/>
                <w:kern w:val="0"/>
                <w:sz w:val="22"/>
              </w:rPr>
            </w:pPr>
            <w:r>
              <w:rPr>
                <w:rFonts w:ascii="宋体" w:hAnsi="宋体" w:cs="宋体"/>
                <w:color w:val="000000"/>
                <w:kern w:val="0"/>
                <w:sz w:val="28"/>
                <w:szCs w:val="28"/>
                <w:lang w:bidi="ar"/>
              </w:rPr>
              <w:t>推荐品牌</w:t>
            </w:r>
          </w:p>
        </w:tc>
      </w:tr>
      <w:tr w14:paraId="311F847C">
        <w:tblPrEx>
          <w:tblCellMar>
            <w:top w:w="0" w:type="dxa"/>
            <w:left w:w="108" w:type="dxa"/>
            <w:bottom w:w="0" w:type="dxa"/>
            <w:right w:w="108" w:type="dxa"/>
          </w:tblCellMar>
        </w:tblPrEx>
        <w:trPr>
          <w:trHeight w:val="700" w:hRule="atLeast"/>
        </w:trPr>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14:paraId="263DB646">
            <w:pPr>
              <w:widowControl/>
              <w:jc w:val="center"/>
              <w:textAlignment w:val="center"/>
              <w:rPr>
                <w:rFonts w:ascii="宋体" w:hAnsi="宋体" w:cs="宋体"/>
                <w:b/>
                <w:bCs/>
                <w:color w:val="000000"/>
                <w:sz w:val="22"/>
              </w:rPr>
            </w:pPr>
            <w:r>
              <w:rPr>
                <w:rFonts w:hint="eastAsia" w:ascii="宋体" w:hAnsi="宋体" w:cs="宋体"/>
                <w:color w:val="000000"/>
                <w:kern w:val="0"/>
                <w:sz w:val="22"/>
                <w:lang w:bidi="ar"/>
              </w:rPr>
              <w:t>1</w:t>
            </w:r>
          </w:p>
        </w:tc>
        <w:tc>
          <w:tcPr>
            <w:tcW w:w="3433" w:type="dxa"/>
            <w:tcBorders>
              <w:top w:val="single" w:color="auto" w:sz="4" w:space="0"/>
              <w:left w:val="nil"/>
              <w:bottom w:val="single" w:color="auto" w:sz="4" w:space="0"/>
              <w:right w:val="single" w:color="auto" w:sz="4" w:space="0"/>
            </w:tcBorders>
            <w:shd w:val="clear" w:color="000000" w:fill="FFFFFF"/>
            <w:vAlign w:val="center"/>
          </w:tcPr>
          <w:p w14:paraId="2DFC2520">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挤出型材（铝合金型材）</w:t>
            </w:r>
          </w:p>
        </w:tc>
        <w:tc>
          <w:tcPr>
            <w:tcW w:w="6066" w:type="dxa"/>
            <w:tcBorders>
              <w:top w:val="single" w:color="auto" w:sz="4" w:space="0"/>
              <w:left w:val="nil"/>
              <w:bottom w:val="single" w:color="auto" w:sz="4" w:space="0"/>
              <w:right w:val="single" w:color="auto" w:sz="4" w:space="0"/>
            </w:tcBorders>
            <w:shd w:val="clear" w:color="000000" w:fill="FFFFFF"/>
            <w:vAlign w:val="center"/>
          </w:tcPr>
          <w:p w14:paraId="65E556CF">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坚美、亚铝、兴发、凤铝</w:t>
            </w:r>
          </w:p>
        </w:tc>
      </w:tr>
      <w:tr w14:paraId="45030EB3">
        <w:tblPrEx>
          <w:tblCellMar>
            <w:top w:w="0" w:type="dxa"/>
            <w:left w:w="108" w:type="dxa"/>
            <w:bottom w:w="0" w:type="dxa"/>
            <w:right w:w="108" w:type="dxa"/>
          </w:tblCellMar>
        </w:tblPrEx>
        <w:trPr>
          <w:trHeight w:val="1144" w:hRule="atLeast"/>
        </w:trPr>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14:paraId="5FDF19A3">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3433" w:type="dxa"/>
            <w:tcBorders>
              <w:top w:val="single" w:color="auto" w:sz="4" w:space="0"/>
              <w:left w:val="nil"/>
              <w:bottom w:val="single" w:color="auto" w:sz="4" w:space="0"/>
              <w:right w:val="single" w:color="auto" w:sz="4" w:space="0"/>
            </w:tcBorders>
            <w:shd w:val="clear" w:color="000000" w:fill="FFFFFF"/>
            <w:vAlign w:val="center"/>
          </w:tcPr>
          <w:p w14:paraId="4EC92D3D">
            <w:pPr>
              <w:widowControl/>
              <w:jc w:val="center"/>
              <w:textAlignment w:val="center"/>
              <w:rPr>
                <w:rFonts w:ascii="宋体" w:hAnsi="宋体" w:cs="宋体"/>
                <w:color w:val="000000"/>
                <w:sz w:val="22"/>
              </w:rPr>
            </w:pPr>
            <w:r>
              <w:rPr>
                <w:rFonts w:ascii="宋体" w:hAnsi="宋体" w:cs="宋体"/>
                <w:color w:val="000000"/>
                <w:kern w:val="0"/>
                <w:sz w:val="22"/>
                <w:lang w:bidi="ar"/>
              </w:rPr>
              <w:t>铝板加工（平板及曲面）</w:t>
            </w:r>
          </w:p>
        </w:tc>
        <w:tc>
          <w:tcPr>
            <w:tcW w:w="6066" w:type="dxa"/>
            <w:tcBorders>
              <w:top w:val="single" w:color="auto" w:sz="4" w:space="0"/>
              <w:left w:val="nil"/>
              <w:bottom w:val="single" w:color="auto" w:sz="4" w:space="0"/>
              <w:right w:val="single" w:color="auto" w:sz="4" w:space="0"/>
            </w:tcBorders>
            <w:shd w:val="clear" w:color="000000" w:fill="FFFFFF"/>
            <w:vAlign w:val="center"/>
          </w:tcPr>
          <w:p w14:paraId="51B78213">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保利来、金边、高士达、泛铝、方大（江西厂）、华途仕、招发</w:t>
            </w:r>
          </w:p>
        </w:tc>
      </w:tr>
      <w:tr w14:paraId="50A5FA66">
        <w:tblPrEx>
          <w:tblCellMar>
            <w:top w:w="0" w:type="dxa"/>
            <w:left w:w="108" w:type="dxa"/>
            <w:bottom w:w="0" w:type="dxa"/>
            <w:right w:w="108" w:type="dxa"/>
          </w:tblCellMar>
        </w:tblPrEx>
        <w:trPr>
          <w:trHeight w:val="1083" w:hRule="atLeast"/>
        </w:trPr>
        <w:tc>
          <w:tcPr>
            <w:tcW w:w="850" w:type="dxa"/>
            <w:tcBorders>
              <w:top w:val="nil"/>
              <w:left w:val="single" w:color="000000" w:sz="4" w:space="0"/>
              <w:bottom w:val="single" w:color="000000" w:sz="4" w:space="0"/>
              <w:right w:val="single" w:color="000000" w:sz="4" w:space="0"/>
            </w:tcBorders>
            <w:shd w:val="clear" w:color="000000" w:fill="FFFFFF"/>
            <w:noWrap/>
            <w:vAlign w:val="center"/>
          </w:tcPr>
          <w:p w14:paraId="7309BD38">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3433" w:type="dxa"/>
            <w:tcBorders>
              <w:top w:val="nil"/>
              <w:left w:val="nil"/>
              <w:bottom w:val="single" w:color="000000" w:sz="4" w:space="0"/>
              <w:right w:val="single" w:color="000000" w:sz="4" w:space="0"/>
            </w:tcBorders>
            <w:shd w:val="clear" w:color="000000" w:fill="FFFFFF"/>
            <w:vAlign w:val="center"/>
          </w:tcPr>
          <w:p w14:paraId="3F1D5E95">
            <w:pPr>
              <w:widowControl/>
              <w:jc w:val="center"/>
              <w:textAlignment w:val="center"/>
              <w:rPr>
                <w:rFonts w:ascii="宋体" w:hAnsi="宋体" w:cs="宋体"/>
                <w:color w:val="000000"/>
                <w:sz w:val="22"/>
              </w:rPr>
            </w:pPr>
            <w:r>
              <w:rPr>
                <w:rFonts w:ascii="宋体" w:hAnsi="宋体" w:cs="宋体"/>
                <w:color w:val="000000"/>
                <w:kern w:val="0"/>
                <w:sz w:val="22"/>
                <w:lang w:bidi="ar"/>
              </w:rPr>
              <w:t>型材、铝板表面氟碳漆</w:t>
            </w:r>
          </w:p>
        </w:tc>
        <w:tc>
          <w:tcPr>
            <w:tcW w:w="6066" w:type="dxa"/>
            <w:tcBorders>
              <w:top w:val="nil"/>
              <w:left w:val="nil"/>
              <w:bottom w:val="single" w:color="000000" w:sz="4" w:space="0"/>
              <w:right w:val="single" w:color="000000" w:sz="4" w:space="0"/>
            </w:tcBorders>
            <w:shd w:val="clear" w:color="000000" w:fill="FFFFFF"/>
            <w:vAlign w:val="center"/>
          </w:tcPr>
          <w:p w14:paraId="449E26A2">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PPG、阿克苏诺贝尔Akzo Nobel、威士伯valspar</w:t>
            </w:r>
          </w:p>
        </w:tc>
      </w:tr>
      <w:tr w14:paraId="7326C9EF">
        <w:tblPrEx>
          <w:tblCellMar>
            <w:top w:w="0" w:type="dxa"/>
            <w:left w:w="108" w:type="dxa"/>
            <w:bottom w:w="0" w:type="dxa"/>
            <w:right w:w="108" w:type="dxa"/>
          </w:tblCellMar>
        </w:tblPrEx>
        <w:trPr>
          <w:trHeight w:val="90" w:hRule="atLeast"/>
        </w:trPr>
        <w:tc>
          <w:tcPr>
            <w:tcW w:w="850" w:type="dxa"/>
            <w:tcBorders>
              <w:top w:val="nil"/>
              <w:left w:val="single" w:color="000000" w:sz="4" w:space="0"/>
              <w:bottom w:val="single" w:color="000000" w:sz="4" w:space="0"/>
              <w:right w:val="single" w:color="000000" w:sz="4" w:space="0"/>
            </w:tcBorders>
            <w:shd w:val="clear" w:color="000000" w:fill="FFFFFF"/>
            <w:noWrap/>
            <w:vAlign w:val="center"/>
          </w:tcPr>
          <w:p w14:paraId="062EF1F8">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3433" w:type="dxa"/>
            <w:tcBorders>
              <w:top w:val="nil"/>
              <w:left w:val="nil"/>
              <w:bottom w:val="single" w:color="000000" w:sz="4" w:space="0"/>
              <w:right w:val="single" w:color="000000" w:sz="4" w:space="0"/>
            </w:tcBorders>
            <w:shd w:val="clear" w:color="000000" w:fill="FFFFFF"/>
            <w:vAlign w:val="center"/>
          </w:tcPr>
          <w:p w14:paraId="01839083">
            <w:pPr>
              <w:widowControl/>
              <w:jc w:val="center"/>
              <w:textAlignment w:val="center"/>
              <w:rPr>
                <w:rFonts w:ascii="宋体" w:hAnsi="宋体" w:cs="宋体"/>
                <w:color w:val="000000"/>
                <w:sz w:val="22"/>
              </w:rPr>
            </w:pPr>
            <w:r>
              <w:rPr>
                <w:rFonts w:ascii="宋体" w:hAnsi="宋体" w:cs="宋体"/>
                <w:color w:val="000000"/>
                <w:kern w:val="0"/>
                <w:sz w:val="22"/>
                <w:lang w:bidi="ar"/>
              </w:rPr>
              <w:t>型材、铝板表面粉末</w:t>
            </w:r>
          </w:p>
        </w:tc>
        <w:tc>
          <w:tcPr>
            <w:tcW w:w="6066" w:type="dxa"/>
            <w:tcBorders>
              <w:top w:val="nil"/>
              <w:left w:val="nil"/>
              <w:bottom w:val="single" w:color="000000" w:sz="4" w:space="0"/>
              <w:right w:val="single" w:color="000000" w:sz="4" w:space="0"/>
            </w:tcBorders>
            <w:shd w:val="clear" w:color="000000" w:fill="FFFFFF"/>
            <w:vAlign w:val="center"/>
          </w:tcPr>
          <w:p w14:paraId="2B3AC33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阿克苏诺贝尔Akzo Nobel、PPG、老虎Tigger</w:t>
            </w:r>
          </w:p>
        </w:tc>
      </w:tr>
      <w:tr w14:paraId="29A3CEB3">
        <w:tblPrEx>
          <w:tblCellMar>
            <w:top w:w="0" w:type="dxa"/>
            <w:left w:w="108" w:type="dxa"/>
            <w:bottom w:w="0" w:type="dxa"/>
            <w:right w:w="108" w:type="dxa"/>
          </w:tblCellMar>
        </w:tblPrEx>
        <w:trPr>
          <w:trHeight w:val="567" w:hRule="atLeast"/>
        </w:trPr>
        <w:tc>
          <w:tcPr>
            <w:tcW w:w="850" w:type="dxa"/>
            <w:tcBorders>
              <w:top w:val="nil"/>
              <w:left w:val="single" w:color="000000" w:sz="4" w:space="0"/>
              <w:bottom w:val="single" w:color="000000" w:sz="4" w:space="0"/>
              <w:right w:val="single" w:color="000000" w:sz="4" w:space="0"/>
            </w:tcBorders>
            <w:shd w:val="clear" w:color="000000" w:fill="FFFFFF"/>
            <w:noWrap/>
            <w:vAlign w:val="center"/>
          </w:tcPr>
          <w:p w14:paraId="2F87BD3D">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3433" w:type="dxa"/>
            <w:tcBorders>
              <w:top w:val="nil"/>
              <w:left w:val="nil"/>
              <w:bottom w:val="single" w:color="000000" w:sz="4" w:space="0"/>
              <w:right w:val="single" w:color="000000" w:sz="4" w:space="0"/>
            </w:tcBorders>
            <w:shd w:val="clear" w:color="000000" w:fill="FFFFFF"/>
            <w:vAlign w:val="center"/>
          </w:tcPr>
          <w:p w14:paraId="06C91A9E">
            <w:pPr>
              <w:widowControl/>
              <w:jc w:val="center"/>
              <w:textAlignment w:val="center"/>
              <w:rPr>
                <w:rFonts w:ascii="宋体" w:hAnsi="宋体" w:cs="宋体"/>
                <w:color w:val="000000"/>
                <w:sz w:val="22"/>
              </w:rPr>
            </w:pPr>
            <w:r>
              <w:rPr>
                <w:rFonts w:hint="eastAsia" w:ascii="宋体" w:hAnsi="宋体" w:cs="宋体"/>
                <w:color w:val="000000"/>
                <w:kern w:val="0"/>
                <w:sz w:val="22"/>
                <w:lang w:bidi="ar"/>
              </w:rPr>
              <w:t>精制钢</w:t>
            </w:r>
          </w:p>
        </w:tc>
        <w:tc>
          <w:tcPr>
            <w:tcW w:w="6066" w:type="dxa"/>
            <w:tcBorders>
              <w:top w:val="nil"/>
              <w:left w:val="nil"/>
              <w:bottom w:val="single" w:color="000000" w:sz="4" w:space="0"/>
              <w:right w:val="single" w:color="000000" w:sz="4" w:space="0"/>
            </w:tcBorders>
            <w:shd w:val="clear" w:color="000000" w:fill="FFFFFF"/>
            <w:vAlign w:val="center"/>
          </w:tcPr>
          <w:p w14:paraId="5F5DD25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上海始博、江苏韦乐森、湖南金为新材</w:t>
            </w:r>
          </w:p>
        </w:tc>
      </w:tr>
      <w:tr w14:paraId="60A6E0B9">
        <w:tblPrEx>
          <w:tblCellMar>
            <w:top w:w="0" w:type="dxa"/>
            <w:left w:w="108" w:type="dxa"/>
            <w:bottom w:w="0" w:type="dxa"/>
            <w:right w:w="108" w:type="dxa"/>
          </w:tblCellMar>
        </w:tblPrEx>
        <w:trPr>
          <w:trHeight w:val="567" w:hRule="atLeast"/>
        </w:trPr>
        <w:tc>
          <w:tcPr>
            <w:tcW w:w="850" w:type="dxa"/>
            <w:tcBorders>
              <w:top w:val="nil"/>
              <w:left w:val="single" w:color="000000" w:sz="4" w:space="0"/>
              <w:bottom w:val="single" w:color="000000" w:sz="4" w:space="0"/>
              <w:right w:val="single" w:color="000000" w:sz="4" w:space="0"/>
            </w:tcBorders>
            <w:shd w:val="clear" w:color="000000" w:fill="FFFFFF"/>
            <w:noWrap/>
            <w:vAlign w:val="center"/>
          </w:tcPr>
          <w:p w14:paraId="68D05D95">
            <w:pPr>
              <w:widowControl/>
              <w:jc w:val="center"/>
              <w:textAlignment w:val="center"/>
              <w:rPr>
                <w:rFonts w:ascii="宋体" w:hAnsi="宋体" w:cs="宋体"/>
                <w:color w:val="000000"/>
                <w:sz w:val="22"/>
              </w:rPr>
            </w:pPr>
            <w:r>
              <w:rPr>
                <w:rFonts w:hint="eastAsia" w:ascii="宋体" w:hAnsi="宋体" w:cs="宋体"/>
                <w:color w:val="000000"/>
                <w:sz w:val="22"/>
              </w:rPr>
              <w:t>6</w:t>
            </w:r>
          </w:p>
        </w:tc>
        <w:tc>
          <w:tcPr>
            <w:tcW w:w="3433" w:type="dxa"/>
            <w:tcBorders>
              <w:top w:val="nil"/>
              <w:left w:val="nil"/>
              <w:bottom w:val="single" w:color="000000" w:sz="4" w:space="0"/>
              <w:right w:val="single" w:color="000000" w:sz="4" w:space="0"/>
            </w:tcBorders>
            <w:shd w:val="clear" w:color="000000" w:fill="FFFFFF"/>
            <w:vAlign w:val="center"/>
          </w:tcPr>
          <w:p w14:paraId="46D351F2">
            <w:pPr>
              <w:widowControl/>
              <w:jc w:val="center"/>
              <w:textAlignment w:val="center"/>
              <w:rPr>
                <w:rFonts w:ascii="宋体" w:hAnsi="宋体" w:cs="宋体"/>
                <w:sz w:val="22"/>
              </w:rPr>
            </w:pPr>
            <w:r>
              <w:rPr>
                <w:rFonts w:hint="eastAsia" w:ascii="宋体" w:hAnsi="宋体" w:cs="宋体"/>
                <w:color w:val="000000"/>
                <w:kern w:val="0"/>
                <w:sz w:val="22"/>
                <w:lang w:bidi="ar"/>
              </w:rPr>
              <w:t>玻璃原片及加工</w:t>
            </w:r>
          </w:p>
        </w:tc>
        <w:tc>
          <w:tcPr>
            <w:tcW w:w="6066" w:type="dxa"/>
            <w:tcBorders>
              <w:top w:val="nil"/>
              <w:left w:val="nil"/>
              <w:bottom w:val="single" w:color="000000" w:sz="4" w:space="0"/>
              <w:right w:val="single" w:color="000000" w:sz="4" w:space="0"/>
            </w:tcBorders>
            <w:shd w:val="clear" w:color="000000" w:fill="FFFFFF"/>
            <w:vAlign w:val="center"/>
          </w:tcPr>
          <w:p w14:paraId="12CD57D4">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金晶、南玻、旗滨、信义、耀皮</w:t>
            </w:r>
          </w:p>
        </w:tc>
      </w:tr>
      <w:tr w14:paraId="4D23212F">
        <w:tblPrEx>
          <w:tblCellMar>
            <w:top w:w="0" w:type="dxa"/>
            <w:left w:w="108" w:type="dxa"/>
            <w:bottom w:w="0" w:type="dxa"/>
            <w:right w:w="108" w:type="dxa"/>
          </w:tblCellMar>
        </w:tblPrEx>
        <w:trPr>
          <w:trHeight w:val="680" w:hRule="atLeast"/>
        </w:trPr>
        <w:tc>
          <w:tcPr>
            <w:tcW w:w="850" w:type="dxa"/>
            <w:tcBorders>
              <w:top w:val="nil"/>
              <w:left w:val="single" w:color="000000" w:sz="4" w:space="0"/>
              <w:bottom w:val="single" w:color="auto" w:sz="4" w:space="0"/>
              <w:right w:val="single" w:color="000000" w:sz="4" w:space="0"/>
            </w:tcBorders>
            <w:shd w:val="clear" w:color="000000" w:fill="FFFFFF"/>
            <w:noWrap/>
            <w:vAlign w:val="center"/>
          </w:tcPr>
          <w:p w14:paraId="09D9779C">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3433" w:type="dxa"/>
            <w:tcBorders>
              <w:top w:val="nil"/>
              <w:left w:val="nil"/>
              <w:bottom w:val="single" w:color="auto" w:sz="4" w:space="0"/>
              <w:right w:val="single" w:color="000000" w:sz="4" w:space="0"/>
            </w:tcBorders>
            <w:shd w:val="clear" w:color="000000" w:fill="FFFFFF"/>
            <w:vAlign w:val="center"/>
          </w:tcPr>
          <w:p w14:paraId="5A0A423E">
            <w:pPr>
              <w:widowControl/>
              <w:jc w:val="center"/>
              <w:textAlignment w:val="center"/>
              <w:rPr>
                <w:rFonts w:ascii="宋体" w:hAnsi="宋体" w:cs="宋体"/>
                <w:color w:val="000000"/>
                <w:sz w:val="22"/>
              </w:rPr>
            </w:pPr>
            <w:r>
              <w:rPr>
                <w:rFonts w:hint="eastAsia" w:ascii="宋体" w:hAnsi="宋体" w:cs="宋体"/>
                <w:color w:val="000000"/>
                <w:kern w:val="0"/>
                <w:sz w:val="22"/>
                <w:lang w:bidi="ar"/>
              </w:rPr>
              <w:t>光伏玻璃芯片及相关配套组件</w:t>
            </w:r>
          </w:p>
        </w:tc>
        <w:tc>
          <w:tcPr>
            <w:tcW w:w="6066" w:type="dxa"/>
            <w:tcBorders>
              <w:top w:val="nil"/>
              <w:left w:val="nil"/>
              <w:bottom w:val="single" w:color="auto" w:sz="4" w:space="0"/>
              <w:right w:val="single" w:color="000000" w:sz="4" w:space="0"/>
            </w:tcBorders>
            <w:shd w:val="clear" w:color="000000" w:fill="FFFFFF"/>
            <w:vAlign w:val="center"/>
          </w:tcPr>
          <w:p w14:paraId="6E6661A4">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深赛格龙焱、中山明阳瑞科、中建材、嘉盛光电</w:t>
            </w:r>
          </w:p>
        </w:tc>
      </w:tr>
      <w:tr w14:paraId="557B0A4A">
        <w:tblPrEx>
          <w:tblCellMar>
            <w:top w:w="0" w:type="dxa"/>
            <w:left w:w="108" w:type="dxa"/>
            <w:bottom w:w="0" w:type="dxa"/>
            <w:right w:w="108" w:type="dxa"/>
          </w:tblCellMar>
        </w:tblPrEx>
        <w:trPr>
          <w:trHeight w:val="1020" w:hRule="atLeast"/>
        </w:trPr>
        <w:tc>
          <w:tcPr>
            <w:tcW w:w="850" w:type="dxa"/>
            <w:tcBorders>
              <w:top w:val="single" w:color="auto" w:sz="4" w:space="0"/>
              <w:left w:val="single" w:color="auto" w:sz="4" w:space="0"/>
              <w:bottom w:val="single" w:color="auto" w:sz="4" w:space="0"/>
              <w:right w:val="single" w:color="auto" w:sz="4" w:space="0"/>
            </w:tcBorders>
            <w:vAlign w:val="center"/>
          </w:tcPr>
          <w:p w14:paraId="7B142897">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3433" w:type="dxa"/>
            <w:tcBorders>
              <w:top w:val="single" w:color="auto" w:sz="4" w:space="0"/>
              <w:left w:val="single" w:color="auto" w:sz="4" w:space="0"/>
              <w:bottom w:val="single" w:color="auto" w:sz="4" w:space="0"/>
              <w:right w:val="single" w:color="auto" w:sz="4" w:space="0"/>
            </w:tcBorders>
            <w:vAlign w:val="center"/>
          </w:tcPr>
          <w:p w14:paraId="23298871">
            <w:pPr>
              <w:widowControl/>
              <w:jc w:val="center"/>
              <w:textAlignment w:val="center"/>
              <w:rPr>
                <w:rFonts w:ascii="宋体" w:hAnsi="宋体" w:cs="宋体"/>
                <w:color w:val="000000"/>
                <w:sz w:val="22"/>
              </w:rPr>
            </w:pPr>
            <w:r>
              <w:rPr>
                <w:rFonts w:ascii="宋体" w:hAnsi="宋体" w:cs="宋体"/>
                <w:color w:val="000000"/>
                <w:kern w:val="0"/>
                <w:sz w:val="22"/>
                <w:lang w:bidi="ar"/>
              </w:rPr>
              <w:t>密封材料（幕墙硅酮结构胶、硅酮耐候密封胶）</w:t>
            </w:r>
          </w:p>
        </w:tc>
        <w:tc>
          <w:tcPr>
            <w:tcW w:w="6066" w:type="dxa"/>
            <w:tcBorders>
              <w:top w:val="single" w:color="auto" w:sz="4" w:space="0"/>
              <w:left w:val="single" w:color="auto" w:sz="4" w:space="0"/>
              <w:bottom w:val="single" w:color="auto" w:sz="4" w:space="0"/>
              <w:right w:val="single" w:color="auto" w:sz="4" w:space="0"/>
            </w:tcBorders>
            <w:vAlign w:val="center"/>
          </w:tcPr>
          <w:p w14:paraId="7BBA0ECF">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白云、之江、硅宝、中原</w:t>
            </w:r>
          </w:p>
        </w:tc>
      </w:tr>
      <w:tr w14:paraId="4F03DEF7">
        <w:tblPrEx>
          <w:tblCellMar>
            <w:top w:w="0" w:type="dxa"/>
            <w:left w:w="108" w:type="dxa"/>
            <w:bottom w:w="0" w:type="dxa"/>
            <w:right w:w="108" w:type="dxa"/>
          </w:tblCellMar>
        </w:tblPrEx>
        <w:trPr>
          <w:trHeight w:val="953" w:hRule="atLeast"/>
        </w:trPr>
        <w:tc>
          <w:tcPr>
            <w:tcW w:w="850" w:type="dxa"/>
            <w:tcBorders>
              <w:top w:val="single" w:color="auto" w:sz="4" w:space="0"/>
              <w:left w:val="single" w:color="auto" w:sz="4" w:space="0"/>
              <w:bottom w:val="single" w:color="auto" w:sz="4" w:space="0"/>
              <w:right w:val="single" w:color="auto" w:sz="4" w:space="0"/>
            </w:tcBorders>
            <w:vAlign w:val="center"/>
          </w:tcPr>
          <w:p w14:paraId="5DF45F69">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3433" w:type="dxa"/>
            <w:tcBorders>
              <w:top w:val="single" w:color="auto" w:sz="4" w:space="0"/>
              <w:left w:val="single" w:color="auto" w:sz="4" w:space="0"/>
              <w:bottom w:val="single" w:color="auto" w:sz="4" w:space="0"/>
              <w:right w:val="single" w:color="auto" w:sz="4" w:space="0"/>
            </w:tcBorders>
            <w:vAlign w:val="center"/>
          </w:tcPr>
          <w:p w14:paraId="7691E4F8">
            <w:pPr>
              <w:widowControl/>
              <w:jc w:val="center"/>
              <w:textAlignment w:val="center"/>
              <w:rPr>
                <w:rFonts w:ascii="宋体" w:hAnsi="宋体" w:cs="宋体"/>
                <w:color w:val="000000"/>
                <w:sz w:val="22"/>
              </w:rPr>
            </w:pPr>
            <w:r>
              <w:rPr>
                <w:rFonts w:ascii="宋体" w:hAnsi="宋体" w:cs="宋体"/>
                <w:color w:val="000000"/>
                <w:kern w:val="0"/>
                <w:sz w:val="22"/>
                <w:lang w:bidi="ar"/>
              </w:rPr>
              <w:t>防火封堵材料（防火胶、层间防火漆）</w:t>
            </w:r>
          </w:p>
        </w:tc>
        <w:tc>
          <w:tcPr>
            <w:tcW w:w="6066" w:type="dxa"/>
            <w:tcBorders>
              <w:top w:val="single" w:color="auto" w:sz="4" w:space="0"/>
              <w:left w:val="single" w:color="auto" w:sz="4" w:space="0"/>
              <w:bottom w:val="single" w:color="auto" w:sz="4" w:space="0"/>
              <w:right w:val="single" w:color="auto" w:sz="4" w:space="0"/>
            </w:tcBorders>
            <w:vAlign w:val="center"/>
          </w:tcPr>
          <w:p w14:paraId="4E56FC3D">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喜利得、STI、西卡</w:t>
            </w:r>
          </w:p>
        </w:tc>
      </w:tr>
      <w:tr w14:paraId="414C7FF7">
        <w:tblPrEx>
          <w:tblCellMar>
            <w:top w:w="0" w:type="dxa"/>
            <w:left w:w="108" w:type="dxa"/>
            <w:bottom w:w="0" w:type="dxa"/>
            <w:right w:w="108" w:type="dxa"/>
          </w:tblCellMar>
        </w:tblPrEx>
        <w:trPr>
          <w:trHeight w:val="953" w:hRule="atLeast"/>
        </w:trPr>
        <w:tc>
          <w:tcPr>
            <w:tcW w:w="850" w:type="dxa"/>
            <w:tcBorders>
              <w:top w:val="single" w:color="auto" w:sz="4" w:space="0"/>
              <w:left w:val="single" w:color="auto" w:sz="4" w:space="0"/>
              <w:bottom w:val="single" w:color="auto" w:sz="4" w:space="0"/>
              <w:right w:val="single" w:color="auto" w:sz="4" w:space="0"/>
            </w:tcBorders>
            <w:vAlign w:val="center"/>
          </w:tcPr>
          <w:p w14:paraId="1CBA824F">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3433" w:type="dxa"/>
            <w:tcBorders>
              <w:top w:val="single" w:color="auto" w:sz="4" w:space="0"/>
              <w:left w:val="single" w:color="auto" w:sz="4" w:space="0"/>
              <w:bottom w:val="single" w:color="auto" w:sz="4" w:space="0"/>
              <w:right w:val="single" w:color="auto" w:sz="4" w:space="0"/>
            </w:tcBorders>
            <w:vAlign w:val="center"/>
          </w:tcPr>
          <w:p w14:paraId="5B19730A">
            <w:pPr>
              <w:widowControl/>
              <w:jc w:val="center"/>
              <w:textAlignment w:val="center"/>
              <w:rPr>
                <w:rFonts w:ascii="宋体" w:hAnsi="宋体" w:cs="宋体"/>
                <w:b/>
                <w:bCs/>
                <w:sz w:val="22"/>
              </w:rPr>
            </w:pPr>
            <w:r>
              <w:rPr>
                <w:rFonts w:hint="eastAsia" w:ascii="宋体" w:hAnsi="宋体" w:cs="宋体"/>
                <w:color w:val="000000"/>
                <w:kern w:val="0"/>
                <w:sz w:val="22"/>
                <w:lang w:bidi="ar"/>
              </w:rPr>
              <w:t>化学锚栓、机械扩底锚栓</w:t>
            </w:r>
          </w:p>
        </w:tc>
        <w:tc>
          <w:tcPr>
            <w:tcW w:w="6066" w:type="dxa"/>
            <w:tcBorders>
              <w:top w:val="single" w:color="auto" w:sz="4" w:space="0"/>
              <w:left w:val="single" w:color="auto" w:sz="4" w:space="0"/>
              <w:bottom w:val="single" w:color="auto" w:sz="4" w:space="0"/>
              <w:right w:val="single" w:color="auto" w:sz="4" w:space="0"/>
            </w:tcBorders>
            <w:vAlign w:val="center"/>
          </w:tcPr>
          <w:p w14:paraId="78EADFF1">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慧鱼、喜利得、伍尔特</w:t>
            </w:r>
          </w:p>
        </w:tc>
      </w:tr>
      <w:tr w14:paraId="7E712AE0">
        <w:tblPrEx>
          <w:tblCellMar>
            <w:top w:w="0" w:type="dxa"/>
            <w:left w:w="108" w:type="dxa"/>
            <w:bottom w:w="0" w:type="dxa"/>
            <w:right w:w="108" w:type="dxa"/>
          </w:tblCellMar>
        </w:tblPrEx>
        <w:trPr>
          <w:trHeight w:val="837" w:hRule="atLeast"/>
        </w:trPr>
        <w:tc>
          <w:tcPr>
            <w:tcW w:w="850" w:type="dxa"/>
            <w:tcBorders>
              <w:top w:val="single" w:color="auto" w:sz="4" w:space="0"/>
              <w:left w:val="single" w:color="auto" w:sz="4" w:space="0"/>
              <w:bottom w:val="single" w:color="auto" w:sz="4" w:space="0"/>
              <w:right w:val="single" w:color="auto" w:sz="4" w:space="0"/>
            </w:tcBorders>
            <w:vAlign w:val="center"/>
          </w:tcPr>
          <w:p w14:paraId="59615C2B">
            <w:pPr>
              <w:widowControl/>
              <w:jc w:val="center"/>
              <w:textAlignment w:val="center"/>
              <w:rPr>
                <w:rFonts w:ascii="宋体" w:hAnsi="宋体" w:cs="宋体"/>
                <w:sz w:val="22"/>
              </w:rPr>
            </w:pPr>
            <w:r>
              <w:rPr>
                <w:rFonts w:hint="eastAsia" w:ascii="宋体" w:hAnsi="宋体" w:cs="宋体"/>
                <w:color w:val="000000"/>
                <w:kern w:val="0"/>
                <w:sz w:val="22"/>
                <w:lang w:bidi="ar"/>
              </w:rPr>
              <w:t>11</w:t>
            </w:r>
          </w:p>
        </w:tc>
        <w:tc>
          <w:tcPr>
            <w:tcW w:w="3433" w:type="dxa"/>
            <w:tcBorders>
              <w:top w:val="single" w:color="auto" w:sz="4" w:space="0"/>
              <w:left w:val="single" w:color="auto" w:sz="4" w:space="0"/>
              <w:bottom w:val="single" w:color="auto" w:sz="4" w:space="0"/>
              <w:right w:val="single" w:color="auto" w:sz="4" w:space="0"/>
            </w:tcBorders>
            <w:vAlign w:val="center"/>
          </w:tcPr>
          <w:p w14:paraId="3A3AA906">
            <w:pPr>
              <w:widowControl/>
              <w:jc w:val="center"/>
              <w:textAlignment w:val="center"/>
              <w:rPr>
                <w:rFonts w:ascii="宋体" w:hAnsi="宋体" w:cs="宋体"/>
                <w:sz w:val="22"/>
              </w:rPr>
            </w:pPr>
            <w:r>
              <w:rPr>
                <w:rFonts w:ascii="宋体" w:hAnsi="宋体" w:cs="宋体"/>
                <w:color w:val="000000"/>
                <w:kern w:val="0"/>
                <w:sz w:val="22"/>
                <w:lang w:bidi="ar"/>
              </w:rPr>
              <w:t>开窗器（幕墙开启扇、窗五金配件）</w:t>
            </w:r>
          </w:p>
        </w:tc>
        <w:tc>
          <w:tcPr>
            <w:tcW w:w="6066" w:type="dxa"/>
            <w:tcBorders>
              <w:top w:val="single" w:color="auto" w:sz="4" w:space="0"/>
              <w:left w:val="single" w:color="auto" w:sz="4" w:space="0"/>
              <w:bottom w:val="single" w:color="auto" w:sz="4" w:space="0"/>
              <w:right w:val="single" w:color="auto" w:sz="4" w:space="0"/>
            </w:tcBorders>
            <w:vAlign w:val="center"/>
          </w:tcPr>
          <w:p w14:paraId="52E084C6">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诺托、萨威奥、格屋、丝吉利娅、吉斯</w:t>
            </w:r>
          </w:p>
        </w:tc>
      </w:tr>
      <w:tr w14:paraId="3B872FD0">
        <w:tblPrEx>
          <w:tblCellMar>
            <w:top w:w="0" w:type="dxa"/>
            <w:left w:w="108" w:type="dxa"/>
            <w:bottom w:w="0" w:type="dxa"/>
            <w:right w:w="108" w:type="dxa"/>
          </w:tblCellMar>
        </w:tblPrEx>
        <w:trPr>
          <w:trHeight w:val="970" w:hRule="atLeast"/>
        </w:trPr>
        <w:tc>
          <w:tcPr>
            <w:tcW w:w="850" w:type="dxa"/>
            <w:tcBorders>
              <w:top w:val="single" w:color="auto" w:sz="4" w:space="0"/>
              <w:left w:val="single" w:color="auto" w:sz="4" w:space="0"/>
              <w:bottom w:val="single" w:color="auto" w:sz="4" w:space="0"/>
              <w:right w:val="single" w:color="auto" w:sz="4" w:space="0"/>
            </w:tcBorders>
            <w:vAlign w:val="center"/>
          </w:tcPr>
          <w:p w14:paraId="327C3484">
            <w:pPr>
              <w:widowControl/>
              <w:jc w:val="center"/>
              <w:textAlignment w:val="center"/>
              <w:rPr>
                <w:rFonts w:ascii="宋体" w:hAnsi="宋体" w:cs="宋体"/>
                <w:sz w:val="22"/>
              </w:rPr>
            </w:pPr>
            <w:r>
              <w:rPr>
                <w:rFonts w:hint="eastAsia" w:ascii="宋体" w:hAnsi="宋体" w:cs="宋体"/>
                <w:color w:val="000000"/>
                <w:kern w:val="0"/>
                <w:sz w:val="22"/>
                <w:lang w:bidi="ar"/>
              </w:rPr>
              <w:t>12</w:t>
            </w:r>
          </w:p>
        </w:tc>
        <w:tc>
          <w:tcPr>
            <w:tcW w:w="3433" w:type="dxa"/>
            <w:tcBorders>
              <w:top w:val="single" w:color="auto" w:sz="4" w:space="0"/>
              <w:left w:val="single" w:color="auto" w:sz="4" w:space="0"/>
              <w:bottom w:val="single" w:color="auto" w:sz="4" w:space="0"/>
              <w:right w:val="single" w:color="auto" w:sz="4" w:space="0"/>
            </w:tcBorders>
            <w:vAlign w:val="center"/>
          </w:tcPr>
          <w:p w14:paraId="6824377D">
            <w:pPr>
              <w:widowControl/>
              <w:jc w:val="center"/>
              <w:textAlignment w:val="center"/>
              <w:rPr>
                <w:rFonts w:ascii="宋体" w:hAnsi="宋体" w:cs="宋体"/>
                <w:sz w:val="22"/>
              </w:rPr>
            </w:pPr>
            <w:r>
              <w:rPr>
                <w:rFonts w:ascii="宋体" w:hAnsi="宋体" w:cs="宋体"/>
                <w:color w:val="000000"/>
                <w:kern w:val="0"/>
                <w:sz w:val="22"/>
                <w:lang w:bidi="ar"/>
              </w:rPr>
              <w:t>门五金配件</w:t>
            </w:r>
          </w:p>
        </w:tc>
        <w:tc>
          <w:tcPr>
            <w:tcW w:w="6066" w:type="dxa"/>
            <w:tcBorders>
              <w:top w:val="single" w:color="auto" w:sz="4" w:space="0"/>
              <w:left w:val="single" w:color="auto" w:sz="4" w:space="0"/>
              <w:bottom w:val="single" w:color="auto" w:sz="4" w:space="0"/>
              <w:right w:val="single" w:color="auto" w:sz="4" w:space="0"/>
            </w:tcBorders>
            <w:vAlign w:val="center"/>
          </w:tcPr>
          <w:p w14:paraId="7C9F47EB">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茵科、史丹利、多玛、亚萨合莱、盖泽、安朗杰</w:t>
            </w:r>
          </w:p>
        </w:tc>
      </w:tr>
      <w:tr w14:paraId="27369DEE">
        <w:tblPrEx>
          <w:tblCellMar>
            <w:top w:w="0" w:type="dxa"/>
            <w:left w:w="108" w:type="dxa"/>
            <w:bottom w:w="0" w:type="dxa"/>
            <w:right w:w="108" w:type="dxa"/>
          </w:tblCellMar>
        </w:tblPrEx>
        <w:trPr>
          <w:trHeight w:val="930" w:hRule="atLeast"/>
        </w:trPr>
        <w:tc>
          <w:tcPr>
            <w:tcW w:w="850" w:type="dxa"/>
            <w:tcBorders>
              <w:top w:val="single" w:color="auto" w:sz="4" w:space="0"/>
              <w:left w:val="single" w:color="auto" w:sz="4" w:space="0"/>
              <w:bottom w:val="single" w:color="auto" w:sz="4" w:space="0"/>
              <w:right w:val="single" w:color="auto" w:sz="4" w:space="0"/>
            </w:tcBorders>
            <w:vAlign w:val="center"/>
          </w:tcPr>
          <w:p w14:paraId="314B10E2">
            <w:pPr>
              <w:widowControl/>
              <w:jc w:val="center"/>
              <w:textAlignment w:val="center"/>
              <w:rPr>
                <w:rFonts w:ascii="宋体" w:hAnsi="宋体" w:cs="宋体"/>
                <w:kern w:val="0"/>
                <w:sz w:val="22"/>
                <w:lang w:bidi="ar"/>
              </w:rPr>
            </w:pPr>
            <w:r>
              <w:rPr>
                <w:rFonts w:hint="eastAsia" w:ascii="宋体" w:hAnsi="宋体" w:cs="宋体"/>
                <w:color w:val="000000"/>
                <w:kern w:val="0"/>
                <w:sz w:val="22"/>
                <w:lang w:bidi="ar"/>
              </w:rPr>
              <w:t>13</w:t>
            </w:r>
          </w:p>
        </w:tc>
        <w:tc>
          <w:tcPr>
            <w:tcW w:w="3433" w:type="dxa"/>
            <w:tcBorders>
              <w:top w:val="single" w:color="auto" w:sz="4" w:space="0"/>
              <w:left w:val="single" w:color="auto" w:sz="4" w:space="0"/>
              <w:bottom w:val="single" w:color="auto" w:sz="4" w:space="0"/>
              <w:right w:val="single" w:color="auto" w:sz="4" w:space="0"/>
            </w:tcBorders>
            <w:vAlign w:val="center"/>
          </w:tcPr>
          <w:p w14:paraId="64BDA4F2">
            <w:pPr>
              <w:widowControl/>
              <w:jc w:val="center"/>
              <w:textAlignment w:val="center"/>
              <w:rPr>
                <w:rFonts w:ascii="宋体" w:hAnsi="宋体" w:cs="宋体"/>
                <w:kern w:val="0"/>
                <w:sz w:val="22"/>
                <w:lang w:bidi="ar"/>
              </w:rPr>
            </w:pPr>
            <w:r>
              <w:rPr>
                <w:rFonts w:ascii="宋体" w:hAnsi="宋体" w:cs="宋体"/>
                <w:color w:val="000000"/>
                <w:kern w:val="0"/>
                <w:sz w:val="22"/>
                <w:lang w:bidi="ar"/>
              </w:rPr>
              <w:t>擦窗机</w:t>
            </w:r>
          </w:p>
        </w:tc>
        <w:tc>
          <w:tcPr>
            <w:tcW w:w="6066" w:type="dxa"/>
            <w:tcBorders>
              <w:top w:val="single" w:color="auto" w:sz="4" w:space="0"/>
              <w:left w:val="single" w:color="auto" w:sz="4" w:space="0"/>
              <w:bottom w:val="single" w:color="auto" w:sz="4" w:space="0"/>
              <w:right w:val="single" w:color="auto" w:sz="4" w:space="0"/>
            </w:tcBorders>
            <w:vAlign w:val="center"/>
          </w:tcPr>
          <w:p w14:paraId="6504F74F">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上海普英特、北京凯博、无锡博宇、无锡雄宇、南京福瑞德</w:t>
            </w:r>
          </w:p>
        </w:tc>
      </w:tr>
    </w:tbl>
    <w:p w14:paraId="2DFA3E9E">
      <w:pPr>
        <w:widowControl/>
        <w:jc w:val="left"/>
        <w:rPr>
          <w:rFonts w:ascii="Times New Roman" w:hAnsi="Times New Roman"/>
          <w:b/>
          <w:bCs/>
          <w:color w:val="000000" w:themeColor="text1"/>
          <w:kern w:val="44"/>
          <w:sz w:val="30"/>
          <w:szCs w:val="30"/>
          <w14:textFill>
            <w14:solidFill>
              <w14:schemeClr w14:val="tx1"/>
            </w14:solidFill>
          </w14:textFill>
        </w:rPr>
      </w:pPr>
    </w:p>
    <w:p w14:paraId="0DDB45E1">
      <w:pPr>
        <w:pStyle w:val="3"/>
        <w:rPr>
          <w:rFonts w:ascii="仿宋" w:hAnsi="仿宋" w:eastAsia="仿宋"/>
          <w:color w:val="000000" w:themeColor="text1"/>
          <w:sz w:val="30"/>
          <w:szCs w:val="30"/>
          <w14:textFill>
            <w14:solidFill>
              <w14:schemeClr w14:val="tx1"/>
            </w14:solidFill>
          </w14:textFill>
        </w:rPr>
      </w:pPr>
      <w:bookmarkStart w:id="1204" w:name="_Toc10256"/>
      <w:bookmarkStart w:id="1205" w:name="_Toc18546"/>
      <w:bookmarkStart w:id="1206" w:name="_Toc44227955"/>
      <w:bookmarkStart w:id="1207" w:name="_Toc30211"/>
      <w:bookmarkStart w:id="1208" w:name="_Toc44492632"/>
      <w:bookmarkStart w:id="1209" w:name="_Toc1902"/>
      <w:bookmarkStart w:id="1210" w:name="_Toc17818"/>
      <w:r>
        <w:rPr>
          <w:rFonts w:hint="eastAsia" w:ascii="仿宋" w:hAnsi="仿宋" w:eastAsia="仿宋"/>
          <w:color w:val="000000" w:themeColor="text1"/>
          <w:sz w:val="30"/>
          <w:szCs w:val="30"/>
          <w14:textFill>
            <w14:solidFill>
              <w14:schemeClr w14:val="tx1"/>
            </w14:solidFill>
          </w14:textFill>
        </w:rPr>
        <w:t>附件</w:t>
      </w:r>
      <w:r>
        <w:rPr>
          <w:rFonts w:ascii="仿宋" w:hAnsi="仿宋" w:eastAsia="仿宋"/>
          <w:color w:val="000000" w:themeColor="text1"/>
          <w:sz w:val="30"/>
          <w:szCs w:val="30"/>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 xml:space="preserve"> 工程建设项目</w:t>
      </w:r>
      <w:r>
        <w:rPr>
          <w:rFonts w:hint="eastAsia" w:ascii="仿宋" w:hAnsi="仿宋" w:eastAsia="仿宋"/>
          <w:color w:val="000000" w:themeColor="text1"/>
          <w:sz w:val="30"/>
          <w:szCs w:val="30"/>
          <w:u w:val="dotted"/>
          <w14:textFill>
            <w14:solidFill>
              <w14:schemeClr w14:val="tx1"/>
            </w14:solidFill>
          </w14:textFill>
        </w:rPr>
        <w:t>廉政</w:t>
      </w:r>
      <w:bookmarkEnd w:id="1204"/>
      <w:bookmarkEnd w:id="1205"/>
      <w:bookmarkEnd w:id="1206"/>
      <w:bookmarkEnd w:id="1207"/>
      <w:bookmarkEnd w:id="1208"/>
      <w:r>
        <w:rPr>
          <w:rFonts w:hint="eastAsia" w:ascii="仿宋" w:hAnsi="仿宋" w:eastAsia="仿宋"/>
          <w:color w:val="000000" w:themeColor="text1"/>
          <w:sz w:val="30"/>
          <w:szCs w:val="30"/>
          <w:u w:val="dotted"/>
          <w14:textFill>
            <w14:solidFill>
              <w14:schemeClr w14:val="tx1"/>
            </w14:solidFill>
          </w14:textFill>
        </w:rPr>
        <w:t>合同书</w:t>
      </w:r>
      <w:bookmarkEnd w:id="1209"/>
      <w:bookmarkEnd w:id="1210"/>
      <w:r>
        <w:rPr>
          <w:rFonts w:hint="eastAsia" w:ascii="仿宋" w:hAnsi="仿宋" w:eastAsia="仿宋"/>
          <w:color w:val="000000" w:themeColor="text1"/>
          <w:sz w:val="30"/>
          <w:szCs w:val="30"/>
          <w14:textFill>
            <w14:solidFill>
              <w14:schemeClr w14:val="tx1"/>
            </w14:solidFill>
          </w14:textFill>
        </w:rPr>
        <w:t xml:space="preserve"> </w:t>
      </w:r>
    </w:p>
    <w:p w14:paraId="18694F44">
      <w:pPr>
        <w:jc w:val="center"/>
        <w:rPr>
          <w:sz w:val="36"/>
        </w:rPr>
      </w:pPr>
      <w:r>
        <w:rPr>
          <w:rFonts w:hint="eastAsia"/>
          <w:sz w:val="36"/>
        </w:rPr>
        <w:t>项目廉政合同书</w:t>
      </w:r>
    </w:p>
    <w:p w14:paraId="3FB90080">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56202B6F">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796C1377">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为确保甲方对建设单位的承诺，高效、优质共同完成施工任务，争创优质工程，保证合同双方能够高效廉洁地履行，维护双方合法权益，经双方协商，特订立如下廉政合同书。</w:t>
      </w:r>
    </w:p>
    <w:p w14:paraId="3DC224EF">
      <w:pPr>
        <w:spacing w:line="48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第一条 甲乙双方的权利和义务</w:t>
      </w:r>
    </w:p>
    <w:p w14:paraId="06B27905">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1.甲乙双方应本着“公开、公平、公正、诚信、透明”的原则开展工作，自觉遵守党和国家、工程项目所在省、市、区工程建设有关法律法规以及廉政建设的各项规定。</w:t>
      </w:r>
    </w:p>
    <w:p w14:paraId="014B887B">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2.甲乙双方应建立健全廉政教育制度，开展经常性教育活动，积极宣贯“合规诚信 自律清正”的廉洁从业核心理念，加强廉政教育。</w:t>
      </w:r>
    </w:p>
    <w:p w14:paraId="443D8DE0">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3.加强相互监督，发现对方有违反廉政合同书规定的行为，应及时提醒对方纠正。</w:t>
      </w:r>
    </w:p>
    <w:p w14:paraId="4BBA0AD3">
      <w:pPr>
        <w:spacing w:line="48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第二条 甲方的责任</w:t>
      </w:r>
    </w:p>
    <w:p w14:paraId="1DB7FB1E">
      <w:pPr>
        <w:spacing w:line="48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甲方工作人员不得有以下行为：</w:t>
      </w:r>
    </w:p>
    <w:p w14:paraId="13897838">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kern w:val="0"/>
          <w:sz w:val="28"/>
          <w:szCs w:val="28"/>
        </w:rPr>
        <w:t>为乙方多结算工程量、多签证、多付工程款等，并</w:t>
      </w:r>
      <w:r>
        <w:rPr>
          <w:rFonts w:hint="eastAsia" w:ascii="仿宋_GB2312" w:hAnsi="宋体" w:eastAsia="仿宋_GB2312" w:cs="宋体"/>
          <w:sz w:val="28"/>
          <w:szCs w:val="28"/>
        </w:rPr>
        <w:t>向乙方索要或接受贿赂、回扣、礼金、有价证券（卡）、贵重物品和好处费等；</w:t>
      </w:r>
    </w:p>
    <w:p w14:paraId="5D0BFB99">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（2）在乙方报销任何应由甲方或个人支付的费用；</w:t>
      </w:r>
    </w:p>
    <w:p w14:paraId="4DFB856E">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（3）参加有可能影响公正执行公务的超标准宴请和娱乐、健身等活动；</w:t>
      </w:r>
    </w:p>
    <w:p w14:paraId="574681BB">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（4）接受乙方提供的通讯工具、交通工具和高档办公用品；</w:t>
      </w:r>
    </w:p>
    <w:p w14:paraId="1F3D989C">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（5）要求、暗示或接受乙方为个人住房装修、婚丧嫁娶、配偶子女工作的安排以及出国（境）、旅游提供的方便；</w:t>
      </w:r>
    </w:p>
    <w:p w14:paraId="1662C81C">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（6）向乙方介绍或推荐配偶、子女、亲属参与的工程施工合同有关的设备、材料、工程分包、劳务等；</w:t>
      </w:r>
    </w:p>
    <w:p w14:paraId="7F0232D7">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（7）向乙方推荐分包单位或要求乙方购买合同规定以外的材料、机具设备等；</w:t>
      </w:r>
    </w:p>
    <w:p w14:paraId="7BBA4C4F">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（8）因乙方拒绝本人的不合理要求，而故意刁难乙方。</w:t>
      </w:r>
    </w:p>
    <w:p w14:paraId="22F5A66F">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第三条乙方的责任</w:t>
      </w:r>
    </w:p>
    <w:p w14:paraId="2B326F49">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乙方应当通过正常途径开展业务，不得有以下行为：</w:t>
      </w:r>
    </w:p>
    <w:p w14:paraId="67C913B1">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（1）为</w:t>
      </w:r>
      <w:r>
        <w:rPr>
          <w:rFonts w:hint="eastAsia" w:ascii="仿宋_GB2312" w:hAnsi="宋体" w:eastAsia="仿宋_GB2312" w:cs="宋体"/>
          <w:kern w:val="0"/>
          <w:sz w:val="28"/>
          <w:szCs w:val="28"/>
        </w:rPr>
        <w:t>多结算工程量、多签证、多收工程款等，</w:t>
      </w:r>
      <w:r>
        <w:rPr>
          <w:rFonts w:hint="eastAsia" w:ascii="仿宋_GB2312" w:hAnsi="宋体" w:eastAsia="仿宋_GB2312" w:cs="宋体"/>
          <w:sz w:val="28"/>
          <w:szCs w:val="28"/>
        </w:rPr>
        <w:t>向甲方及其管理人员行贿或馈赠礼金、有价证券（卡）、贵重礼品；</w:t>
      </w:r>
    </w:p>
    <w:p w14:paraId="5250BCB9">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（2）为甲方及其工作人员报销应由甲方单位或个人支付的任何费用；</w:t>
      </w:r>
    </w:p>
    <w:p w14:paraId="1219AE1A">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（3）安排甲方人员参加超标准宴请、娱乐活动及带有黄、赌性质的娱乐活动；</w:t>
      </w:r>
    </w:p>
    <w:p w14:paraId="2F7BEB4D">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（4）为甲方人员购置或提供通讯工具、交通工具和高档办公用品等；</w:t>
      </w:r>
    </w:p>
    <w:p w14:paraId="0C75DD9A">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（5）乙方向甲方工作人员及其家属或者亲友介绍从事与甲乙双方工程有关的工程分包及材料设备、周转工具的供应、租赁等经营活动。</w:t>
      </w:r>
    </w:p>
    <w:p w14:paraId="2E747406">
      <w:pPr>
        <w:spacing w:line="48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第四条 违约责任</w:t>
      </w:r>
    </w:p>
    <w:p w14:paraId="4491A894">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如甲方工作人员有违反本廉政合同书的行为，由甲方纪委查处，追究相应的党纪、政务责任，涉嫌犯罪的，移交司法机关追究刑事责任；对实名举报的，甲方要立即调查，并采取有效措施保障乙方的合法权益，防止报复事件发生。</w:t>
      </w:r>
    </w:p>
    <w:p w14:paraId="32497D0C">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2.如乙方单位或个人有违反本廉政合同书的行为，甲方视情节对乙方处以签约合同价0.5%—1%的罚款，情节较重并给甲方造成损失的，乙方另需赔偿甲方全部经济损失，并取消乙方工程分包资格。</w:t>
      </w:r>
    </w:p>
    <w:p w14:paraId="45177ACF">
      <w:pPr>
        <w:spacing w:line="480" w:lineRule="exact"/>
        <w:ind w:firstLine="560" w:firstLineChars="200"/>
        <w:rPr>
          <w:rFonts w:ascii="仿宋_GB2312" w:hAnsi="宋体" w:eastAsia="仿宋_GB2312" w:cs="宋体"/>
          <w:sz w:val="28"/>
          <w:szCs w:val="28"/>
        </w:rPr>
      </w:pPr>
      <w:bookmarkStart w:id="1211" w:name="_Hlk117694496"/>
      <w:r>
        <w:rPr>
          <w:rFonts w:hint="eastAsia" w:ascii="仿宋_GB2312" w:hAnsi="宋体" w:eastAsia="仿宋_GB2312" w:cs="宋体"/>
          <w:sz w:val="28"/>
          <w:szCs w:val="28"/>
        </w:rPr>
        <w:t>第五条 甲方举报电话：纪委书记【           】，纪检监察部【           】。</w:t>
      </w:r>
      <w:bookmarkEnd w:id="1211"/>
    </w:p>
    <w:p w14:paraId="7EB02036">
      <w:pPr>
        <w:tabs>
          <w:tab w:val="left" w:pos="1870"/>
        </w:tabs>
        <w:adjustRightInd w:val="0"/>
        <w:snapToGrid w:val="0"/>
        <w:spacing w:line="540" w:lineRule="exact"/>
        <w:ind w:firstLine="560" w:firstLineChars="200"/>
        <w:textAlignment w:val="baseline"/>
        <w:rPr>
          <w:rFonts w:ascii="宋体" w:hAnsi="宋体"/>
          <w:color w:val="000000" w:themeColor="text1"/>
          <w:kern w:val="0"/>
          <w:sz w:val="22"/>
          <w14:textFill>
            <w14:solidFill>
              <w14:schemeClr w14:val="tx1"/>
            </w14:solidFill>
          </w14:textFill>
        </w:rPr>
      </w:pPr>
      <w:r>
        <w:rPr>
          <w:rFonts w:hint="eastAsia" w:ascii="仿宋_GB2312" w:hAnsi="宋体" w:eastAsia="仿宋_GB2312" w:cs="宋体"/>
          <w:sz w:val="28"/>
          <w:szCs w:val="28"/>
        </w:rPr>
        <w:t>第六条 本廉政合同书作为分包合同的附件，具有同等法律效力，本协议与合同同日生效,至甲乙双方工程合同履约完止。</w:t>
      </w:r>
    </w:p>
    <w:p w14:paraId="68645206">
      <w:pPr>
        <w:adjustRightInd w:val="0"/>
        <w:spacing w:line="312" w:lineRule="atLeast"/>
        <w:textAlignment w:val="baseline"/>
        <w:rPr>
          <w:color w:val="000000" w:themeColor="text1"/>
          <w:kern w:val="0"/>
          <w:szCs w:val="20"/>
          <w14:textFill>
            <w14:solidFill>
              <w14:schemeClr w14:val="tx1"/>
            </w14:solidFill>
          </w14:textFill>
        </w:rPr>
      </w:pPr>
    </w:p>
    <w:p w14:paraId="2278078F">
      <w:pPr>
        <w:pStyle w:val="3"/>
        <w:rPr>
          <w:rFonts w:ascii="仿宋" w:hAnsi="仿宋" w:eastAsia="仿宋"/>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br w:type="page"/>
      </w:r>
      <w:bookmarkStart w:id="1212" w:name="_Toc30540"/>
      <w:bookmarkStart w:id="1213" w:name="_Toc7375"/>
      <w:bookmarkStart w:id="1214" w:name="_Toc22912"/>
      <w:bookmarkStart w:id="1215" w:name="_Toc7459"/>
      <w:bookmarkStart w:id="1216" w:name="_Toc44492633"/>
      <w:bookmarkStart w:id="1217" w:name="_Toc11990"/>
      <w:bookmarkStart w:id="1218" w:name="_Toc44227956"/>
      <w:r>
        <w:rPr>
          <w:rFonts w:hint="eastAsia" w:ascii="仿宋" w:hAnsi="仿宋" w:eastAsia="仿宋"/>
          <w:color w:val="000000" w:themeColor="text1"/>
          <w:sz w:val="30"/>
          <w:szCs w:val="30"/>
          <w14:textFill>
            <w14:solidFill>
              <w14:schemeClr w14:val="tx1"/>
            </w14:solidFill>
          </w14:textFill>
        </w:rPr>
        <w:t>附件</w:t>
      </w:r>
      <w:r>
        <w:rPr>
          <w:rFonts w:ascii="仿宋" w:hAnsi="仿宋" w:eastAsia="仿宋"/>
          <w:color w:val="000000" w:themeColor="text1"/>
          <w:sz w:val="30"/>
          <w:szCs w:val="30"/>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施工总承包管理配合协议（另册）</w:t>
      </w:r>
      <w:bookmarkEnd w:id="1212"/>
      <w:bookmarkEnd w:id="1213"/>
      <w:bookmarkEnd w:id="1214"/>
    </w:p>
    <w:p w14:paraId="7C52BC8D">
      <w:pPr>
        <w:rPr>
          <w:color w:val="000000" w:themeColor="text1"/>
          <w:sz w:val="30"/>
          <w:szCs w:val="30"/>
          <w14:textFill>
            <w14:solidFill>
              <w14:schemeClr w14:val="tx1"/>
            </w14:solidFill>
          </w14:textFill>
        </w:rPr>
      </w:pPr>
    </w:p>
    <w:p w14:paraId="2C4713B9">
      <w:pPr>
        <w:rPr>
          <w:color w:val="000000" w:themeColor="text1"/>
          <w:sz w:val="30"/>
          <w:szCs w:val="30"/>
          <w14:textFill>
            <w14:solidFill>
              <w14:schemeClr w14:val="tx1"/>
            </w14:solidFill>
          </w14:textFill>
        </w:rPr>
      </w:pPr>
    </w:p>
    <w:p w14:paraId="30F6D4F0">
      <w:pPr>
        <w:pStyle w:val="2"/>
      </w:pPr>
    </w:p>
    <w:p w14:paraId="7F7C2844"/>
    <w:p w14:paraId="0E404DFF">
      <w:pPr>
        <w:pStyle w:val="2"/>
      </w:pPr>
    </w:p>
    <w:p w14:paraId="5218E1D3"/>
    <w:p w14:paraId="50BF00B3">
      <w:pPr>
        <w:pStyle w:val="2"/>
      </w:pPr>
    </w:p>
    <w:p w14:paraId="6E2E7DAE"/>
    <w:p w14:paraId="0ADA7C18">
      <w:pPr>
        <w:pStyle w:val="2"/>
      </w:pPr>
    </w:p>
    <w:p w14:paraId="6CAE83E6"/>
    <w:p w14:paraId="2768915C">
      <w:pPr>
        <w:pStyle w:val="2"/>
      </w:pPr>
    </w:p>
    <w:p w14:paraId="5AEC1EA6"/>
    <w:p w14:paraId="28B2DAC2">
      <w:pPr>
        <w:pStyle w:val="2"/>
      </w:pPr>
    </w:p>
    <w:p w14:paraId="7818B811"/>
    <w:p w14:paraId="729A3FBD">
      <w:pPr>
        <w:pStyle w:val="2"/>
      </w:pPr>
    </w:p>
    <w:p w14:paraId="0BE0BC92"/>
    <w:p w14:paraId="2D24BB82">
      <w:pPr>
        <w:pStyle w:val="2"/>
      </w:pPr>
    </w:p>
    <w:p w14:paraId="5CE8BD5F"/>
    <w:p w14:paraId="0528BD54">
      <w:pPr>
        <w:pStyle w:val="2"/>
      </w:pPr>
    </w:p>
    <w:p w14:paraId="764CFD3B"/>
    <w:p w14:paraId="58946393">
      <w:pPr>
        <w:pStyle w:val="2"/>
      </w:pPr>
    </w:p>
    <w:p w14:paraId="65CA0A2A"/>
    <w:p w14:paraId="0AD2A0AA">
      <w:pPr>
        <w:pStyle w:val="2"/>
      </w:pPr>
    </w:p>
    <w:p w14:paraId="2ED7EF65"/>
    <w:p w14:paraId="009EDE05">
      <w:pPr>
        <w:pStyle w:val="2"/>
      </w:pPr>
    </w:p>
    <w:p w14:paraId="1ADF51CC"/>
    <w:p w14:paraId="3794CBF6">
      <w:pPr>
        <w:pStyle w:val="2"/>
      </w:pPr>
    </w:p>
    <w:p w14:paraId="276EB878"/>
    <w:p w14:paraId="00B13A43">
      <w:pPr>
        <w:pStyle w:val="2"/>
      </w:pPr>
    </w:p>
    <w:p w14:paraId="66E34D7A"/>
    <w:p w14:paraId="1EAFE368"/>
    <w:bookmarkEnd w:id="1215"/>
    <w:bookmarkEnd w:id="1216"/>
    <w:bookmarkEnd w:id="1217"/>
    <w:bookmarkEnd w:id="1218"/>
    <w:p w14:paraId="0BDFEC96">
      <w:pPr>
        <w:widowControl/>
        <w:jc w:val="left"/>
        <w:outlineLvl w:val="0"/>
        <w:rPr>
          <w:b/>
          <w:bCs/>
          <w:color w:val="000000" w:themeColor="text1"/>
          <w:kern w:val="44"/>
          <w:sz w:val="30"/>
          <w:szCs w:val="30"/>
          <w14:textFill>
            <w14:solidFill>
              <w14:schemeClr w14:val="tx1"/>
            </w14:solidFill>
          </w14:textFill>
        </w:rPr>
      </w:pPr>
      <w:bookmarkStart w:id="1219" w:name="_Toc19159"/>
      <w:bookmarkStart w:id="1220" w:name="_Toc21631"/>
      <w:r>
        <w:rPr>
          <w:rFonts w:hint="eastAsia"/>
          <w:b/>
          <w:bCs/>
          <w:color w:val="000000" w:themeColor="text1"/>
          <w:kern w:val="44"/>
          <w:sz w:val="30"/>
          <w:szCs w:val="30"/>
          <w14:textFill>
            <w14:solidFill>
              <w14:schemeClr w14:val="tx1"/>
            </w14:solidFill>
          </w14:textFill>
        </w:rPr>
        <w:t>附件</w:t>
      </w:r>
      <w:r>
        <w:rPr>
          <w:b/>
          <w:bCs/>
          <w:color w:val="000000" w:themeColor="text1"/>
          <w:kern w:val="44"/>
          <w:sz w:val="30"/>
          <w:szCs w:val="30"/>
          <w14:textFill>
            <w14:solidFill>
              <w14:schemeClr w14:val="tx1"/>
            </w14:solidFill>
          </w14:textFill>
        </w:rPr>
        <w:t>7</w:t>
      </w:r>
      <w:r>
        <w:rPr>
          <w:rFonts w:hint="eastAsia"/>
          <w:b/>
          <w:bCs/>
          <w:color w:val="000000" w:themeColor="text1"/>
          <w:kern w:val="44"/>
          <w:sz w:val="30"/>
          <w:szCs w:val="30"/>
          <w14:textFill>
            <w14:solidFill>
              <w14:schemeClr w14:val="tx1"/>
            </w14:solidFill>
          </w14:textFill>
        </w:rPr>
        <w:t xml:space="preserve"> 施工现场安全生产协议书</w:t>
      </w:r>
      <w:bookmarkEnd w:id="1219"/>
      <w:bookmarkEnd w:id="1220"/>
    </w:p>
    <w:p w14:paraId="60D512FE">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7B1F7205">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4EA4DF01">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 xml:space="preserve">工程名称：【 </w:t>
      </w:r>
      <w:r>
        <w:rPr>
          <w:rFonts w:ascii="仿宋_GB2312" w:hAnsi="宋体" w:eastAsia="仿宋_GB2312" w:cs="宋体"/>
          <w:sz w:val="28"/>
          <w:szCs w:val="28"/>
        </w:rPr>
        <w:t xml:space="preserve">                           </w:t>
      </w:r>
      <w:r>
        <w:rPr>
          <w:rFonts w:hint="eastAsia" w:ascii="仿宋_GB2312" w:hAnsi="宋体" w:eastAsia="仿宋_GB2312" w:cs="宋体"/>
          <w:sz w:val="28"/>
          <w:szCs w:val="28"/>
        </w:rPr>
        <w:t>】</w:t>
      </w:r>
    </w:p>
    <w:p w14:paraId="5D359C08">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工程地点：【                            】</w:t>
      </w:r>
    </w:p>
    <w:p w14:paraId="7620F52B">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根据现行的《中华人民共和国安全生产法》《中华人民共和国建筑法》《建筑工程安全生产管理条例》等法律、法规和建筑施工行业安全生产管理标准、规范等，甲、乙双方就本工程现场的安全生产、职业健康、文明施工管理工作达成如下协议。</w:t>
      </w:r>
    </w:p>
    <w:p w14:paraId="4ABFE35F">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一、双方权责</w:t>
      </w:r>
    </w:p>
    <w:p w14:paraId="564BC922">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（一）甲乙双方共同的责任：</w:t>
      </w:r>
    </w:p>
    <w:p w14:paraId="48FF40A9">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14:paraId="5F17B127">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（二）甲方的权责</w:t>
      </w:r>
    </w:p>
    <w:p w14:paraId="2E9ABF28">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 对施工现场所有施工生产活动进行全面安全管理，制定全员安全生产责任制、安全生产规章制度和安全操作规程，督促乙方落实。</w:t>
      </w:r>
    </w:p>
    <w:p w14:paraId="2CC123D7">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2. 建立安全例会制度。组织召开安全生产周例会，研究、部署和落实项目安全生产有关工作。遇有特殊情况时，随时召开安全会议。</w:t>
      </w:r>
    </w:p>
    <w:p w14:paraId="3B041F15">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3. 建立安全生产检查制度。组织开展安全生产周检查工作和定期安全生产隐患排查工作，发出整改通知单，督促乙方完成整改事项。对乙方现场施工生产活动进行日常监督检查，纠正违章作业、违章指挥和违反劳动纪律的现象。</w:t>
      </w:r>
    </w:p>
    <w:p w14:paraId="76BC2EE6">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4. 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14:paraId="37B9241C">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5. 负责编制工程施工组织设计，审查乙方编制的危大工程和超危工程等安全专项方案，组织开展超危工程方案专家论证。督促乙方开展安全技术交底工作，并留存安全技术交底资料。</w:t>
      </w:r>
    </w:p>
    <w:p w14:paraId="5E303E73">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监督乙方按照施工组织设计和安全专项施工方案要求组织施工生产，落实安全保障措施。</w:t>
      </w:r>
    </w:p>
    <w:p w14:paraId="1F4C34BE">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6. 足额投入安全生产措施费用，督促乙方按规定足额使用安全措施费。</w:t>
      </w:r>
    </w:p>
    <w:p w14:paraId="31D0495C">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7. 督促乙方按照规定配齐安全管理人员，监督乙方现场代表、安全员、班组长和作业人员履行安全生产责任和义务，定期对乙方现场代表、安全员、班组长进行安全生产履职考核。为乙方专职安全生产管理人员提供办公场所。</w:t>
      </w:r>
    </w:p>
    <w:p w14:paraId="2FA9D5A0">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8. 编制施工现场应急救援预案，根据方案要求储备应急救援物资、设备，并定期组织演练。</w:t>
      </w:r>
    </w:p>
    <w:p w14:paraId="5031F881">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9. 组织基坑工程、模板工程、临时用电、机械设备、防护设施、防护用品、高处作业、脚手架等分部分项工程的安全验收，提出验收意见，督促乙方对不合格项进行整改。</w:t>
      </w:r>
    </w:p>
    <w:p w14:paraId="243B766A">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10. 在施工现场显要位置公布施工现场危险源，在施工现场危险作业部位设置警示标识。</w:t>
      </w:r>
    </w:p>
    <w:p w14:paraId="13E54119">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（三）乙方的权责</w:t>
      </w:r>
    </w:p>
    <w:p w14:paraId="10AD8B4A">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 层层落实安全生产责任，杜绝死亡、重伤、火灾、交通、职业病、食品中毒等事故。</w:t>
      </w:r>
    </w:p>
    <w:p w14:paraId="5A24F787">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2. 加强自身安全管理工作，服从甲方的管理，按照甲方的管理制度、操作规程、安全施工方案、安全策划、安全交底等开展现场的施工生产工作。若不服从甲方管理，导致事故的，承担事故主要责任。</w:t>
      </w:r>
    </w:p>
    <w:p w14:paraId="383D9A5F">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3. 按国家有关规定配足安全管理人员，安全管理人员需持建设行政主管部门颁发的安全生产考核合格证，且注册单位与用人单位一致。安全管理人员应当先于作业人员进场并晚于施工人员退场。</w:t>
      </w:r>
    </w:p>
    <w:p w14:paraId="560FA06D">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乙方未按照建质〔2008〕91号文件规定配备专职安全管理人员的，或专职安全管理人员配备不足的，按照合同条款进行处置。乙方专职安全管理人员应当与甲方专职安全管理人员合署办公，乙方专职安全生产管理人员应当服从甲方的统一管理。</w:t>
      </w:r>
    </w:p>
    <w:p w14:paraId="07A24DD2">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4. 新工人进场前，应当完成所有工人的三级安全教育工作，并向甲方提供教育培训档案。</w:t>
      </w:r>
    </w:p>
    <w:p w14:paraId="769D817D">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工人进场前，应当向甲方提供现场管理人员和工人的花名册、特种作业人员台账。调出和调进人员应提前向甲方报告。</w:t>
      </w:r>
    </w:p>
    <w:p w14:paraId="2B62336E">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乙方应当在新工人进场3天内，安排所有新工人接受甲方组织的入场安全教育，清退入场安全教育考核不合格的工人。未经三级安全教育和入场安全教育的工人不得进入施工现场工作，否则产生的后果由乙方承担。</w:t>
      </w:r>
    </w:p>
    <w:p w14:paraId="5A9F35F5">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每日组织开展安全生产早班会。督促每一个班组、每一名参加当天生产活动的工人接受早班会教育。每天早班会教育活动完成后，应及时向甲方报送早班会活动相关资料。</w:t>
      </w:r>
    </w:p>
    <w:p w14:paraId="4762FBA9">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工人进场前，乙方应对工人年龄、健康状况进行筛查，不得安排60周岁以</w:t>
      </w:r>
      <w:bookmarkStart w:id="1221" w:name="_Hlk132056563"/>
      <w:r>
        <w:rPr>
          <w:rFonts w:hint="eastAsia" w:ascii="仿宋_GB2312" w:hAnsi="宋体" w:eastAsia="仿宋_GB2312" w:cs="宋体"/>
          <w:sz w:val="28"/>
          <w:szCs w:val="28"/>
        </w:rPr>
        <w:t>上</w:t>
      </w:r>
      <w:bookmarkEnd w:id="1221"/>
      <w:r>
        <w:rPr>
          <w:rFonts w:hint="eastAsia" w:ascii="仿宋_GB2312" w:hAnsi="宋体" w:eastAsia="仿宋_GB2312" w:cs="宋体"/>
          <w:sz w:val="28"/>
          <w:szCs w:val="28"/>
        </w:rPr>
        <w:t>男普通工人、50周岁以上女普通工人、55周岁以上男特殊工种、45周岁以上女特殊工种、有身体残疾、有不适合施工现场作业疾病（心脏病、精神疾病、癫痫病等）的人员进入施工现场。不得安排年龄超过55周岁的工人从事登高、有限空间作业等高危险作业。为预防传染病，在进场前，需提供最近三个月内的体检报告。若因乙方筛查工作不到位或刻意隐瞒作业人员身体疾病，导致出现意外的，相应责任由乙方承担。</w:t>
      </w:r>
    </w:p>
    <w:p w14:paraId="2F40C335">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 xml:space="preserve">5.配备齐全各专业特种作业人员，特种作业人员数量和操作技能应当满足现场生产安全需要。不得安排无证人员从事现场特种作业，特种作业人员进场前应当主动向甲方提供特种作业人员操作证，并对证件的有效性、真实性负责。施工期间，乙方特殊工种工人应每季度体检一次，并将体检报告提供至甲方。乙方要按照甲方管理要求对工人进行安全教育培训，完善考核及签字手续，未经安全教育即进场施工的，责令停工整改的同时，按照【 </w:t>
      </w:r>
      <w:r>
        <w:rPr>
          <w:rFonts w:ascii="仿宋_GB2312" w:hAnsi="宋体" w:eastAsia="仿宋_GB2312" w:cs="宋体"/>
          <w:sz w:val="28"/>
          <w:szCs w:val="28"/>
        </w:rPr>
        <w:t xml:space="preserve"> </w:t>
      </w:r>
      <w:r>
        <w:rPr>
          <w:rFonts w:hint="eastAsia" w:ascii="仿宋_GB2312" w:hAnsi="宋体" w:eastAsia="仿宋_GB2312" w:cs="宋体"/>
          <w:sz w:val="28"/>
          <w:szCs w:val="28"/>
        </w:rPr>
        <w:t>】元/人次收取违约金。</w:t>
      </w:r>
    </w:p>
    <w:p w14:paraId="7B2F15C2">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6. 项目负责人和安全管理人员应参加甲方组织的安全检查、巡查工作，参加甲方组织的安全生产会议，认真落实甲方做出的有关决定。在规定的期限内完成甲方发出的整改事项。</w:t>
      </w:r>
    </w:p>
    <w:p w14:paraId="7E5506F1">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7.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14:paraId="20EB0D5C">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8. 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14:paraId="7401FE39">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9. 加强自带起重机械、吊篮、运输工具、电箱、电缆、工具、器具等设备设施的检查和验收，不使用无合格证、不能满足规范要求、安全性能不足或存在明显安全缺陷的工具、器具、设备和设施等。</w:t>
      </w:r>
    </w:p>
    <w:p w14:paraId="617ED6E6">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特种设备、吊篮等必须经过具备相应资质的第三方单位进行安装检测和定期检测，检测合格后，经现场建设单位、监理单位、总承包单位、安装单位和使用单位联合验收合格后，方可投入使用。</w:t>
      </w:r>
    </w:p>
    <w:p w14:paraId="07B730AB">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10. 加强工人交通安全法制观念的教育，督促工人在上、下班途中遵守交通安全法律、法规，及时发现和制止工人的交通违法和违规行为。</w:t>
      </w:r>
    </w:p>
    <w:p w14:paraId="1A587DA0">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11. 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14:paraId="0D1F0861">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12. 不得超时间、超强度、超能力安排工人进行生产作业活动。应当根据甲方制定的作息时间表安排工人上、下班，禁止工人在非正常工作时段进入施工现场，应当督促工人在下班后及时离开施工现场。</w:t>
      </w:r>
    </w:p>
    <w:p w14:paraId="54E74776">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加班期间，乙方应当每天安排专人负责值班，在所有工人撤场后，值班人员方可离开现场。施工现场禁止工人午休及留宿。</w:t>
      </w:r>
    </w:p>
    <w:p w14:paraId="5BDCBBB7">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13. 负责编制合同范围内的危险性较大的工程和超过一定规模的危险性较大的分部分项工程安全专项施工方案，履行内部审核程序，将危大工程和超危工程方案报送总承包单位审查。按照超危工程方案专家论证意见，对专项方案进行修改。</w:t>
      </w:r>
    </w:p>
    <w:p w14:paraId="1A3E11B8">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组织作业工人进行书面安全技术交底，所有作业工人均应当接受安全技术交底。安全技术交底活动应当接受甲方安全生产监督管理人员的监督。技术交底工作完成后，应当及时将相关资料（安全技术交底表、工人签名、交底图片等）交甲方留存备查。</w:t>
      </w:r>
    </w:p>
    <w:p w14:paraId="324FC6D9">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14. 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14:paraId="55E94B82">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参加甲方组织的周检查、日巡查、季节性检查等安全检查，负责对自身所属范围内容的隐患问题进行整改，在规定的期限内完成整改，并向甲方反馈整改情况。</w:t>
      </w:r>
    </w:p>
    <w:p w14:paraId="41C9FEDD">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15. 现场危大工程和超危工程实施到一定阶段时，应当向总承包单位提出验收申请，经建设单位、监理单位、总承包单位等验收合格后，方可进入下一道工序。</w:t>
      </w:r>
    </w:p>
    <w:p w14:paraId="2C9BD343">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16. 参加甲方组织的生产安全事故应急救援演练，掌握应急救援相关要求。</w:t>
      </w:r>
    </w:p>
    <w:p w14:paraId="61335480">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17. 按照甲方的要求和施工现场的具体情况，足额使用本单位掌握的安全措施费用。</w:t>
      </w:r>
    </w:p>
    <w:p w14:paraId="5A3D88C7">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18. 在同一场地与其他分包单位交叉作业，有可能危及对方安全时，应主动向甲方报告，听从甲方的统一指挥，按照甲方指定的施工顺序进行施工，并安排专职安全生产管理人员进行监护。</w:t>
      </w:r>
    </w:p>
    <w:p w14:paraId="05ED683E">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19. 不得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14:paraId="20ADFACD">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20. 食堂工作人员须持健康证上岗；每半年检查一次身体，做好饭菜留样，落实各项预防食物中毒的制度和措施。</w:t>
      </w:r>
    </w:p>
    <w:p w14:paraId="665549DF">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二、事故处理</w:t>
      </w:r>
    </w:p>
    <w:p w14:paraId="188A6E1E">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14:paraId="7BAFDE80">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14:paraId="2EFDDE9E">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三、其他</w:t>
      </w:r>
    </w:p>
    <w:p w14:paraId="04B1538C">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乙方不执行本协议的有关要求，由甲方按照本协议附件：《专业分包现场安全生产违约处罚细则》进行处罚，处罚由甲方管理人员发出书面告知，乙方收到书面告知后，可在7天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14:paraId="78A61B74">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甲方鼓励乙方采取创新举措加强现场安全生产管理工作，提出改进安全生产工作的有效措施建议，乙方对项目安全生产工作有突出贡献的，由甲方进行奖励，奖励经甲方现场代表事先签字同意后，按照甲方商务、财务有关规定办理。</w:t>
      </w:r>
    </w:p>
    <w:p w14:paraId="01531BA0">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在施工过程中遇有本协议未约定情况，甲乙双方需共同遵守国家、地方的有关现行法律、法规、规范、标准等的要求，共同做好现场安全生产工作，确保生产安全。</w:t>
      </w:r>
    </w:p>
    <w:p w14:paraId="775BAB67">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本协议适用范围：（1）人员：甲乙双方所有进入施工现场、项目部、生活区的人员；（2）区域：工程地点围墙以内，大门处门边3米以内；（3）时间：自本协议书签字之日起至乙方完成合同约定工程量之日止。</w:t>
      </w:r>
    </w:p>
    <w:p w14:paraId="16D9D06F">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甲方现场安全生产监督管理负责人：</w:t>
      </w:r>
    </w:p>
    <w:p w14:paraId="5109D48E">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安全员：1.【      】2.【      】3.【      】4.【      】5.【      】</w:t>
      </w:r>
    </w:p>
    <w:p w14:paraId="402610E6">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乙方现场安全负责人：</w:t>
      </w:r>
    </w:p>
    <w:p w14:paraId="0CA20F2A">
      <w:pPr>
        <w:spacing w:line="480" w:lineRule="exact"/>
        <w:ind w:left="120" w:leftChars="50" w:right="28" w:firstLine="482"/>
        <w:rPr>
          <w:rFonts w:ascii="仿宋_GB2312" w:hAnsi="宋体" w:eastAsia="仿宋_GB2312" w:cs="宋体"/>
          <w:sz w:val="28"/>
          <w:szCs w:val="28"/>
        </w:rPr>
      </w:pPr>
      <w:r>
        <w:rPr>
          <w:rFonts w:hint="eastAsia" w:ascii="仿宋_GB2312" w:hAnsi="宋体" w:eastAsia="仿宋_GB2312" w:cs="宋体"/>
          <w:sz w:val="28"/>
          <w:szCs w:val="28"/>
        </w:rPr>
        <w:t>安全员：1.【      】2.【      】3.【      】4.【      】5.【      】</w:t>
      </w:r>
    </w:p>
    <w:p w14:paraId="6450E614">
      <w:pPr>
        <w:spacing w:line="480" w:lineRule="exact"/>
        <w:ind w:left="120" w:leftChars="50" w:right="28" w:firstLine="482"/>
        <w:rPr>
          <w:rFonts w:ascii="宋体" w:hAnsi="宋体" w:cs="宋体"/>
          <w:szCs w:val="21"/>
        </w:rPr>
      </w:pPr>
      <w:r>
        <w:rPr>
          <w:rFonts w:hint="eastAsia" w:ascii="仿宋_GB2312" w:hAnsi="宋体" w:eastAsia="仿宋_GB2312" w:cs="宋体"/>
          <w:sz w:val="28"/>
          <w:szCs w:val="28"/>
        </w:rPr>
        <w:t>本协议作为附件与分包合同同时签订。</w:t>
      </w:r>
    </w:p>
    <w:p w14:paraId="5E16F548">
      <w:pPr>
        <w:ind w:right="28"/>
        <w:jc w:val="center"/>
        <w:rPr>
          <w:rFonts w:ascii="仿宋_GB2312" w:hAnsi="宋体" w:eastAsia="仿宋_GB2312" w:cs="宋体"/>
          <w:b/>
          <w:bCs/>
          <w:sz w:val="30"/>
          <w:szCs w:val="30"/>
        </w:rPr>
      </w:pPr>
      <w:r>
        <w:rPr>
          <w:rFonts w:hint="eastAsia" w:ascii="宋体" w:hAnsi="宋体" w:cs="宋体"/>
          <w:szCs w:val="21"/>
        </w:rPr>
        <w:br w:type="page"/>
      </w:r>
      <w:r>
        <w:rPr>
          <w:rFonts w:hint="eastAsia" w:ascii="仿宋_GB2312" w:hAnsi="宋体" w:eastAsia="仿宋_GB2312" w:cs="宋体"/>
          <w:b/>
          <w:bCs/>
          <w:sz w:val="30"/>
          <w:szCs w:val="30"/>
        </w:rPr>
        <w:t>专业分包现场安全生产违约责任承担细则</w:t>
      </w:r>
    </w:p>
    <w:tbl>
      <w:tblPr>
        <w:tblStyle w:val="4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245"/>
        <w:gridCol w:w="1559"/>
        <w:gridCol w:w="788"/>
      </w:tblGrid>
      <w:tr w14:paraId="3EA9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FC2C813">
            <w:pPr>
              <w:ind w:right="28"/>
              <w:jc w:val="center"/>
              <w:rPr>
                <w:rFonts w:ascii="仿宋_GB2312" w:hAnsi="宋体" w:eastAsia="仿宋_GB2312" w:cs="宋体"/>
                <w:b/>
                <w:bCs/>
                <w:szCs w:val="24"/>
              </w:rPr>
            </w:pPr>
            <w:r>
              <w:rPr>
                <w:rFonts w:hint="eastAsia" w:ascii="仿宋_GB2312" w:hAnsi="宋体" w:eastAsia="仿宋_GB2312" w:cs="宋体"/>
                <w:b/>
                <w:bCs/>
                <w:szCs w:val="24"/>
              </w:rPr>
              <w:t>序号</w:t>
            </w:r>
          </w:p>
        </w:tc>
        <w:tc>
          <w:tcPr>
            <w:tcW w:w="5245" w:type="dxa"/>
            <w:vAlign w:val="center"/>
          </w:tcPr>
          <w:p w14:paraId="565F3D92">
            <w:pPr>
              <w:ind w:right="28"/>
              <w:jc w:val="center"/>
              <w:rPr>
                <w:rFonts w:ascii="仿宋_GB2312" w:hAnsi="宋体" w:eastAsia="仿宋_GB2312" w:cs="宋体"/>
                <w:b/>
                <w:bCs/>
                <w:szCs w:val="24"/>
              </w:rPr>
            </w:pPr>
            <w:r>
              <w:rPr>
                <w:rFonts w:hint="eastAsia" w:ascii="仿宋_GB2312" w:hAnsi="宋体" w:eastAsia="仿宋_GB2312" w:cs="宋体"/>
                <w:b/>
                <w:bCs/>
                <w:szCs w:val="24"/>
              </w:rPr>
              <w:t>违约情形</w:t>
            </w:r>
          </w:p>
        </w:tc>
        <w:tc>
          <w:tcPr>
            <w:tcW w:w="1559" w:type="dxa"/>
            <w:vAlign w:val="center"/>
          </w:tcPr>
          <w:p w14:paraId="2BD7F324">
            <w:pPr>
              <w:ind w:right="28"/>
              <w:jc w:val="center"/>
              <w:rPr>
                <w:rFonts w:ascii="仿宋_GB2312" w:hAnsi="宋体" w:eastAsia="仿宋_GB2312" w:cs="宋体"/>
                <w:b/>
                <w:bCs/>
                <w:szCs w:val="24"/>
              </w:rPr>
            </w:pPr>
            <w:r>
              <w:rPr>
                <w:rFonts w:hint="eastAsia" w:ascii="仿宋_GB2312" w:hAnsi="宋体" w:eastAsia="仿宋_GB2312" w:cs="宋体"/>
                <w:b/>
                <w:bCs/>
                <w:szCs w:val="24"/>
              </w:rPr>
              <w:t>违约金</w:t>
            </w:r>
          </w:p>
        </w:tc>
        <w:tc>
          <w:tcPr>
            <w:tcW w:w="788" w:type="dxa"/>
            <w:vAlign w:val="center"/>
          </w:tcPr>
          <w:p w14:paraId="4BD9B251">
            <w:pPr>
              <w:ind w:right="28"/>
              <w:jc w:val="center"/>
              <w:rPr>
                <w:rFonts w:ascii="仿宋_GB2312" w:hAnsi="宋体" w:eastAsia="仿宋_GB2312" w:cs="宋体"/>
                <w:b/>
                <w:bCs/>
                <w:szCs w:val="24"/>
              </w:rPr>
            </w:pPr>
            <w:r>
              <w:rPr>
                <w:rFonts w:hint="eastAsia" w:ascii="仿宋_GB2312" w:hAnsi="宋体" w:eastAsia="仿宋_GB2312" w:cs="宋体"/>
                <w:b/>
                <w:bCs/>
                <w:szCs w:val="24"/>
              </w:rPr>
              <w:t>备注</w:t>
            </w:r>
          </w:p>
        </w:tc>
      </w:tr>
      <w:tr w14:paraId="7676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3B2CE41">
            <w:pPr>
              <w:ind w:right="28"/>
              <w:jc w:val="center"/>
              <w:rPr>
                <w:rFonts w:ascii="仿宋_GB2312" w:hAnsi="宋体" w:eastAsia="仿宋_GB2312" w:cs="宋体"/>
                <w:szCs w:val="24"/>
              </w:rPr>
            </w:pPr>
            <w:r>
              <w:rPr>
                <w:rFonts w:hint="eastAsia" w:ascii="仿宋_GB2312" w:hAnsi="宋体" w:eastAsia="仿宋_GB2312" w:cs="宋体"/>
                <w:szCs w:val="24"/>
              </w:rPr>
              <w:t>1</w:t>
            </w:r>
          </w:p>
        </w:tc>
        <w:tc>
          <w:tcPr>
            <w:tcW w:w="5245" w:type="dxa"/>
          </w:tcPr>
          <w:p w14:paraId="7E65A299">
            <w:pPr>
              <w:ind w:right="28"/>
              <w:jc w:val="center"/>
              <w:rPr>
                <w:rFonts w:ascii="仿宋_GB2312" w:hAnsi="宋体" w:eastAsia="仿宋_GB2312" w:cs="宋体"/>
                <w:szCs w:val="24"/>
              </w:rPr>
            </w:pPr>
            <w:r>
              <w:rPr>
                <w:rFonts w:hint="eastAsia" w:ascii="仿宋_GB2312" w:hAnsi="宋体" w:eastAsia="仿宋_GB2312" w:cs="宋体"/>
                <w:szCs w:val="24"/>
              </w:rPr>
              <w:t>未按照规定配齐专职安全生产管理人员</w:t>
            </w:r>
          </w:p>
        </w:tc>
        <w:tc>
          <w:tcPr>
            <w:tcW w:w="1559" w:type="dxa"/>
            <w:vAlign w:val="center"/>
          </w:tcPr>
          <w:p w14:paraId="19735A0D">
            <w:pPr>
              <w:ind w:right="28"/>
              <w:jc w:val="center"/>
              <w:rPr>
                <w:rFonts w:ascii="仿宋_GB2312" w:hAnsi="宋体" w:eastAsia="仿宋_GB2312" w:cs="宋体"/>
                <w:szCs w:val="24"/>
              </w:rPr>
            </w:pPr>
            <w:r>
              <w:rPr>
                <w:rFonts w:hint="eastAsia" w:ascii="仿宋_GB2312" w:hAnsi="宋体" w:eastAsia="仿宋_GB2312" w:cs="宋体"/>
                <w:szCs w:val="24"/>
              </w:rPr>
              <w:t>1000元/天/人</w:t>
            </w:r>
          </w:p>
        </w:tc>
        <w:tc>
          <w:tcPr>
            <w:tcW w:w="788" w:type="dxa"/>
          </w:tcPr>
          <w:p w14:paraId="6818020D">
            <w:pPr>
              <w:ind w:right="28"/>
              <w:jc w:val="center"/>
              <w:rPr>
                <w:rFonts w:ascii="仿宋_GB2312" w:hAnsi="宋体" w:eastAsia="仿宋_GB2312" w:cs="宋体"/>
                <w:szCs w:val="24"/>
              </w:rPr>
            </w:pPr>
          </w:p>
        </w:tc>
      </w:tr>
      <w:tr w14:paraId="7313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C9492EF">
            <w:pPr>
              <w:ind w:right="28"/>
              <w:jc w:val="center"/>
              <w:rPr>
                <w:rFonts w:ascii="仿宋_GB2312" w:hAnsi="宋体" w:eastAsia="仿宋_GB2312" w:cs="宋体"/>
                <w:szCs w:val="24"/>
              </w:rPr>
            </w:pPr>
            <w:r>
              <w:rPr>
                <w:rFonts w:hint="eastAsia" w:ascii="仿宋_GB2312" w:hAnsi="宋体" w:eastAsia="仿宋_GB2312" w:cs="宋体"/>
                <w:szCs w:val="24"/>
              </w:rPr>
              <w:t>2</w:t>
            </w:r>
          </w:p>
        </w:tc>
        <w:tc>
          <w:tcPr>
            <w:tcW w:w="5245" w:type="dxa"/>
          </w:tcPr>
          <w:p w14:paraId="1A600AEB">
            <w:pPr>
              <w:ind w:right="28"/>
              <w:jc w:val="center"/>
              <w:rPr>
                <w:rFonts w:ascii="仿宋_GB2312" w:hAnsi="宋体" w:eastAsia="仿宋_GB2312" w:cs="宋体"/>
                <w:szCs w:val="24"/>
              </w:rPr>
            </w:pPr>
            <w:r>
              <w:rPr>
                <w:rFonts w:hint="eastAsia" w:ascii="仿宋_GB2312" w:hAnsi="宋体" w:eastAsia="仿宋_GB2312" w:cs="宋体"/>
                <w:szCs w:val="24"/>
              </w:rPr>
              <w:t>专职安全生产管理人员兼职其他工作</w:t>
            </w:r>
          </w:p>
        </w:tc>
        <w:tc>
          <w:tcPr>
            <w:tcW w:w="1559" w:type="dxa"/>
            <w:vAlign w:val="center"/>
          </w:tcPr>
          <w:p w14:paraId="6218CE80">
            <w:pPr>
              <w:ind w:right="28"/>
              <w:jc w:val="center"/>
              <w:rPr>
                <w:rFonts w:ascii="仿宋_GB2312" w:hAnsi="宋体" w:eastAsia="仿宋_GB2312" w:cs="宋体"/>
                <w:szCs w:val="24"/>
              </w:rPr>
            </w:pPr>
            <w:r>
              <w:rPr>
                <w:rFonts w:hint="eastAsia" w:ascii="仿宋_GB2312" w:hAnsi="宋体" w:eastAsia="仿宋_GB2312" w:cs="宋体"/>
                <w:szCs w:val="24"/>
              </w:rPr>
              <w:t>2000元/次</w:t>
            </w:r>
          </w:p>
        </w:tc>
        <w:tc>
          <w:tcPr>
            <w:tcW w:w="788" w:type="dxa"/>
          </w:tcPr>
          <w:p w14:paraId="1D84928B">
            <w:pPr>
              <w:ind w:right="28"/>
              <w:jc w:val="center"/>
              <w:rPr>
                <w:rFonts w:ascii="仿宋_GB2312" w:hAnsi="宋体" w:eastAsia="仿宋_GB2312" w:cs="宋体"/>
                <w:szCs w:val="24"/>
              </w:rPr>
            </w:pPr>
          </w:p>
        </w:tc>
      </w:tr>
      <w:tr w14:paraId="7FEF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594A98E">
            <w:pPr>
              <w:ind w:right="28"/>
              <w:jc w:val="center"/>
              <w:rPr>
                <w:rFonts w:ascii="仿宋_GB2312" w:hAnsi="宋体" w:eastAsia="仿宋_GB2312" w:cs="宋体"/>
                <w:szCs w:val="24"/>
              </w:rPr>
            </w:pPr>
            <w:r>
              <w:rPr>
                <w:rFonts w:hint="eastAsia" w:ascii="仿宋_GB2312" w:hAnsi="宋体" w:eastAsia="仿宋_GB2312" w:cs="宋体"/>
                <w:szCs w:val="24"/>
              </w:rPr>
              <w:t>3</w:t>
            </w:r>
          </w:p>
        </w:tc>
        <w:tc>
          <w:tcPr>
            <w:tcW w:w="5245" w:type="dxa"/>
          </w:tcPr>
          <w:p w14:paraId="1C9E91CC">
            <w:pPr>
              <w:ind w:right="28"/>
              <w:jc w:val="center"/>
              <w:rPr>
                <w:rFonts w:ascii="仿宋_GB2312" w:hAnsi="宋体" w:eastAsia="仿宋_GB2312" w:cs="宋体"/>
                <w:szCs w:val="24"/>
              </w:rPr>
            </w:pPr>
            <w:r>
              <w:rPr>
                <w:rFonts w:hint="eastAsia" w:ascii="仿宋_GB2312" w:hAnsi="宋体" w:eastAsia="仿宋_GB2312" w:cs="宋体"/>
                <w:szCs w:val="24"/>
              </w:rPr>
              <w:t>安全管理人员未持有效执业资格证</w:t>
            </w:r>
          </w:p>
        </w:tc>
        <w:tc>
          <w:tcPr>
            <w:tcW w:w="1559" w:type="dxa"/>
            <w:vAlign w:val="center"/>
          </w:tcPr>
          <w:p w14:paraId="56205ED9">
            <w:pPr>
              <w:ind w:right="28"/>
              <w:jc w:val="center"/>
              <w:rPr>
                <w:rFonts w:ascii="仿宋_GB2312" w:hAnsi="宋体" w:eastAsia="仿宋_GB2312" w:cs="宋体"/>
                <w:szCs w:val="24"/>
              </w:rPr>
            </w:pPr>
            <w:r>
              <w:rPr>
                <w:rFonts w:hint="eastAsia" w:ascii="仿宋_GB2312" w:hAnsi="宋体" w:eastAsia="仿宋_GB2312" w:cs="宋体"/>
                <w:szCs w:val="24"/>
              </w:rPr>
              <w:t>1000元</w:t>
            </w:r>
          </w:p>
        </w:tc>
        <w:tc>
          <w:tcPr>
            <w:tcW w:w="788" w:type="dxa"/>
          </w:tcPr>
          <w:p w14:paraId="585009CC">
            <w:pPr>
              <w:ind w:right="28"/>
              <w:jc w:val="center"/>
              <w:rPr>
                <w:rFonts w:ascii="仿宋_GB2312" w:hAnsi="宋体" w:eastAsia="仿宋_GB2312" w:cs="宋体"/>
                <w:szCs w:val="24"/>
              </w:rPr>
            </w:pPr>
          </w:p>
        </w:tc>
      </w:tr>
      <w:tr w14:paraId="6CFD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E781564">
            <w:pPr>
              <w:ind w:right="28"/>
              <w:jc w:val="center"/>
              <w:rPr>
                <w:rFonts w:ascii="仿宋_GB2312" w:hAnsi="宋体" w:eastAsia="仿宋_GB2312" w:cs="宋体"/>
                <w:szCs w:val="24"/>
              </w:rPr>
            </w:pPr>
            <w:r>
              <w:rPr>
                <w:rFonts w:hint="eastAsia" w:ascii="仿宋_GB2312" w:hAnsi="宋体" w:eastAsia="仿宋_GB2312" w:cs="宋体"/>
                <w:szCs w:val="24"/>
              </w:rPr>
              <w:t>4</w:t>
            </w:r>
          </w:p>
        </w:tc>
        <w:tc>
          <w:tcPr>
            <w:tcW w:w="5245" w:type="dxa"/>
          </w:tcPr>
          <w:p w14:paraId="4A7A35C7">
            <w:pPr>
              <w:ind w:right="28"/>
              <w:jc w:val="center"/>
              <w:rPr>
                <w:rFonts w:ascii="仿宋_GB2312" w:hAnsi="宋体" w:eastAsia="仿宋_GB2312" w:cs="宋体"/>
                <w:szCs w:val="24"/>
              </w:rPr>
            </w:pPr>
            <w:r>
              <w:rPr>
                <w:rFonts w:hint="eastAsia" w:ascii="仿宋_GB2312" w:hAnsi="宋体" w:eastAsia="仿宋_GB2312" w:cs="宋体"/>
                <w:szCs w:val="24"/>
              </w:rPr>
              <w:t>未完成合同约定工程量，专职安全员提前退场</w:t>
            </w:r>
          </w:p>
        </w:tc>
        <w:tc>
          <w:tcPr>
            <w:tcW w:w="1559" w:type="dxa"/>
            <w:vAlign w:val="center"/>
          </w:tcPr>
          <w:p w14:paraId="0D2669C1">
            <w:pPr>
              <w:ind w:right="28"/>
              <w:jc w:val="center"/>
              <w:rPr>
                <w:rFonts w:ascii="仿宋_GB2312" w:hAnsi="宋体" w:eastAsia="仿宋_GB2312" w:cs="宋体"/>
                <w:szCs w:val="24"/>
              </w:rPr>
            </w:pPr>
            <w:r>
              <w:rPr>
                <w:rFonts w:hint="eastAsia" w:ascii="仿宋_GB2312" w:hAnsi="宋体" w:eastAsia="仿宋_GB2312" w:cs="宋体"/>
                <w:szCs w:val="24"/>
              </w:rPr>
              <w:t>1000元/天/人</w:t>
            </w:r>
          </w:p>
        </w:tc>
        <w:tc>
          <w:tcPr>
            <w:tcW w:w="788" w:type="dxa"/>
          </w:tcPr>
          <w:p w14:paraId="58B8C83A">
            <w:pPr>
              <w:ind w:right="28"/>
              <w:jc w:val="center"/>
              <w:rPr>
                <w:rFonts w:ascii="仿宋_GB2312" w:hAnsi="宋体" w:eastAsia="仿宋_GB2312" w:cs="宋体"/>
                <w:szCs w:val="24"/>
              </w:rPr>
            </w:pPr>
          </w:p>
        </w:tc>
      </w:tr>
      <w:tr w14:paraId="069E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84B8CCB">
            <w:pPr>
              <w:ind w:right="28"/>
              <w:jc w:val="center"/>
              <w:rPr>
                <w:rFonts w:ascii="仿宋_GB2312" w:hAnsi="宋体" w:eastAsia="仿宋_GB2312" w:cs="宋体"/>
                <w:szCs w:val="24"/>
              </w:rPr>
            </w:pPr>
            <w:r>
              <w:rPr>
                <w:rFonts w:hint="eastAsia" w:ascii="仿宋_GB2312" w:hAnsi="宋体" w:eastAsia="仿宋_GB2312" w:cs="宋体"/>
                <w:szCs w:val="24"/>
              </w:rPr>
              <w:t>5</w:t>
            </w:r>
          </w:p>
        </w:tc>
        <w:tc>
          <w:tcPr>
            <w:tcW w:w="5245" w:type="dxa"/>
          </w:tcPr>
          <w:p w14:paraId="0222B3B2">
            <w:pPr>
              <w:ind w:right="28"/>
              <w:jc w:val="center"/>
              <w:rPr>
                <w:rFonts w:ascii="仿宋_GB2312" w:hAnsi="宋体" w:eastAsia="仿宋_GB2312" w:cs="宋体"/>
                <w:szCs w:val="24"/>
              </w:rPr>
            </w:pPr>
            <w:r>
              <w:rPr>
                <w:rFonts w:hint="eastAsia" w:ascii="仿宋_GB2312" w:hAnsi="宋体" w:eastAsia="仿宋_GB2312" w:cs="宋体"/>
                <w:szCs w:val="24"/>
              </w:rPr>
              <w:t>专职安全生产管理人员未与甲方合并办公</w:t>
            </w:r>
          </w:p>
        </w:tc>
        <w:tc>
          <w:tcPr>
            <w:tcW w:w="1559" w:type="dxa"/>
            <w:vAlign w:val="center"/>
          </w:tcPr>
          <w:p w14:paraId="2C1B541B">
            <w:pPr>
              <w:ind w:right="28"/>
              <w:jc w:val="center"/>
              <w:rPr>
                <w:rFonts w:ascii="仿宋_GB2312" w:hAnsi="宋体" w:eastAsia="仿宋_GB2312" w:cs="宋体"/>
                <w:szCs w:val="24"/>
              </w:rPr>
            </w:pPr>
            <w:r>
              <w:rPr>
                <w:rFonts w:hint="eastAsia" w:ascii="仿宋_GB2312" w:hAnsi="宋体" w:eastAsia="仿宋_GB2312" w:cs="宋体"/>
                <w:szCs w:val="24"/>
              </w:rPr>
              <w:t>2000元/次</w:t>
            </w:r>
          </w:p>
        </w:tc>
        <w:tc>
          <w:tcPr>
            <w:tcW w:w="788" w:type="dxa"/>
          </w:tcPr>
          <w:p w14:paraId="6225FD6B">
            <w:pPr>
              <w:ind w:right="28"/>
              <w:jc w:val="center"/>
              <w:rPr>
                <w:rFonts w:ascii="仿宋_GB2312" w:hAnsi="宋体" w:eastAsia="仿宋_GB2312" w:cs="宋体"/>
                <w:szCs w:val="24"/>
              </w:rPr>
            </w:pPr>
          </w:p>
        </w:tc>
      </w:tr>
      <w:tr w14:paraId="547D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8BA2A5F">
            <w:pPr>
              <w:ind w:right="28"/>
              <w:jc w:val="center"/>
              <w:rPr>
                <w:rFonts w:ascii="仿宋_GB2312" w:hAnsi="宋体" w:eastAsia="仿宋_GB2312" w:cs="宋体"/>
                <w:szCs w:val="24"/>
              </w:rPr>
            </w:pPr>
            <w:r>
              <w:rPr>
                <w:rFonts w:hint="eastAsia" w:ascii="仿宋_GB2312" w:hAnsi="宋体" w:eastAsia="仿宋_GB2312" w:cs="宋体"/>
                <w:szCs w:val="24"/>
              </w:rPr>
              <w:t>6</w:t>
            </w:r>
          </w:p>
        </w:tc>
        <w:tc>
          <w:tcPr>
            <w:tcW w:w="5245" w:type="dxa"/>
          </w:tcPr>
          <w:p w14:paraId="68D5853E">
            <w:pPr>
              <w:ind w:right="28"/>
              <w:jc w:val="center"/>
              <w:rPr>
                <w:rFonts w:ascii="仿宋_GB2312" w:hAnsi="宋体" w:eastAsia="仿宋_GB2312" w:cs="宋体"/>
                <w:szCs w:val="24"/>
              </w:rPr>
            </w:pPr>
            <w:r>
              <w:rPr>
                <w:rFonts w:hint="eastAsia" w:ascii="仿宋_GB2312" w:hAnsi="宋体" w:eastAsia="仿宋_GB2312" w:cs="宋体"/>
                <w:szCs w:val="24"/>
              </w:rPr>
              <w:t>专职安全生产管理人员未按照甲方要求开展工作</w:t>
            </w:r>
          </w:p>
        </w:tc>
        <w:tc>
          <w:tcPr>
            <w:tcW w:w="1559" w:type="dxa"/>
            <w:vAlign w:val="center"/>
          </w:tcPr>
          <w:p w14:paraId="00F2D95A">
            <w:pPr>
              <w:ind w:right="28"/>
              <w:jc w:val="center"/>
              <w:rPr>
                <w:rFonts w:ascii="仿宋_GB2312" w:hAnsi="宋体" w:eastAsia="仿宋_GB2312" w:cs="宋体"/>
                <w:szCs w:val="24"/>
              </w:rPr>
            </w:pPr>
            <w:r>
              <w:rPr>
                <w:rFonts w:hint="eastAsia" w:ascii="仿宋_GB2312" w:hAnsi="宋体" w:eastAsia="仿宋_GB2312" w:cs="宋体"/>
                <w:szCs w:val="24"/>
              </w:rPr>
              <w:t>2000元/次</w:t>
            </w:r>
          </w:p>
        </w:tc>
        <w:tc>
          <w:tcPr>
            <w:tcW w:w="788" w:type="dxa"/>
          </w:tcPr>
          <w:p w14:paraId="4B28531A">
            <w:pPr>
              <w:ind w:right="28"/>
              <w:jc w:val="center"/>
              <w:rPr>
                <w:rFonts w:ascii="仿宋_GB2312" w:hAnsi="宋体" w:eastAsia="仿宋_GB2312" w:cs="宋体"/>
                <w:szCs w:val="24"/>
              </w:rPr>
            </w:pPr>
          </w:p>
        </w:tc>
      </w:tr>
      <w:tr w14:paraId="3EB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FC8AFE8">
            <w:pPr>
              <w:ind w:right="28"/>
              <w:jc w:val="center"/>
              <w:rPr>
                <w:rFonts w:ascii="仿宋_GB2312" w:hAnsi="宋体" w:eastAsia="仿宋_GB2312" w:cs="宋体"/>
                <w:szCs w:val="24"/>
              </w:rPr>
            </w:pPr>
            <w:r>
              <w:rPr>
                <w:rFonts w:hint="eastAsia" w:ascii="仿宋_GB2312" w:hAnsi="宋体" w:eastAsia="仿宋_GB2312" w:cs="宋体"/>
                <w:szCs w:val="24"/>
              </w:rPr>
              <w:t>7</w:t>
            </w:r>
          </w:p>
        </w:tc>
        <w:tc>
          <w:tcPr>
            <w:tcW w:w="5245" w:type="dxa"/>
          </w:tcPr>
          <w:p w14:paraId="746D66FB">
            <w:pPr>
              <w:ind w:right="28"/>
              <w:jc w:val="center"/>
              <w:rPr>
                <w:rFonts w:ascii="仿宋_GB2312" w:hAnsi="宋体" w:eastAsia="仿宋_GB2312" w:cs="宋体"/>
                <w:szCs w:val="24"/>
              </w:rPr>
            </w:pPr>
            <w:r>
              <w:rPr>
                <w:rFonts w:hint="eastAsia" w:ascii="仿宋_GB2312" w:hAnsi="宋体" w:eastAsia="仿宋_GB2312" w:cs="宋体"/>
                <w:szCs w:val="24"/>
              </w:rPr>
              <w:t>未安排专职安全生产管理人员在现场巡查</w:t>
            </w:r>
          </w:p>
        </w:tc>
        <w:tc>
          <w:tcPr>
            <w:tcW w:w="1559" w:type="dxa"/>
            <w:vAlign w:val="center"/>
          </w:tcPr>
          <w:p w14:paraId="58FF0E83">
            <w:pPr>
              <w:ind w:right="28"/>
              <w:jc w:val="center"/>
              <w:rPr>
                <w:rFonts w:ascii="仿宋_GB2312" w:hAnsi="宋体" w:eastAsia="仿宋_GB2312" w:cs="宋体"/>
                <w:szCs w:val="24"/>
              </w:rPr>
            </w:pPr>
            <w:r>
              <w:rPr>
                <w:rFonts w:hint="eastAsia" w:ascii="仿宋_GB2312" w:hAnsi="宋体" w:eastAsia="仿宋_GB2312" w:cs="宋体"/>
                <w:szCs w:val="24"/>
              </w:rPr>
              <w:t>1000元/次</w:t>
            </w:r>
          </w:p>
        </w:tc>
        <w:tc>
          <w:tcPr>
            <w:tcW w:w="788" w:type="dxa"/>
          </w:tcPr>
          <w:p w14:paraId="47E294D3">
            <w:pPr>
              <w:ind w:right="28"/>
              <w:jc w:val="center"/>
              <w:rPr>
                <w:rFonts w:ascii="仿宋_GB2312" w:hAnsi="宋体" w:eastAsia="仿宋_GB2312" w:cs="宋体"/>
                <w:szCs w:val="24"/>
              </w:rPr>
            </w:pPr>
          </w:p>
        </w:tc>
      </w:tr>
      <w:tr w14:paraId="48A6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1F5D16D">
            <w:pPr>
              <w:ind w:right="28"/>
              <w:jc w:val="center"/>
              <w:rPr>
                <w:rFonts w:ascii="仿宋_GB2312" w:hAnsi="宋体" w:eastAsia="仿宋_GB2312" w:cs="宋体"/>
                <w:szCs w:val="24"/>
              </w:rPr>
            </w:pPr>
            <w:r>
              <w:rPr>
                <w:rFonts w:hint="eastAsia" w:ascii="仿宋_GB2312" w:hAnsi="宋体" w:eastAsia="仿宋_GB2312" w:cs="宋体"/>
                <w:szCs w:val="24"/>
              </w:rPr>
              <w:t>8</w:t>
            </w:r>
          </w:p>
        </w:tc>
        <w:tc>
          <w:tcPr>
            <w:tcW w:w="5245" w:type="dxa"/>
          </w:tcPr>
          <w:p w14:paraId="2B8EF742">
            <w:pPr>
              <w:ind w:right="28"/>
              <w:jc w:val="center"/>
              <w:rPr>
                <w:rFonts w:ascii="仿宋_GB2312" w:hAnsi="宋体" w:eastAsia="仿宋_GB2312" w:cs="宋体"/>
                <w:szCs w:val="24"/>
              </w:rPr>
            </w:pPr>
            <w:r>
              <w:rPr>
                <w:rFonts w:hint="eastAsia" w:ascii="仿宋_GB2312" w:hAnsi="宋体" w:eastAsia="仿宋_GB2312" w:cs="宋体"/>
                <w:szCs w:val="24"/>
              </w:rPr>
              <w:t>未向甲方提供进场人员名单、身份证复印件</w:t>
            </w:r>
          </w:p>
        </w:tc>
        <w:tc>
          <w:tcPr>
            <w:tcW w:w="1559" w:type="dxa"/>
            <w:vAlign w:val="center"/>
          </w:tcPr>
          <w:p w14:paraId="34081327">
            <w:pPr>
              <w:ind w:right="28"/>
              <w:jc w:val="center"/>
              <w:rPr>
                <w:rFonts w:ascii="仿宋_GB2312" w:hAnsi="宋体" w:eastAsia="仿宋_GB2312" w:cs="宋体"/>
                <w:szCs w:val="24"/>
              </w:rPr>
            </w:pPr>
            <w:r>
              <w:rPr>
                <w:rFonts w:hint="eastAsia" w:ascii="仿宋_GB2312" w:hAnsi="宋体" w:eastAsia="仿宋_GB2312" w:cs="宋体"/>
                <w:szCs w:val="24"/>
              </w:rPr>
              <w:t>200元/人</w:t>
            </w:r>
          </w:p>
        </w:tc>
        <w:tc>
          <w:tcPr>
            <w:tcW w:w="788" w:type="dxa"/>
          </w:tcPr>
          <w:p w14:paraId="55FF2F3F">
            <w:pPr>
              <w:ind w:right="28"/>
              <w:jc w:val="center"/>
              <w:rPr>
                <w:rFonts w:ascii="仿宋_GB2312" w:hAnsi="宋体" w:eastAsia="仿宋_GB2312" w:cs="宋体"/>
                <w:szCs w:val="24"/>
              </w:rPr>
            </w:pPr>
          </w:p>
        </w:tc>
      </w:tr>
      <w:tr w14:paraId="5B5A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3766AD">
            <w:pPr>
              <w:ind w:right="28"/>
              <w:jc w:val="center"/>
              <w:rPr>
                <w:rFonts w:ascii="仿宋_GB2312" w:hAnsi="宋体" w:eastAsia="仿宋_GB2312" w:cs="宋体"/>
                <w:szCs w:val="24"/>
              </w:rPr>
            </w:pPr>
            <w:r>
              <w:rPr>
                <w:rFonts w:hint="eastAsia" w:ascii="仿宋_GB2312" w:hAnsi="宋体" w:eastAsia="仿宋_GB2312" w:cs="宋体"/>
                <w:szCs w:val="24"/>
              </w:rPr>
              <w:t>9</w:t>
            </w:r>
          </w:p>
        </w:tc>
        <w:tc>
          <w:tcPr>
            <w:tcW w:w="5245" w:type="dxa"/>
          </w:tcPr>
          <w:p w14:paraId="79C94D84">
            <w:pPr>
              <w:ind w:right="28"/>
              <w:jc w:val="center"/>
              <w:rPr>
                <w:rFonts w:ascii="仿宋_GB2312" w:hAnsi="宋体" w:eastAsia="仿宋_GB2312" w:cs="宋体"/>
                <w:szCs w:val="24"/>
              </w:rPr>
            </w:pPr>
            <w:r>
              <w:rPr>
                <w:rFonts w:hint="eastAsia" w:ascii="仿宋_GB2312" w:hAnsi="宋体" w:eastAsia="仿宋_GB2312" w:cs="宋体"/>
                <w:szCs w:val="24"/>
              </w:rPr>
              <w:t>未提供进场工人进行三级安全教育资料</w:t>
            </w:r>
          </w:p>
        </w:tc>
        <w:tc>
          <w:tcPr>
            <w:tcW w:w="1559" w:type="dxa"/>
            <w:vAlign w:val="center"/>
          </w:tcPr>
          <w:p w14:paraId="14884070">
            <w:pPr>
              <w:ind w:right="28"/>
              <w:jc w:val="center"/>
              <w:rPr>
                <w:rFonts w:ascii="仿宋_GB2312" w:hAnsi="宋体" w:eastAsia="仿宋_GB2312" w:cs="宋体"/>
                <w:szCs w:val="24"/>
              </w:rPr>
            </w:pPr>
            <w:r>
              <w:rPr>
                <w:rFonts w:hint="eastAsia" w:ascii="仿宋_GB2312" w:hAnsi="宋体" w:eastAsia="仿宋_GB2312" w:cs="宋体"/>
                <w:szCs w:val="24"/>
              </w:rPr>
              <w:t>200元/人</w:t>
            </w:r>
          </w:p>
        </w:tc>
        <w:tc>
          <w:tcPr>
            <w:tcW w:w="788" w:type="dxa"/>
          </w:tcPr>
          <w:p w14:paraId="5CF5E0D1">
            <w:pPr>
              <w:ind w:right="28"/>
              <w:jc w:val="center"/>
              <w:rPr>
                <w:rFonts w:ascii="仿宋_GB2312" w:hAnsi="宋体" w:eastAsia="仿宋_GB2312" w:cs="宋体"/>
                <w:szCs w:val="24"/>
              </w:rPr>
            </w:pPr>
          </w:p>
        </w:tc>
      </w:tr>
      <w:tr w14:paraId="53C3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588F6BD">
            <w:pPr>
              <w:ind w:right="28"/>
              <w:jc w:val="center"/>
              <w:rPr>
                <w:rFonts w:ascii="仿宋_GB2312" w:hAnsi="宋体" w:eastAsia="仿宋_GB2312" w:cs="宋体"/>
                <w:szCs w:val="24"/>
              </w:rPr>
            </w:pPr>
            <w:r>
              <w:rPr>
                <w:rFonts w:hint="eastAsia" w:ascii="仿宋_GB2312" w:hAnsi="宋体" w:eastAsia="仿宋_GB2312" w:cs="宋体"/>
                <w:szCs w:val="24"/>
              </w:rPr>
              <w:t>10</w:t>
            </w:r>
          </w:p>
        </w:tc>
        <w:tc>
          <w:tcPr>
            <w:tcW w:w="5245" w:type="dxa"/>
          </w:tcPr>
          <w:p w14:paraId="1838B825">
            <w:pPr>
              <w:ind w:right="28"/>
              <w:jc w:val="center"/>
              <w:rPr>
                <w:rFonts w:ascii="仿宋_GB2312" w:hAnsi="宋体" w:eastAsia="仿宋_GB2312" w:cs="宋体"/>
                <w:szCs w:val="24"/>
              </w:rPr>
            </w:pPr>
            <w:r>
              <w:rPr>
                <w:rFonts w:hint="eastAsia" w:ascii="仿宋_GB2312" w:hAnsi="宋体" w:eastAsia="仿宋_GB2312" w:cs="宋体"/>
                <w:szCs w:val="24"/>
              </w:rPr>
              <w:t>安排超过60周岁的工人进入现场作业</w:t>
            </w:r>
          </w:p>
        </w:tc>
        <w:tc>
          <w:tcPr>
            <w:tcW w:w="1559" w:type="dxa"/>
            <w:vAlign w:val="center"/>
          </w:tcPr>
          <w:p w14:paraId="03E1B4B8">
            <w:pPr>
              <w:ind w:right="28"/>
              <w:jc w:val="center"/>
              <w:rPr>
                <w:rFonts w:ascii="仿宋_GB2312" w:hAnsi="宋体" w:eastAsia="仿宋_GB2312" w:cs="宋体"/>
                <w:szCs w:val="24"/>
              </w:rPr>
            </w:pPr>
            <w:r>
              <w:rPr>
                <w:rFonts w:hint="eastAsia" w:ascii="仿宋_GB2312" w:hAnsi="宋体" w:eastAsia="仿宋_GB2312" w:cs="宋体"/>
                <w:szCs w:val="24"/>
              </w:rPr>
              <w:t>500元/人</w:t>
            </w:r>
          </w:p>
        </w:tc>
        <w:tc>
          <w:tcPr>
            <w:tcW w:w="788" w:type="dxa"/>
          </w:tcPr>
          <w:p w14:paraId="4797AC77">
            <w:pPr>
              <w:ind w:right="28"/>
              <w:jc w:val="center"/>
              <w:rPr>
                <w:rFonts w:ascii="仿宋_GB2312" w:hAnsi="宋体" w:eastAsia="仿宋_GB2312" w:cs="宋体"/>
                <w:szCs w:val="24"/>
              </w:rPr>
            </w:pPr>
          </w:p>
        </w:tc>
      </w:tr>
      <w:tr w14:paraId="4CBC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49F03E">
            <w:pPr>
              <w:ind w:right="28"/>
              <w:jc w:val="center"/>
              <w:rPr>
                <w:rFonts w:ascii="仿宋_GB2312" w:hAnsi="宋体" w:eastAsia="仿宋_GB2312" w:cs="宋体"/>
                <w:szCs w:val="24"/>
              </w:rPr>
            </w:pPr>
            <w:r>
              <w:rPr>
                <w:rFonts w:hint="eastAsia" w:ascii="仿宋_GB2312" w:hAnsi="宋体" w:eastAsia="仿宋_GB2312" w:cs="宋体"/>
                <w:szCs w:val="24"/>
              </w:rPr>
              <w:t>11</w:t>
            </w:r>
          </w:p>
        </w:tc>
        <w:tc>
          <w:tcPr>
            <w:tcW w:w="5245" w:type="dxa"/>
          </w:tcPr>
          <w:p w14:paraId="18E2A148">
            <w:pPr>
              <w:ind w:right="28"/>
              <w:jc w:val="center"/>
              <w:rPr>
                <w:rFonts w:ascii="仿宋_GB2312" w:hAnsi="宋体" w:eastAsia="仿宋_GB2312" w:cs="宋体"/>
                <w:szCs w:val="24"/>
              </w:rPr>
            </w:pPr>
            <w:r>
              <w:rPr>
                <w:rFonts w:hint="eastAsia" w:ascii="仿宋_GB2312" w:hAnsi="宋体" w:eastAsia="仿宋_GB2312" w:cs="宋体"/>
                <w:szCs w:val="24"/>
              </w:rPr>
              <w:t>特种作业人员未持有效证件</w:t>
            </w:r>
          </w:p>
        </w:tc>
        <w:tc>
          <w:tcPr>
            <w:tcW w:w="1559" w:type="dxa"/>
            <w:vAlign w:val="center"/>
          </w:tcPr>
          <w:p w14:paraId="479955E6">
            <w:pPr>
              <w:ind w:right="28"/>
              <w:jc w:val="center"/>
              <w:rPr>
                <w:rFonts w:ascii="仿宋_GB2312" w:hAnsi="宋体" w:eastAsia="仿宋_GB2312" w:cs="宋体"/>
                <w:szCs w:val="24"/>
              </w:rPr>
            </w:pPr>
            <w:r>
              <w:rPr>
                <w:rFonts w:hint="eastAsia" w:ascii="仿宋_GB2312" w:hAnsi="宋体" w:eastAsia="仿宋_GB2312" w:cs="宋体"/>
                <w:szCs w:val="24"/>
              </w:rPr>
              <w:t>2000元/人</w:t>
            </w:r>
          </w:p>
        </w:tc>
        <w:tc>
          <w:tcPr>
            <w:tcW w:w="788" w:type="dxa"/>
          </w:tcPr>
          <w:p w14:paraId="70BFD030">
            <w:pPr>
              <w:ind w:right="28"/>
              <w:jc w:val="center"/>
              <w:rPr>
                <w:rFonts w:ascii="仿宋_GB2312" w:hAnsi="宋体" w:eastAsia="仿宋_GB2312" w:cs="宋体"/>
                <w:szCs w:val="24"/>
              </w:rPr>
            </w:pPr>
          </w:p>
        </w:tc>
      </w:tr>
      <w:tr w14:paraId="0F93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4F30C0B">
            <w:pPr>
              <w:ind w:right="28"/>
              <w:jc w:val="center"/>
              <w:rPr>
                <w:rFonts w:ascii="仿宋_GB2312" w:hAnsi="宋体" w:eastAsia="仿宋_GB2312" w:cs="宋体"/>
                <w:szCs w:val="24"/>
              </w:rPr>
            </w:pPr>
            <w:r>
              <w:rPr>
                <w:rFonts w:hint="eastAsia" w:ascii="仿宋_GB2312" w:hAnsi="宋体" w:eastAsia="仿宋_GB2312" w:cs="宋体"/>
                <w:szCs w:val="24"/>
              </w:rPr>
              <w:t>12</w:t>
            </w:r>
          </w:p>
        </w:tc>
        <w:tc>
          <w:tcPr>
            <w:tcW w:w="5245" w:type="dxa"/>
          </w:tcPr>
          <w:p w14:paraId="21D458EC">
            <w:pPr>
              <w:ind w:right="28"/>
              <w:jc w:val="center"/>
              <w:rPr>
                <w:rFonts w:ascii="仿宋_GB2312" w:hAnsi="宋体" w:eastAsia="仿宋_GB2312" w:cs="宋体"/>
                <w:szCs w:val="24"/>
              </w:rPr>
            </w:pPr>
            <w:r>
              <w:rPr>
                <w:rFonts w:hint="eastAsia" w:ascii="仿宋_GB2312" w:hAnsi="宋体" w:eastAsia="仿宋_GB2312" w:cs="宋体"/>
                <w:szCs w:val="24"/>
              </w:rPr>
              <w:t>不参加甲方组织的安全生产检查</w:t>
            </w:r>
          </w:p>
        </w:tc>
        <w:tc>
          <w:tcPr>
            <w:tcW w:w="1559" w:type="dxa"/>
            <w:vAlign w:val="center"/>
          </w:tcPr>
          <w:p w14:paraId="06F0DBC5">
            <w:pPr>
              <w:ind w:right="28"/>
              <w:jc w:val="center"/>
              <w:rPr>
                <w:rFonts w:ascii="仿宋_GB2312" w:hAnsi="宋体" w:eastAsia="仿宋_GB2312" w:cs="宋体"/>
                <w:szCs w:val="24"/>
              </w:rPr>
            </w:pPr>
            <w:r>
              <w:rPr>
                <w:rFonts w:hint="eastAsia" w:ascii="仿宋_GB2312" w:hAnsi="宋体" w:eastAsia="仿宋_GB2312" w:cs="宋体"/>
                <w:szCs w:val="24"/>
              </w:rPr>
              <w:t>1000元/次</w:t>
            </w:r>
          </w:p>
        </w:tc>
        <w:tc>
          <w:tcPr>
            <w:tcW w:w="788" w:type="dxa"/>
          </w:tcPr>
          <w:p w14:paraId="18FD4BDD">
            <w:pPr>
              <w:ind w:right="28"/>
              <w:jc w:val="center"/>
              <w:rPr>
                <w:rFonts w:ascii="仿宋_GB2312" w:hAnsi="宋体" w:eastAsia="仿宋_GB2312" w:cs="宋体"/>
                <w:szCs w:val="24"/>
              </w:rPr>
            </w:pPr>
          </w:p>
        </w:tc>
      </w:tr>
      <w:tr w14:paraId="24A1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B9A3253">
            <w:pPr>
              <w:ind w:right="28"/>
              <w:jc w:val="center"/>
              <w:rPr>
                <w:rFonts w:ascii="仿宋_GB2312" w:hAnsi="宋体" w:eastAsia="仿宋_GB2312" w:cs="宋体"/>
                <w:szCs w:val="24"/>
              </w:rPr>
            </w:pPr>
            <w:r>
              <w:rPr>
                <w:rFonts w:hint="eastAsia" w:ascii="仿宋_GB2312" w:hAnsi="宋体" w:eastAsia="仿宋_GB2312" w:cs="宋体"/>
                <w:szCs w:val="24"/>
              </w:rPr>
              <w:t>13</w:t>
            </w:r>
          </w:p>
        </w:tc>
        <w:tc>
          <w:tcPr>
            <w:tcW w:w="5245" w:type="dxa"/>
          </w:tcPr>
          <w:p w14:paraId="1BDA0A48">
            <w:pPr>
              <w:ind w:right="28"/>
              <w:jc w:val="center"/>
              <w:rPr>
                <w:rFonts w:ascii="仿宋_GB2312" w:hAnsi="宋体" w:eastAsia="仿宋_GB2312" w:cs="宋体"/>
                <w:szCs w:val="24"/>
              </w:rPr>
            </w:pPr>
            <w:r>
              <w:rPr>
                <w:rFonts w:hint="eastAsia" w:ascii="仿宋_GB2312" w:hAnsi="宋体" w:eastAsia="仿宋_GB2312" w:cs="宋体"/>
                <w:szCs w:val="24"/>
              </w:rPr>
              <w:t>不参加甲方组织的安全会议</w:t>
            </w:r>
          </w:p>
        </w:tc>
        <w:tc>
          <w:tcPr>
            <w:tcW w:w="1559" w:type="dxa"/>
            <w:vAlign w:val="center"/>
          </w:tcPr>
          <w:p w14:paraId="603A2FC5">
            <w:pPr>
              <w:ind w:right="28"/>
              <w:jc w:val="center"/>
              <w:rPr>
                <w:rFonts w:ascii="仿宋_GB2312" w:hAnsi="宋体" w:eastAsia="仿宋_GB2312" w:cs="宋体"/>
                <w:szCs w:val="24"/>
              </w:rPr>
            </w:pPr>
            <w:r>
              <w:rPr>
                <w:rFonts w:hint="eastAsia" w:ascii="仿宋_GB2312" w:hAnsi="宋体" w:eastAsia="仿宋_GB2312" w:cs="宋体"/>
                <w:szCs w:val="24"/>
              </w:rPr>
              <w:t>1000元/次</w:t>
            </w:r>
          </w:p>
        </w:tc>
        <w:tc>
          <w:tcPr>
            <w:tcW w:w="788" w:type="dxa"/>
          </w:tcPr>
          <w:p w14:paraId="03B806CC">
            <w:pPr>
              <w:ind w:right="28"/>
              <w:jc w:val="center"/>
              <w:rPr>
                <w:rFonts w:ascii="仿宋_GB2312" w:hAnsi="宋体" w:eastAsia="仿宋_GB2312" w:cs="宋体"/>
                <w:szCs w:val="24"/>
              </w:rPr>
            </w:pPr>
          </w:p>
        </w:tc>
      </w:tr>
      <w:tr w14:paraId="07EE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DBE55EA">
            <w:pPr>
              <w:ind w:right="28"/>
              <w:jc w:val="center"/>
              <w:rPr>
                <w:rFonts w:ascii="仿宋_GB2312" w:hAnsi="宋体" w:eastAsia="仿宋_GB2312" w:cs="宋体"/>
                <w:szCs w:val="24"/>
              </w:rPr>
            </w:pPr>
            <w:r>
              <w:rPr>
                <w:rFonts w:hint="eastAsia" w:ascii="仿宋_GB2312" w:hAnsi="宋体" w:eastAsia="仿宋_GB2312" w:cs="宋体"/>
                <w:szCs w:val="24"/>
              </w:rPr>
              <w:t>14</w:t>
            </w:r>
          </w:p>
        </w:tc>
        <w:tc>
          <w:tcPr>
            <w:tcW w:w="5245" w:type="dxa"/>
          </w:tcPr>
          <w:p w14:paraId="077F6675">
            <w:pPr>
              <w:ind w:right="28"/>
              <w:jc w:val="center"/>
              <w:rPr>
                <w:rFonts w:ascii="仿宋_GB2312" w:hAnsi="宋体" w:eastAsia="仿宋_GB2312" w:cs="宋体"/>
                <w:szCs w:val="24"/>
              </w:rPr>
            </w:pPr>
            <w:r>
              <w:rPr>
                <w:rFonts w:hint="eastAsia" w:ascii="仿宋_GB2312" w:hAnsi="宋体" w:eastAsia="仿宋_GB2312" w:cs="宋体"/>
                <w:szCs w:val="24"/>
              </w:rPr>
              <w:t>未在规定的期限内，完成隐患整改（一般隐患）</w:t>
            </w:r>
          </w:p>
        </w:tc>
        <w:tc>
          <w:tcPr>
            <w:tcW w:w="1559" w:type="dxa"/>
            <w:vAlign w:val="center"/>
          </w:tcPr>
          <w:p w14:paraId="69874E4D">
            <w:pPr>
              <w:ind w:right="28"/>
              <w:jc w:val="center"/>
              <w:rPr>
                <w:rFonts w:ascii="仿宋_GB2312" w:hAnsi="宋体" w:eastAsia="仿宋_GB2312" w:cs="宋体"/>
                <w:szCs w:val="24"/>
              </w:rPr>
            </w:pPr>
            <w:r>
              <w:rPr>
                <w:rFonts w:hint="eastAsia" w:ascii="仿宋_GB2312" w:hAnsi="宋体" w:eastAsia="仿宋_GB2312" w:cs="宋体"/>
                <w:szCs w:val="24"/>
              </w:rPr>
              <w:t>500元/条</w:t>
            </w:r>
          </w:p>
        </w:tc>
        <w:tc>
          <w:tcPr>
            <w:tcW w:w="788" w:type="dxa"/>
          </w:tcPr>
          <w:p w14:paraId="0E7BA6C9">
            <w:pPr>
              <w:ind w:right="28"/>
              <w:jc w:val="center"/>
              <w:rPr>
                <w:rFonts w:ascii="仿宋_GB2312" w:hAnsi="宋体" w:eastAsia="仿宋_GB2312" w:cs="宋体"/>
                <w:szCs w:val="24"/>
              </w:rPr>
            </w:pPr>
          </w:p>
        </w:tc>
      </w:tr>
      <w:tr w14:paraId="4E33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5CA299B">
            <w:pPr>
              <w:ind w:right="28"/>
              <w:jc w:val="center"/>
              <w:rPr>
                <w:rFonts w:ascii="仿宋_GB2312" w:hAnsi="宋体" w:eastAsia="仿宋_GB2312" w:cs="宋体"/>
                <w:szCs w:val="24"/>
              </w:rPr>
            </w:pPr>
            <w:r>
              <w:rPr>
                <w:rFonts w:hint="eastAsia" w:ascii="仿宋_GB2312" w:hAnsi="宋体" w:eastAsia="仿宋_GB2312" w:cs="宋体"/>
                <w:szCs w:val="24"/>
              </w:rPr>
              <w:t>15</w:t>
            </w:r>
          </w:p>
        </w:tc>
        <w:tc>
          <w:tcPr>
            <w:tcW w:w="5245" w:type="dxa"/>
          </w:tcPr>
          <w:p w14:paraId="0E8C1B71">
            <w:pPr>
              <w:ind w:right="28"/>
              <w:jc w:val="center"/>
              <w:rPr>
                <w:rFonts w:ascii="仿宋_GB2312" w:hAnsi="宋体" w:eastAsia="仿宋_GB2312" w:cs="宋体"/>
                <w:szCs w:val="24"/>
              </w:rPr>
            </w:pPr>
            <w:r>
              <w:rPr>
                <w:rFonts w:hint="eastAsia" w:ascii="仿宋_GB2312" w:hAnsi="宋体" w:eastAsia="仿宋_GB2312" w:cs="宋体"/>
                <w:szCs w:val="24"/>
              </w:rPr>
              <w:t>出现三大“攻坚”隐患</w:t>
            </w:r>
          </w:p>
        </w:tc>
        <w:tc>
          <w:tcPr>
            <w:tcW w:w="1559" w:type="dxa"/>
            <w:vAlign w:val="center"/>
          </w:tcPr>
          <w:p w14:paraId="7C309BE8">
            <w:pPr>
              <w:ind w:right="28"/>
              <w:jc w:val="center"/>
              <w:rPr>
                <w:rFonts w:ascii="仿宋_GB2312" w:hAnsi="宋体" w:eastAsia="仿宋_GB2312" w:cs="宋体"/>
                <w:szCs w:val="24"/>
              </w:rPr>
            </w:pPr>
            <w:r>
              <w:rPr>
                <w:rFonts w:hint="eastAsia" w:ascii="仿宋_GB2312" w:hAnsi="宋体" w:eastAsia="仿宋_GB2312" w:cs="宋体"/>
                <w:szCs w:val="24"/>
              </w:rPr>
              <w:t>1000元/条</w:t>
            </w:r>
          </w:p>
        </w:tc>
        <w:tc>
          <w:tcPr>
            <w:tcW w:w="788" w:type="dxa"/>
          </w:tcPr>
          <w:p w14:paraId="28679A11">
            <w:pPr>
              <w:ind w:right="28"/>
              <w:jc w:val="center"/>
              <w:rPr>
                <w:rFonts w:ascii="仿宋_GB2312" w:hAnsi="宋体" w:eastAsia="仿宋_GB2312" w:cs="宋体"/>
                <w:szCs w:val="24"/>
              </w:rPr>
            </w:pPr>
          </w:p>
        </w:tc>
      </w:tr>
      <w:tr w14:paraId="7C10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62242D4">
            <w:pPr>
              <w:ind w:right="28"/>
              <w:jc w:val="center"/>
              <w:rPr>
                <w:rFonts w:ascii="仿宋_GB2312" w:hAnsi="宋体" w:eastAsia="仿宋_GB2312" w:cs="宋体"/>
                <w:szCs w:val="24"/>
              </w:rPr>
            </w:pPr>
            <w:r>
              <w:rPr>
                <w:rFonts w:hint="eastAsia" w:ascii="仿宋_GB2312" w:hAnsi="宋体" w:eastAsia="仿宋_GB2312" w:cs="宋体"/>
                <w:szCs w:val="24"/>
              </w:rPr>
              <w:t>16</w:t>
            </w:r>
          </w:p>
        </w:tc>
        <w:tc>
          <w:tcPr>
            <w:tcW w:w="5245" w:type="dxa"/>
          </w:tcPr>
          <w:p w14:paraId="4195A139">
            <w:pPr>
              <w:ind w:right="28"/>
              <w:jc w:val="center"/>
              <w:rPr>
                <w:rFonts w:ascii="仿宋_GB2312" w:hAnsi="宋体" w:eastAsia="仿宋_GB2312" w:cs="宋体"/>
                <w:szCs w:val="24"/>
              </w:rPr>
            </w:pPr>
            <w:r>
              <w:rPr>
                <w:rFonts w:hint="eastAsia" w:ascii="仿宋_GB2312" w:hAnsi="宋体" w:eastAsia="仿宋_GB2312" w:cs="宋体"/>
                <w:szCs w:val="24"/>
              </w:rPr>
              <w:t>不安排工人接受甲方入场安全教育</w:t>
            </w:r>
          </w:p>
        </w:tc>
        <w:tc>
          <w:tcPr>
            <w:tcW w:w="1559" w:type="dxa"/>
            <w:vAlign w:val="center"/>
          </w:tcPr>
          <w:p w14:paraId="0F6650C1">
            <w:pPr>
              <w:ind w:right="28"/>
              <w:jc w:val="center"/>
              <w:rPr>
                <w:rFonts w:ascii="仿宋_GB2312" w:hAnsi="宋体" w:eastAsia="仿宋_GB2312" w:cs="宋体"/>
                <w:szCs w:val="24"/>
              </w:rPr>
            </w:pPr>
            <w:r>
              <w:rPr>
                <w:rFonts w:hint="eastAsia" w:ascii="仿宋_GB2312" w:hAnsi="宋体" w:eastAsia="仿宋_GB2312" w:cs="宋体"/>
                <w:szCs w:val="24"/>
              </w:rPr>
              <w:t>200元/人</w:t>
            </w:r>
          </w:p>
        </w:tc>
        <w:tc>
          <w:tcPr>
            <w:tcW w:w="788" w:type="dxa"/>
          </w:tcPr>
          <w:p w14:paraId="7E515C84">
            <w:pPr>
              <w:ind w:right="28"/>
              <w:jc w:val="center"/>
              <w:rPr>
                <w:rFonts w:ascii="仿宋_GB2312" w:hAnsi="宋体" w:eastAsia="仿宋_GB2312" w:cs="宋体"/>
                <w:szCs w:val="24"/>
              </w:rPr>
            </w:pPr>
          </w:p>
        </w:tc>
      </w:tr>
      <w:tr w14:paraId="0AB9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53826E8">
            <w:pPr>
              <w:ind w:right="28"/>
              <w:jc w:val="center"/>
              <w:rPr>
                <w:rFonts w:ascii="仿宋_GB2312" w:hAnsi="宋体" w:eastAsia="仿宋_GB2312" w:cs="宋体"/>
                <w:szCs w:val="24"/>
              </w:rPr>
            </w:pPr>
            <w:r>
              <w:rPr>
                <w:rFonts w:hint="eastAsia" w:ascii="仿宋_GB2312" w:hAnsi="宋体" w:eastAsia="仿宋_GB2312" w:cs="宋体"/>
                <w:szCs w:val="24"/>
              </w:rPr>
              <w:t>17</w:t>
            </w:r>
          </w:p>
        </w:tc>
        <w:tc>
          <w:tcPr>
            <w:tcW w:w="5245" w:type="dxa"/>
          </w:tcPr>
          <w:p w14:paraId="1A22B668">
            <w:pPr>
              <w:ind w:right="28"/>
              <w:jc w:val="center"/>
              <w:rPr>
                <w:rFonts w:ascii="仿宋_GB2312" w:hAnsi="宋体" w:eastAsia="仿宋_GB2312" w:cs="宋体"/>
                <w:szCs w:val="24"/>
              </w:rPr>
            </w:pPr>
            <w:r>
              <w:rPr>
                <w:rFonts w:hint="eastAsia" w:ascii="仿宋_GB2312" w:hAnsi="宋体" w:eastAsia="仿宋_GB2312" w:cs="宋体"/>
                <w:szCs w:val="24"/>
              </w:rPr>
              <w:t>经过入场安全教育工人安全帽未贴标识</w:t>
            </w:r>
          </w:p>
        </w:tc>
        <w:tc>
          <w:tcPr>
            <w:tcW w:w="1559" w:type="dxa"/>
            <w:vAlign w:val="center"/>
          </w:tcPr>
          <w:p w14:paraId="006FEF7E">
            <w:pPr>
              <w:ind w:right="28"/>
              <w:jc w:val="center"/>
              <w:rPr>
                <w:rFonts w:ascii="仿宋_GB2312" w:hAnsi="宋体" w:eastAsia="仿宋_GB2312" w:cs="宋体"/>
                <w:szCs w:val="24"/>
              </w:rPr>
            </w:pPr>
            <w:r>
              <w:rPr>
                <w:rFonts w:hint="eastAsia" w:ascii="仿宋_GB2312" w:hAnsi="宋体" w:eastAsia="仿宋_GB2312" w:cs="宋体"/>
                <w:szCs w:val="24"/>
              </w:rPr>
              <w:t>50元/人</w:t>
            </w:r>
          </w:p>
        </w:tc>
        <w:tc>
          <w:tcPr>
            <w:tcW w:w="788" w:type="dxa"/>
          </w:tcPr>
          <w:p w14:paraId="2EE2F7E1">
            <w:pPr>
              <w:ind w:right="28"/>
              <w:jc w:val="center"/>
              <w:rPr>
                <w:rFonts w:ascii="仿宋_GB2312" w:hAnsi="宋体" w:eastAsia="仿宋_GB2312" w:cs="宋体"/>
                <w:szCs w:val="24"/>
              </w:rPr>
            </w:pPr>
          </w:p>
        </w:tc>
      </w:tr>
      <w:tr w14:paraId="17C1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9374D3F">
            <w:pPr>
              <w:ind w:right="28"/>
              <w:jc w:val="center"/>
              <w:rPr>
                <w:rFonts w:ascii="仿宋_GB2312" w:hAnsi="宋体" w:eastAsia="仿宋_GB2312" w:cs="宋体"/>
                <w:szCs w:val="24"/>
              </w:rPr>
            </w:pPr>
            <w:r>
              <w:rPr>
                <w:rFonts w:hint="eastAsia" w:ascii="仿宋_GB2312" w:hAnsi="宋体" w:eastAsia="仿宋_GB2312" w:cs="宋体"/>
                <w:szCs w:val="24"/>
              </w:rPr>
              <w:t>18</w:t>
            </w:r>
          </w:p>
        </w:tc>
        <w:tc>
          <w:tcPr>
            <w:tcW w:w="5245" w:type="dxa"/>
          </w:tcPr>
          <w:p w14:paraId="6CFD2E8D">
            <w:pPr>
              <w:ind w:right="28"/>
              <w:jc w:val="center"/>
              <w:rPr>
                <w:rFonts w:ascii="仿宋_GB2312" w:hAnsi="宋体" w:eastAsia="仿宋_GB2312" w:cs="宋体"/>
                <w:szCs w:val="24"/>
              </w:rPr>
            </w:pPr>
            <w:r>
              <w:rPr>
                <w:rFonts w:hint="eastAsia" w:ascii="仿宋_GB2312" w:hAnsi="宋体" w:eastAsia="仿宋_GB2312" w:cs="宋体"/>
                <w:szCs w:val="24"/>
              </w:rPr>
              <w:t>使用未经安全教育培训考核合格的工人</w:t>
            </w:r>
          </w:p>
        </w:tc>
        <w:tc>
          <w:tcPr>
            <w:tcW w:w="1559" w:type="dxa"/>
            <w:vAlign w:val="center"/>
          </w:tcPr>
          <w:p w14:paraId="7B5C5E07">
            <w:pPr>
              <w:ind w:right="28"/>
              <w:jc w:val="center"/>
              <w:rPr>
                <w:rFonts w:ascii="仿宋_GB2312" w:hAnsi="宋体" w:eastAsia="仿宋_GB2312" w:cs="宋体"/>
                <w:szCs w:val="24"/>
              </w:rPr>
            </w:pPr>
            <w:r>
              <w:rPr>
                <w:rFonts w:hint="eastAsia" w:ascii="仿宋_GB2312" w:hAnsi="宋体" w:eastAsia="仿宋_GB2312" w:cs="宋体"/>
                <w:szCs w:val="24"/>
              </w:rPr>
              <w:t>1000元/人</w:t>
            </w:r>
          </w:p>
        </w:tc>
        <w:tc>
          <w:tcPr>
            <w:tcW w:w="788" w:type="dxa"/>
          </w:tcPr>
          <w:p w14:paraId="7A10468C">
            <w:pPr>
              <w:ind w:right="28"/>
              <w:jc w:val="center"/>
              <w:rPr>
                <w:rFonts w:ascii="仿宋_GB2312" w:hAnsi="宋体" w:eastAsia="仿宋_GB2312" w:cs="宋体"/>
                <w:szCs w:val="24"/>
              </w:rPr>
            </w:pPr>
          </w:p>
        </w:tc>
      </w:tr>
      <w:tr w14:paraId="40E7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8B50B0A">
            <w:pPr>
              <w:ind w:right="28"/>
              <w:jc w:val="center"/>
              <w:rPr>
                <w:rFonts w:ascii="仿宋_GB2312" w:hAnsi="宋体" w:eastAsia="仿宋_GB2312" w:cs="宋体"/>
                <w:szCs w:val="24"/>
              </w:rPr>
            </w:pPr>
            <w:r>
              <w:rPr>
                <w:rFonts w:hint="eastAsia" w:ascii="仿宋_GB2312" w:hAnsi="宋体" w:eastAsia="仿宋_GB2312" w:cs="宋体"/>
                <w:szCs w:val="24"/>
              </w:rPr>
              <w:t>19</w:t>
            </w:r>
          </w:p>
        </w:tc>
        <w:tc>
          <w:tcPr>
            <w:tcW w:w="5245" w:type="dxa"/>
          </w:tcPr>
          <w:p w14:paraId="304FC166">
            <w:pPr>
              <w:ind w:right="28"/>
              <w:jc w:val="center"/>
              <w:rPr>
                <w:rFonts w:ascii="仿宋_GB2312" w:hAnsi="宋体" w:eastAsia="仿宋_GB2312" w:cs="宋体"/>
                <w:szCs w:val="24"/>
              </w:rPr>
            </w:pPr>
            <w:r>
              <w:rPr>
                <w:rFonts w:hint="eastAsia" w:ascii="仿宋_GB2312" w:hAnsi="宋体" w:eastAsia="仿宋_GB2312" w:cs="宋体"/>
                <w:szCs w:val="24"/>
              </w:rPr>
              <w:t>未组织开展安全生产早班会</w:t>
            </w:r>
          </w:p>
        </w:tc>
        <w:tc>
          <w:tcPr>
            <w:tcW w:w="1559" w:type="dxa"/>
            <w:vAlign w:val="center"/>
          </w:tcPr>
          <w:p w14:paraId="614A54E4">
            <w:pPr>
              <w:ind w:right="28"/>
              <w:jc w:val="center"/>
              <w:rPr>
                <w:rFonts w:ascii="仿宋_GB2312" w:hAnsi="宋体" w:eastAsia="仿宋_GB2312" w:cs="宋体"/>
                <w:szCs w:val="24"/>
              </w:rPr>
            </w:pPr>
            <w:r>
              <w:rPr>
                <w:rFonts w:hint="eastAsia" w:ascii="仿宋_GB2312" w:hAnsi="宋体" w:eastAsia="仿宋_GB2312" w:cs="宋体"/>
                <w:szCs w:val="24"/>
              </w:rPr>
              <w:t>2000元/次</w:t>
            </w:r>
          </w:p>
        </w:tc>
        <w:tc>
          <w:tcPr>
            <w:tcW w:w="788" w:type="dxa"/>
          </w:tcPr>
          <w:p w14:paraId="4F5F488B">
            <w:pPr>
              <w:ind w:right="28"/>
              <w:jc w:val="center"/>
              <w:rPr>
                <w:rFonts w:ascii="仿宋_GB2312" w:hAnsi="宋体" w:eastAsia="仿宋_GB2312" w:cs="宋体"/>
                <w:szCs w:val="24"/>
              </w:rPr>
            </w:pPr>
          </w:p>
        </w:tc>
      </w:tr>
      <w:tr w14:paraId="1512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A3F8D7E">
            <w:pPr>
              <w:ind w:right="28"/>
              <w:jc w:val="center"/>
              <w:rPr>
                <w:rFonts w:ascii="仿宋_GB2312" w:hAnsi="宋体" w:eastAsia="仿宋_GB2312" w:cs="宋体"/>
                <w:szCs w:val="24"/>
              </w:rPr>
            </w:pPr>
            <w:r>
              <w:rPr>
                <w:rFonts w:hint="eastAsia" w:ascii="仿宋_GB2312" w:hAnsi="宋体" w:eastAsia="仿宋_GB2312" w:cs="宋体"/>
                <w:szCs w:val="24"/>
              </w:rPr>
              <w:t>20</w:t>
            </w:r>
          </w:p>
        </w:tc>
        <w:tc>
          <w:tcPr>
            <w:tcW w:w="5245" w:type="dxa"/>
          </w:tcPr>
          <w:p w14:paraId="252CFF11">
            <w:pPr>
              <w:ind w:right="28"/>
              <w:jc w:val="center"/>
              <w:rPr>
                <w:rFonts w:ascii="仿宋_GB2312" w:hAnsi="宋体" w:eastAsia="仿宋_GB2312" w:cs="宋体"/>
                <w:szCs w:val="24"/>
              </w:rPr>
            </w:pPr>
            <w:r>
              <w:rPr>
                <w:rFonts w:hint="eastAsia" w:ascii="仿宋_GB2312" w:hAnsi="宋体" w:eastAsia="仿宋_GB2312" w:cs="宋体"/>
                <w:szCs w:val="24"/>
              </w:rPr>
              <w:t>参加早班会人员不全</w:t>
            </w:r>
          </w:p>
        </w:tc>
        <w:tc>
          <w:tcPr>
            <w:tcW w:w="1559" w:type="dxa"/>
            <w:vAlign w:val="center"/>
          </w:tcPr>
          <w:p w14:paraId="3C5359F6">
            <w:pPr>
              <w:ind w:right="28"/>
              <w:jc w:val="center"/>
              <w:rPr>
                <w:rFonts w:ascii="仿宋_GB2312" w:hAnsi="宋体" w:eastAsia="仿宋_GB2312" w:cs="宋体"/>
                <w:szCs w:val="24"/>
              </w:rPr>
            </w:pPr>
            <w:r>
              <w:rPr>
                <w:rFonts w:hint="eastAsia" w:ascii="仿宋_GB2312" w:hAnsi="宋体" w:eastAsia="仿宋_GB2312" w:cs="宋体"/>
                <w:szCs w:val="24"/>
              </w:rPr>
              <w:t>50元/人</w:t>
            </w:r>
          </w:p>
        </w:tc>
        <w:tc>
          <w:tcPr>
            <w:tcW w:w="788" w:type="dxa"/>
          </w:tcPr>
          <w:p w14:paraId="3EF78B87">
            <w:pPr>
              <w:ind w:right="28"/>
              <w:jc w:val="center"/>
              <w:rPr>
                <w:rFonts w:ascii="仿宋_GB2312" w:hAnsi="宋体" w:eastAsia="仿宋_GB2312" w:cs="宋体"/>
                <w:szCs w:val="24"/>
              </w:rPr>
            </w:pPr>
          </w:p>
        </w:tc>
      </w:tr>
      <w:tr w14:paraId="3CD8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E565C27">
            <w:pPr>
              <w:ind w:right="28"/>
              <w:jc w:val="center"/>
              <w:rPr>
                <w:rFonts w:ascii="仿宋_GB2312" w:hAnsi="宋体" w:eastAsia="仿宋_GB2312" w:cs="宋体"/>
                <w:szCs w:val="24"/>
              </w:rPr>
            </w:pPr>
            <w:r>
              <w:rPr>
                <w:rFonts w:hint="eastAsia" w:ascii="仿宋_GB2312" w:hAnsi="宋体" w:eastAsia="仿宋_GB2312" w:cs="宋体"/>
                <w:szCs w:val="24"/>
              </w:rPr>
              <w:t>21</w:t>
            </w:r>
          </w:p>
        </w:tc>
        <w:tc>
          <w:tcPr>
            <w:tcW w:w="5245" w:type="dxa"/>
          </w:tcPr>
          <w:p w14:paraId="17F916D2">
            <w:pPr>
              <w:ind w:right="28"/>
              <w:jc w:val="center"/>
              <w:rPr>
                <w:rFonts w:ascii="仿宋_GB2312" w:hAnsi="宋体" w:eastAsia="仿宋_GB2312" w:cs="宋体"/>
                <w:szCs w:val="24"/>
              </w:rPr>
            </w:pPr>
            <w:r>
              <w:rPr>
                <w:rFonts w:hint="eastAsia" w:ascii="仿宋_GB2312" w:hAnsi="宋体" w:eastAsia="仿宋_GB2312" w:cs="宋体"/>
                <w:szCs w:val="24"/>
              </w:rPr>
              <w:t>未及时向甲方报送安全生产早班会资料</w:t>
            </w:r>
          </w:p>
        </w:tc>
        <w:tc>
          <w:tcPr>
            <w:tcW w:w="1559" w:type="dxa"/>
            <w:vAlign w:val="center"/>
          </w:tcPr>
          <w:p w14:paraId="323464CD">
            <w:pPr>
              <w:ind w:right="28"/>
              <w:jc w:val="center"/>
              <w:rPr>
                <w:rFonts w:ascii="仿宋_GB2312" w:hAnsi="宋体" w:eastAsia="仿宋_GB2312" w:cs="宋体"/>
                <w:szCs w:val="24"/>
              </w:rPr>
            </w:pPr>
            <w:r>
              <w:rPr>
                <w:rFonts w:hint="eastAsia" w:ascii="仿宋_GB2312" w:hAnsi="宋体" w:eastAsia="仿宋_GB2312" w:cs="宋体"/>
                <w:szCs w:val="24"/>
              </w:rPr>
              <w:t>200元/次</w:t>
            </w:r>
          </w:p>
        </w:tc>
        <w:tc>
          <w:tcPr>
            <w:tcW w:w="788" w:type="dxa"/>
          </w:tcPr>
          <w:p w14:paraId="034C9291">
            <w:pPr>
              <w:ind w:right="28"/>
              <w:jc w:val="center"/>
              <w:rPr>
                <w:rFonts w:ascii="仿宋_GB2312" w:hAnsi="宋体" w:eastAsia="仿宋_GB2312" w:cs="宋体"/>
                <w:szCs w:val="24"/>
              </w:rPr>
            </w:pPr>
          </w:p>
        </w:tc>
      </w:tr>
      <w:tr w14:paraId="0107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C94437A">
            <w:pPr>
              <w:ind w:right="28"/>
              <w:jc w:val="center"/>
              <w:rPr>
                <w:rFonts w:ascii="仿宋_GB2312" w:hAnsi="宋体" w:eastAsia="仿宋_GB2312" w:cs="宋体"/>
                <w:szCs w:val="24"/>
              </w:rPr>
            </w:pPr>
            <w:r>
              <w:rPr>
                <w:rFonts w:hint="eastAsia" w:ascii="仿宋_GB2312" w:hAnsi="宋体" w:eastAsia="仿宋_GB2312" w:cs="宋体"/>
                <w:szCs w:val="24"/>
              </w:rPr>
              <w:t>22</w:t>
            </w:r>
          </w:p>
        </w:tc>
        <w:tc>
          <w:tcPr>
            <w:tcW w:w="5245" w:type="dxa"/>
          </w:tcPr>
          <w:p w14:paraId="3E3A46A5">
            <w:pPr>
              <w:ind w:right="28"/>
              <w:jc w:val="center"/>
              <w:rPr>
                <w:rFonts w:ascii="仿宋_GB2312" w:hAnsi="宋体" w:eastAsia="仿宋_GB2312" w:cs="宋体"/>
                <w:szCs w:val="24"/>
              </w:rPr>
            </w:pPr>
            <w:r>
              <w:rPr>
                <w:rFonts w:hint="eastAsia" w:ascii="仿宋_GB2312" w:hAnsi="宋体" w:eastAsia="仿宋_GB2312" w:cs="宋体"/>
                <w:szCs w:val="24"/>
              </w:rPr>
              <w:t>高风险作业未经许可</w:t>
            </w:r>
          </w:p>
        </w:tc>
        <w:tc>
          <w:tcPr>
            <w:tcW w:w="1559" w:type="dxa"/>
            <w:vAlign w:val="center"/>
          </w:tcPr>
          <w:p w14:paraId="4CCADD07">
            <w:pPr>
              <w:ind w:right="28"/>
              <w:jc w:val="center"/>
              <w:rPr>
                <w:rFonts w:ascii="仿宋_GB2312" w:hAnsi="宋体" w:eastAsia="仿宋_GB2312" w:cs="宋体"/>
                <w:szCs w:val="24"/>
              </w:rPr>
            </w:pPr>
            <w:r>
              <w:rPr>
                <w:rFonts w:hint="eastAsia" w:ascii="仿宋_GB2312" w:hAnsi="宋体" w:eastAsia="仿宋_GB2312" w:cs="宋体"/>
                <w:szCs w:val="24"/>
              </w:rPr>
              <w:t>2000元/次</w:t>
            </w:r>
          </w:p>
        </w:tc>
        <w:tc>
          <w:tcPr>
            <w:tcW w:w="788" w:type="dxa"/>
          </w:tcPr>
          <w:p w14:paraId="4F74F317">
            <w:pPr>
              <w:ind w:right="28"/>
              <w:jc w:val="center"/>
              <w:rPr>
                <w:rFonts w:ascii="仿宋_GB2312" w:hAnsi="宋体" w:eastAsia="仿宋_GB2312" w:cs="宋体"/>
                <w:szCs w:val="24"/>
              </w:rPr>
            </w:pPr>
          </w:p>
        </w:tc>
      </w:tr>
      <w:tr w14:paraId="6C41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1F7F626">
            <w:pPr>
              <w:ind w:right="28"/>
              <w:jc w:val="center"/>
              <w:rPr>
                <w:rFonts w:ascii="仿宋_GB2312" w:hAnsi="宋体" w:eastAsia="仿宋_GB2312" w:cs="宋体"/>
                <w:szCs w:val="24"/>
              </w:rPr>
            </w:pPr>
            <w:r>
              <w:rPr>
                <w:rFonts w:hint="eastAsia" w:ascii="仿宋_GB2312" w:hAnsi="宋体" w:eastAsia="仿宋_GB2312" w:cs="宋体"/>
                <w:szCs w:val="24"/>
              </w:rPr>
              <w:t>23</w:t>
            </w:r>
          </w:p>
        </w:tc>
        <w:tc>
          <w:tcPr>
            <w:tcW w:w="5245" w:type="dxa"/>
          </w:tcPr>
          <w:p w14:paraId="3D6BDE01">
            <w:pPr>
              <w:ind w:right="28"/>
              <w:jc w:val="center"/>
              <w:rPr>
                <w:rFonts w:ascii="仿宋_GB2312" w:hAnsi="宋体" w:eastAsia="仿宋_GB2312" w:cs="宋体"/>
                <w:szCs w:val="24"/>
              </w:rPr>
            </w:pPr>
            <w:r>
              <w:rPr>
                <w:rFonts w:hint="eastAsia" w:ascii="仿宋_GB2312" w:hAnsi="宋体" w:eastAsia="仿宋_GB2312" w:cs="宋体"/>
                <w:szCs w:val="24"/>
              </w:rPr>
              <w:t>拆除现场防护后，未采取临时措施防护或及时恢复</w:t>
            </w:r>
          </w:p>
        </w:tc>
        <w:tc>
          <w:tcPr>
            <w:tcW w:w="1559" w:type="dxa"/>
            <w:vAlign w:val="center"/>
          </w:tcPr>
          <w:p w14:paraId="51126926">
            <w:pPr>
              <w:ind w:right="28"/>
              <w:jc w:val="center"/>
              <w:rPr>
                <w:rFonts w:ascii="仿宋_GB2312" w:hAnsi="宋体" w:eastAsia="仿宋_GB2312" w:cs="宋体"/>
                <w:szCs w:val="24"/>
              </w:rPr>
            </w:pPr>
            <w:r>
              <w:rPr>
                <w:rFonts w:hint="eastAsia" w:ascii="仿宋_GB2312" w:hAnsi="宋体" w:eastAsia="仿宋_GB2312" w:cs="宋体"/>
                <w:szCs w:val="24"/>
              </w:rPr>
              <w:t>2000元/次</w:t>
            </w:r>
          </w:p>
        </w:tc>
        <w:tc>
          <w:tcPr>
            <w:tcW w:w="788" w:type="dxa"/>
          </w:tcPr>
          <w:p w14:paraId="67CAA137">
            <w:pPr>
              <w:ind w:right="28"/>
              <w:jc w:val="center"/>
              <w:rPr>
                <w:rFonts w:ascii="仿宋_GB2312" w:hAnsi="宋体" w:eastAsia="仿宋_GB2312" w:cs="宋体"/>
                <w:szCs w:val="24"/>
              </w:rPr>
            </w:pPr>
          </w:p>
        </w:tc>
      </w:tr>
      <w:tr w14:paraId="2C4D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3FD8BF8">
            <w:pPr>
              <w:ind w:right="28"/>
              <w:jc w:val="center"/>
              <w:rPr>
                <w:rFonts w:ascii="仿宋_GB2312" w:hAnsi="宋体" w:eastAsia="仿宋_GB2312" w:cs="宋体"/>
                <w:szCs w:val="24"/>
              </w:rPr>
            </w:pPr>
            <w:r>
              <w:rPr>
                <w:rFonts w:hint="eastAsia" w:ascii="仿宋_GB2312" w:hAnsi="宋体" w:eastAsia="仿宋_GB2312" w:cs="宋体"/>
                <w:szCs w:val="24"/>
              </w:rPr>
              <w:t>24</w:t>
            </w:r>
          </w:p>
        </w:tc>
        <w:tc>
          <w:tcPr>
            <w:tcW w:w="5245" w:type="dxa"/>
          </w:tcPr>
          <w:p w14:paraId="47CE9E98">
            <w:pPr>
              <w:ind w:right="28"/>
              <w:jc w:val="center"/>
              <w:rPr>
                <w:rFonts w:ascii="仿宋_GB2312" w:hAnsi="宋体" w:eastAsia="仿宋_GB2312" w:cs="宋体"/>
                <w:szCs w:val="24"/>
              </w:rPr>
            </w:pPr>
            <w:r>
              <w:rPr>
                <w:rFonts w:hint="eastAsia" w:ascii="仿宋_GB2312" w:hAnsi="宋体" w:eastAsia="仿宋_GB2312" w:cs="宋体"/>
                <w:szCs w:val="24"/>
              </w:rPr>
              <w:t>高风险作业未安排专人进行监护</w:t>
            </w:r>
          </w:p>
        </w:tc>
        <w:tc>
          <w:tcPr>
            <w:tcW w:w="1559" w:type="dxa"/>
            <w:vAlign w:val="center"/>
          </w:tcPr>
          <w:p w14:paraId="01131810">
            <w:pPr>
              <w:ind w:right="28"/>
              <w:jc w:val="center"/>
              <w:rPr>
                <w:rFonts w:ascii="仿宋_GB2312" w:hAnsi="宋体" w:eastAsia="仿宋_GB2312" w:cs="宋体"/>
                <w:szCs w:val="24"/>
              </w:rPr>
            </w:pPr>
            <w:r>
              <w:rPr>
                <w:rFonts w:hint="eastAsia" w:ascii="仿宋_GB2312" w:hAnsi="宋体" w:eastAsia="仿宋_GB2312" w:cs="宋体"/>
                <w:szCs w:val="24"/>
              </w:rPr>
              <w:t>1000元</w:t>
            </w:r>
          </w:p>
        </w:tc>
        <w:tc>
          <w:tcPr>
            <w:tcW w:w="788" w:type="dxa"/>
          </w:tcPr>
          <w:p w14:paraId="376488EA">
            <w:pPr>
              <w:ind w:right="28"/>
              <w:jc w:val="center"/>
              <w:rPr>
                <w:rFonts w:ascii="仿宋_GB2312" w:hAnsi="宋体" w:eastAsia="仿宋_GB2312" w:cs="宋体"/>
                <w:szCs w:val="24"/>
              </w:rPr>
            </w:pPr>
          </w:p>
        </w:tc>
      </w:tr>
      <w:tr w14:paraId="4A39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CE4A852">
            <w:pPr>
              <w:ind w:right="28"/>
              <w:jc w:val="center"/>
              <w:rPr>
                <w:rFonts w:ascii="仿宋_GB2312" w:hAnsi="宋体" w:eastAsia="仿宋_GB2312" w:cs="宋体"/>
                <w:szCs w:val="24"/>
              </w:rPr>
            </w:pPr>
            <w:r>
              <w:rPr>
                <w:rFonts w:hint="eastAsia" w:ascii="仿宋_GB2312" w:hAnsi="宋体" w:eastAsia="仿宋_GB2312" w:cs="宋体"/>
                <w:szCs w:val="24"/>
              </w:rPr>
              <w:t>25</w:t>
            </w:r>
          </w:p>
        </w:tc>
        <w:tc>
          <w:tcPr>
            <w:tcW w:w="5245" w:type="dxa"/>
          </w:tcPr>
          <w:p w14:paraId="3E5CE3DC">
            <w:pPr>
              <w:ind w:right="28"/>
              <w:jc w:val="center"/>
              <w:rPr>
                <w:rFonts w:ascii="仿宋_GB2312" w:hAnsi="宋体" w:eastAsia="仿宋_GB2312" w:cs="宋体"/>
                <w:szCs w:val="24"/>
              </w:rPr>
            </w:pPr>
            <w:r>
              <w:rPr>
                <w:rFonts w:hint="eastAsia" w:ascii="仿宋_GB2312" w:hAnsi="宋体" w:eastAsia="仿宋_GB2312" w:cs="宋体"/>
                <w:szCs w:val="24"/>
              </w:rPr>
              <w:t>高处作业人员未佩戴和使用安全带</w:t>
            </w:r>
          </w:p>
        </w:tc>
        <w:tc>
          <w:tcPr>
            <w:tcW w:w="1559" w:type="dxa"/>
            <w:vAlign w:val="center"/>
          </w:tcPr>
          <w:p w14:paraId="5B716F9F">
            <w:pPr>
              <w:ind w:right="28"/>
              <w:jc w:val="center"/>
              <w:rPr>
                <w:rFonts w:ascii="仿宋_GB2312" w:hAnsi="宋体" w:eastAsia="仿宋_GB2312" w:cs="宋体"/>
                <w:szCs w:val="24"/>
              </w:rPr>
            </w:pPr>
            <w:r>
              <w:rPr>
                <w:rFonts w:hint="eastAsia" w:ascii="仿宋_GB2312" w:hAnsi="宋体" w:eastAsia="仿宋_GB2312" w:cs="宋体"/>
                <w:szCs w:val="24"/>
              </w:rPr>
              <w:t>500元/次</w:t>
            </w:r>
          </w:p>
        </w:tc>
        <w:tc>
          <w:tcPr>
            <w:tcW w:w="788" w:type="dxa"/>
          </w:tcPr>
          <w:p w14:paraId="0FAF07DC">
            <w:pPr>
              <w:ind w:right="28"/>
              <w:jc w:val="center"/>
              <w:rPr>
                <w:rFonts w:ascii="仿宋_GB2312" w:hAnsi="宋体" w:eastAsia="仿宋_GB2312" w:cs="宋体"/>
                <w:szCs w:val="24"/>
              </w:rPr>
            </w:pPr>
          </w:p>
        </w:tc>
      </w:tr>
      <w:tr w14:paraId="570C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C60FC36">
            <w:pPr>
              <w:ind w:right="28"/>
              <w:jc w:val="center"/>
              <w:rPr>
                <w:rFonts w:ascii="仿宋_GB2312" w:hAnsi="宋体" w:eastAsia="仿宋_GB2312" w:cs="宋体"/>
                <w:b/>
                <w:bCs/>
                <w:szCs w:val="24"/>
              </w:rPr>
            </w:pPr>
            <w:r>
              <w:rPr>
                <w:rFonts w:hint="eastAsia" w:ascii="仿宋_GB2312" w:hAnsi="宋体" w:eastAsia="仿宋_GB2312" w:cs="宋体"/>
                <w:szCs w:val="24"/>
              </w:rPr>
              <w:t>26</w:t>
            </w:r>
          </w:p>
        </w:tc>
        <w:tc>
          <w:tcPr>
            <w:tcW w:w="5245" w:type="dxa"/>
          </w:tcPr>
          <w:p w14:paraId="3081F0CC">
            <w:pPr>
              <w:ind w:right="28"/>
              <w:jc w:val="center"/>
              <w:rPr>
                <w:rFonts w:ascii="仿宋_GB2312" w:hAnsi="宋体" w:eastAsia="仿宋_GB2312" w:cs="宋体"/>
                <w:b/>
                <w:bCs/>
                <w:szCs w:val="24"/>
              </w:rPr>
            </w:pPr>
            <w:r>
              <w:rPr>
                <w:rFonts w:hint="eastAsia" w:ascii="仿宋_GB2312" w:hAnsi="宋体" w:eastAsia="仿宋_GB2312" w:cs="宋体"/>
                <w:szCs w:val="24"/>
              </w:rPr>
              <w:t>工人未佩戴安全帽或规范佩戴安全帽</w:t>
            </w:r>
          </w:p>
        </w:tc>
        <w:tc>
          <w:tcPr>
            <w:tcW w:w="1559" w:type="dxa"/>
            <w:vAlign w:val="center"/>
          </w:tcPr>
          <w:p w14:paraId="29235B4F">
            <w:pPr>
              <w:ind w:right="28"/>
              <w:jc w:val="center"/>
              <w:rPr>
                <w:rFonts w:ascii="仿宋_GB2312" w:hAnsi="宋体" w:eastAsia="仿宋_GB2312" w:cs="宋体"/>
                <w:b/>
                <w:bCs/>
                <w:szCs w:val="24"/>
              </w:rPr>
            </w:pPr>
            <w:r>
              <w:rPr>
                <w:rFonts w:hint="eastAsia" w:ascii="仿宋_GB2312" w:hAnsi="宋体" w:eastAsia="仿宋_GB2312" w:cs="宋体"/>
                <w:szCs w:val="24"/>
              </w:rPr>
              <w:t>100元/次</w:t>
            </w:r>
          </w:p>
        </w:tc>
        <w:tc>
          <w:tcPr>
            <w:tcW w:w="788" w:type="dxa"/>
          </w:tcPr>
          <w:p w14:paraId="73B16F9A">
            <w:pPr>
              <w:ind w:right="28"/>
              <w:jc w:val="center"/>
              <w:rPr>
                <w:rFonts w:ascii="仿宋_GB2312" w:hAnsi="宋体" w:eastAsia="仿宋_GB2312" w:cs="宋体"/>
                <w:b/>
                <w:bCs/>
                <w:szCs w:val="24"/>
              </w:rPr>
            </w:pPr>
          </w:p>
        </w:tc>
      </w:tr>
      <w:tr w14:paraId="738E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8546339">
            <w:pPr>
              <w:ind w:right="28"/>
              <w:jc w:val="center"/>
              <w:rPr>
                <w:rFonts w:ascii="仿宋_GB2312" w:hAnsi="宋体" w:eastAsia="仿宋_GB2312" w:cs="宋体"/>
                <w:szCs w:val="24"/>
              </w:rPr>
            </w:pPr>
            <w:r>
              <w:rPr>
                <w:rFonts w:hint="eastAsia" w:ascii="仿宋_GB2312" w:hAnsi="宋体" w:eastAsia="仿宋_GB2312" w:cs="宋体"/>
                <w:szCs w:val="24"/>
              </w:rPr>
              <w:t>27</w:t>
            </w:r>
          </w:p>
        </w:tc>
        <w:tc>
          <w:tcPr>
            <w:tcW w:w="5245" w:type="dxa"/>
          </w:tcPr>
          <w:p w14:paraId="487346A4">
            <w:pPr>
              <w:ind w:right="28"/>
              <w:jc w:val="center"/>
              <w:rPr>
                <w:rFonts w:ascii="仿宋_GB2312" w:hAnsi="宋体" w:eastAsia="仿宋_GB2312" w:cs="宋体"/>
                <w:szCs w:val="24"/>
              </w:rPr>
            </w:pPr>
            <w:r>
              <w:rPr>
                <w:rFonts w:hint="eastAsia" w:ascii="仿宋_GB2312" w:hAnsi="宋体" w:eastAsia="仿宋_GB2312" w:cs="宋体"/>
                <w:szCs w:val="24"/>
              </w:rPr>
              <w:t>工人未穿马甲</w:t>
            </w:r>
          </w:p>
        </w:tc>
        <w:tc>
          <w:tcPr>
            <w:tcW w:w="1559" w:type="dxa"/>
            <w:vAlign w:val="center"/>
          </w:tcPr>
          <w:p w14:paraId="4858D76D">
            <w:pPr>
              <w:ind w:right="28"/>
              <w:jc w:val="center"/>
              <w:rPr>
                <w:rFonts w:ascii="仿宋_GB2312" w:hAnsi="宋体" w:eastAsia="仿宋_GB2312" w:cs="宋体"/>
                <w:szCs w:val="24"/>
              </w:rPr>
            </w:pPr>
            <w:r>
              <w:rPr>
                <w:rFonts w:hint="eastAsia" w:ascii="仿宋_GB2312" w:hAnsi="宋体" w:eastAsia="仿宋_GB2312" w:cs="宋体"/>
                <w:szCs w:val="24"/>
              </w:rPr>
              <w:t>50元/次</w:t>
            </w:r>
          </w:p>
        </w:tc>
        <w:tc>
          <w:tcPr>
            <w:tcW w:w="788" w:type="dxa"/>
          </w:tcPr>
          <w:p w14:paraId="09A50D22">
            <w:pPr>
              <w:ind w:right="28"/>
              <w:jc w:val="center"/>
              <w:rPr>
                <w:rFonts w:ascii="仿宋_GB2312" w:hAnsi="宋体" w:eastAsia="仿宋_GB2312" w:cs="宋体"/>
                <w:szCs w:val="24"/>
              </w:rPr>
            </w:pPr>
          </w:p>
        </w:tc>
      </w:tr>
      <w:tr w14:paraId="487F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4CC5887">
            <w:pPr>
              <w:ind w:right="28"/>
              <w:jc w:val="center"/>
              <w:rPr>
                <w:rFonts w:ascii="仿宋_GB2312" w:hAnsi="宋体" w:eastAsia="仿宋_GB2312" w:cs="宋体"/>
                <w:szCs w:val="24"/>
              </w:rPr>
            </w:pPr>
            <w:r>
              <w:rPr>
                <w:rFonts w:hint="eastAsia" w:ascii="仿宋_GB2312" w:hAnsi="宋体" w:eastAsia="仿宋_GB2312" w:cs="宋体"/>
                <w:szCs w:val="24"/>
              </w:rPr>
              <w:t>28</w:t>
            </w:r>
          </w:p>
        </w:tc>
        <w:tc>
          <w:tcPr>
            <w:tcW w:w="5245" w:type="dxa"/>
          </w:tcPr>
          <w:p w14:paraId="4532050D">
            <w:pPr>
              <w:ind w:right="28"/>
              <w:jc w:val="center"/>
              <w:rPr>
                <w:rFonts w:ascii="仿宋_GB2312" w:hAnsi="宋体" w:eastAsia="仿宋_GB2312" w:cs="宋体"/>
                <w:szCs w:val="24"/>
              </w:rPr>
            </w:pPr>
            <w:r>
              <w:rPr>
                <w:rFonts w:hint="eastAsia" w:ascii="仿宋_GB2312" w:hAnsi="宋体" w:eastAsia="仿宋_GB2312" w:cs="宋体"/>
                <w:szCs w:val="24"/>
              </w:rPr>
              <w:t>使用自带不合格电箱、电缆、配电盘等电气设备</w:t>
            </w:r>
          </w:p>
        </w:tc>
        <w:tc>
          <w:tcPr>
            <w:tcW w:w="1559" w:type="dxa"/>
            <w:vAlign w:val="center"/>
          </w:tcPr>
          <w:p w14:paraId="0B3CC850">
            <w:pPr>
              <w:ind w:right="28"/>
              <w:jc w:val="center"/>
              <w:rPr>
                <w:rFonts w:ascii="仿宋_GB2312" w:hAnsi="宋体" w:eastAsia="仿宋_GB2312" w:cs="宋体"/>
                <w:szCs w:val="24"/>
              </w:rPr>
            </w:pPr>
            <w:r>
              <w:rPr>
                <w:rFonts w:hint="eastAsia" w:ascii="仿宋_GB2312" w:hAnsi="宋体" w:eastAsia="仿宋_GB2312" w:cs="宋体"/>
                <w:szCs w:val="24"/>
              </w:rPr>
              <w:t>200元/次</w:t>
            </w:r>
          </w:p>
        </w:tc>
        <w:tc>
          <w:tcPr>
            <w:tcW w:w="788" w:type="dxa"/>
          </w:tcPr>
          <w:p w14:paraId="7A027F15">
            <w:pPr>
              <w:ind w:right="28"/>
              <w:jc w:val="center"/>
              <w:rPr>
                <w:rFonts w:ascii="仿宋_GB2312" w:hAnsi="宋体" w:eastAsia="仿宋_GB2312" w:cs="宋体"/>
                <w:szCs w:val="24"/>
              </w:rPr>
            </w:pPr>
          </w:p>
        </w:tc>
      </w:tr>
      <w:tr w14:paraId="65C1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2FA37EB">
            <w:pPr>
              <w:ind w:right="28"/>
              <w:jc w:val="center"/>
              <w:rPr>
                <w:rFonts w:ascii="仿宋_GB2312" w:hAnsi="宋体" w:eastAsia="仿宋_GB2312" w:cs="宋体"/>
                <w:szCs w:val="24"/>
              </w:rPr>
            </w:pPr>
            <w:r>
              <w:rPr>
                <w:rFonts w:hint="eastAsia" w:ascii="仿宋_GB2312" w:hAnsi="宋体" w:eastAsia="仿宋_GB2312" w:cs="宋体"/>
                <w:szCs w:val="24"/>
              </w:rPr>
              <w:t>29</w:t>
            </w:r>
          </w:p>
        </w:tc>
        <w:tc>
          <w:tcPr>
            <w:tcW w:w="5245" w:type="dxa"/>
          </w:tcPr>
          <w:p w14:paraId="06791C26">
            <w:pPr>
              <w:ind w:right="28"/>
              <w:jc w:val="center"/>
              <w:rPr>
                <w:rFonts w:ascii="仿宋_GB2312" w:hAnsi="宋体" w:eastAsia="仿宋_GB2312" w:cs="宋体"/>
                <w:szCs w:val="24"/>
              </w:rPr>
            </w:pPr>
            <w:r>
              <w:rPr>
                <w:rFonts w:hint="eastAsia" w:ascii="仿宋_GB2312" w:hAnsi="宋体" w:eastAsia="仿宋_GB2312" w:cs="宋体"/>
                <w:szCs w:val="24"/>
              </w:rPr>
              <w:t>自带工具、器具、设备未经验收即使用</w:t>
            </w:r>
          </w:p>
        </w:tc>
        <w:tc>
          <w:tcPr>
            <w:tcW w:w="1559" w:type="dxa"/>
            <w:vAlign w:val="center"/>
          </w:tcPr>
          <w:p w14:paraId="508BD56C">
            <w:pPr>
              <w:ind w:right="28"/>
              <w:jc w:val="center"/>
              <w:rPr>
                <w:rFonts w:ascii="仿宋_GB2312" w:hAnsi="宋体" w:eastAsia="仿宋_GB2312" w:cs="宋体"/>
                <w:szCs w:val="24"/>
              </w:rPr>
            </w:pPr>
            <w:r>
              <w:rPr>
                <w:rFonts w:hint="eastAsia" w:ascii="仿宋_GB2312" w:hAnsi="宋体" w:eastAsia="仿宋_GB2312" w:cs="宋体"/>
                <w:szCs w:val="24"/>
              </w:rPr>
              <w:t>200元/次</w:t>
            </w:r>
          </w:p>
        </w:tc>
        <w:tc>
          <w:tcPr>
            <w:tcW w:w="788" w:type="dxa"/>
          </w:tcPr>
          <w:p w14:paraId="2F0267EB">
            <w:pPr>
              <w:ind w:right="28"/>
              <w:jc w:val="center"/>
              <w:rPr>
                <w:rFonts w:ascii="仿宋_GB2312" w:hAnsi="宋体" w:eastAsia="仿宋_GB2312" w:cs="宋体"/>
                <w:szCs w:val="24"/>
              </w:rPr>
            </w:pPr>
          </w:p>
        </w:tc>
      </w:tr>
      <w:tr w14:paraId="56DD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51922A3">
            <w:pPr>
              <w:ind w:right="28"/>
              <w:jc w:val="center"/>
              <w:rPr>
                <w:rFonts w:ascii="仿宋_GB2312" w:hAnsi="宋体" w:eastAsia="仿宋_GB2312" w:cs="宋体"/>
                <w:szCs w:val="24"/>
              </w:rPr>
            </w:pPr>
            <w:r>
              <w:rPr>
                <w:rFonts w:hint="eastAsia" w:ascii="仿宋_GB2312" w:hAnsi="宋体" w:eastAsia="仿宋_GB2312" w:cs="宋体"/>
                <w:szCs w:val="24"/>
              </w:rPr>
              <w:t>30</w:t>
            </w:r>
          </w:p>
        </w:tc>
        <w:tc>
          <w:tcPr>
            <w:tcW w:w="5245" w:type="dxa"/>
          </w:tcPr>
          <w:p w14:paraId="177292BD">
            <w:pPr>
              <w:ind w:right="28"/>
              <w:jc w:val="center"/>
              <w:rPr>
                <w:rFonts w:ascii="仿宋_GB2312" w:hAnsi="宋体" w:eastAsia="仿宋_GB2312" w:cs="宋体"/>
                <w:szCs w:val="24"/>
              </w:rPr>
            </w:pPr>
            <w:r>
              <w:rPr>
                <w:rFonts w:hint="eastAsia" w:ascii="仿宋_GB2312" w:hAnsi="宋体" w:eastAsia="仿宋_GB2312" w:cs="宋体"/>
                <w:szCs w:val="24"/>
              </w:rPr>
              <w:t>使用自带安全性能明显不足的工具、器具、设备等</w:t>
            </w:r>
          </w:p>
        </w:tc>
        <w:tc>
          <w:tcPr>
            <w:tcW w:w="1559" w:type="dxa"/>
            <w:vAlign w:val="center"/>
          </w:tcPr>
          <w:p w14:paraId="11C83395">
            <w:pPr>
              <w:ind w:right="28"/>
              <w:jc w:val="center"/>
              <w:rPr>
                <w:rFonts w:ascii="仿宋_GB2312" w:hAnsi="宋体" w:eastAsia="仿宋_GB2312" w:cs="宋体"/>
                <w:szCs w:val="24"/>
              </w:rPr>
            </w:pPr>
            <w:r>
              <w:rPr>
                <w:rFonts w:hint="eastAsia" w:ascii="仿宋_GB2312" w:hAnsi="宋体" w:eastAsia="仿宋_GB2312" w:cs="宋体"/>
                <w:szCs w:val="24"/>
              </w:rPr>
              <w:t>500元/次</w:t>
            </w:r>
          </w:p>
        </w:tc>
        <w:tc>
          <w:tcPr>
            <w:tcW w:w="788" w:type="dxa"/>
          </w:tcPr>
          <w:p w14:paraId="5A2CDA38">
            <w:pPr>
              <w:ind w:right="28"/>
              <w:jc w:val="center"/>
              <w:rPr>
                <w:rFonts w:ascii="仿宋_GB2312" w:hAnsi="宋体" w:eastAsia="仿宋_GB2312" w:cs="宋体"/>
                <w:szCs w:val="24"/>
              </w:rPr>
            </w:pPr>
          </w:p>
        </w:tc>
      </w:tr>
      <w:tr w14:paraId="5C99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3C0C1F0">
            <w:pPr>
              <w:ind w:right="28"/>
              <w:jc w:val="center"/>
              <w:rPr>
                <w:rFonts w:ascii="仿宋_GB2312" w:hAnsi="宋体" w:eastAsia="仿宋_GB2312" w:cs="宋体"/>
                <w:szCs w:val="24"/>
              </w:rPr>
            </w:pPr>
            <w:r>
              <w:rPr>
                <w:rFonts w:hint="eastAsia" w:ascii="仿宋_GB2312" w:hAnsi="宋体" w:eastAsia="仿宋_GB2312" w:cs="宋体"/>
                <w:szCs w:val="24"/>
              </w:rPr>
              <w:t>31</w:t>
            </w:r>
          </w:p>
        </w:tc>
        <w:tc>
          <w:tcPr>
            <w:tcW w:w="5245" w:type="dxa"/>
          </w:tcPr>
          <w:p w14:paraId="3325CA93">
            <w:pPr>
              <w:ind w:right="28"/>
              <w:jc w:val="center"/>
              <w:rPr>
                <w:rFonts w:ascii="仿宋_GB2312" w:hAnsi="宋体" w:eastAsia="仿宋_GB2312" w:cs="宋体"/>
                <w:szCs w:val="24"/>
              </w:rPr>
            </w:pPr>
            <w:r>
              <w:rPr>
                <w:rFonts w:hint="eastAsia" w:ascii="仿宋_GB2312" w:hAnsi="宋体" w:eastAsia="仿宋_GB2312" w:cs="宋体"/>
                <w:szCs w:val="24"/>
              </w:rPr>
              <w:t>未安排工人接受安全技术交底</w:t>
            </w:r>
          </w:p>
        </w:tc>
        <w:tc>
          <w:tcPr>
            <w:tcW w:w="1559" w:type="dxa"/>
            <w:vAlign w:val="center"/>
          </w:tcPr>
          <w:p w14:paraId="05F92108">
            <w:pPr>
              <w:ind w:right="28"/>
              <w:jc w:val="center"/>
              <w:rPr>
                <w:rFonts w:ascii="仿宋_GB2312" w:hAnsi="宋体" w:eastAsia="仿宋_GB2312" w:cs="宋体"/>
                <w:szCs w:val="24"/>
              </w:rPr>
            </w:pPr>
            <w:r>
              <w:rPr>
                <w:rFonts w:hint="eastAsia" w:ascii="仿宋_GB2312" w:hAnsi="宋体" w:eastAsia="仿宋_GB2312" w:cs="宋体"/>
                <w:szCs w:val="24"/>
              </w:rPr>
              <w:t>200元/人</w:t>
            </w:r>
          </w:p>
        </w:tc>
        <w:tc>
          <w:tcPr>
            <w:tcW w:w="788" w:type="dxa"/>
          </w:tcPr>
          <w:p w14:paraId="2B975E40">
            <w:pPr>
              <w:ind w:right="28"/>
              <w:jc w:val="center"/>
              <w:rPr>
                <w:rFonts w:ascii="仿宋_GB2312" w:hAnsi="宋体" w:eastAsia="仿宋_GB2312" w:cs="宋体"/>
                <w:szCs w:val="24"/>
              </w:rPr>
            </w:pPr>
          </w:p>
        </w:tc>
      </w:tr>
      <w:tr w14:paraId="28A8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3036B7">
            <w:pPr>
              <w:ind w:right="28"/>
              <w:jc w:val="center"/>
              <w:rPr>
                <w:rFonts w:ascii="仿宋_GB2312" w:hAnsi="宋体" w:eastAsia="仿宋_GB2312" w:cs="宋体"/>
                <w:szCs w:val="24"/>
              </w:rPr>
            </w:pPr>
            <w:r>
              <w:rPr>
                <w:rFonts w:hint="eastAsia" w:ascii="仿宋_GB2312" w:hAnsi="宋体" w:eastAsia="仿宋_GB2312" w:cs="宋体"/>
                <w:szCs w:val="24"/>
              </w:rPr>
              <w:t>32</w:t>
            </w:r>
          </w:p>
        </w:tc>
        <w:tc>
          <w:tcPr>
            <w:tcW w:w="5245" w:type="dxa"/>
          </w:tcPr>
          <w:p w14:paraId="39EF7E46">
            <w:pPr>
              <w:ind w:right="28"/>
              <w:jc w:val="center"/>
              <w:rPr>
                <w:rFonts w:ascii="仿宋_GB2312" w:hAnsi="宋体" w:eastAsia="仿宋_GB2312" w:cs="宋体"/>
                <w:szCs w:val="24"/>
              </w:rPr>
            </w:pPr>
            <w:r>
              <w:rPr>
                <w:rFonts w:hint="eastAsia" w:ascii="仿宋_GB2312" w:hAnsi="宋体" w:eastAsia="仿宋_GB2312" w:cs="宋体"/>
                <w:szCs w:val="24"/>
              </w:rPr>
              <w:t>零散用工、突击用工未经入场安全教育</w:t>
            </w:r>
          </w:p>
        </w:tc>
        <w:tc>
          <w:tcPr>
            <w:tcW w:w="1559" w:type="dxa"/>
            <w:vAlign w:val="center"/>
          </w:tcPr>
          <w:p w14:paraId="5A586B82">
            <w:pPr>
              <w:ind w:right="28"/>
              <w:jc w:val="center"/>
              <w:rPr>
                <w:rFonts w:ascii="仿宋_GB2312" w:hAnsi="宋体" w:eastAsia="仿宋_GB2312" w:cs="宋体"/>
                <w:szCs w:val="24"/>
              </w:rPr>
            </w:pPr>
            <w:r>
              <w:rPr>
                <w:rFonts w:hint="eastAsia" w:ascii="仿宋_GB2312" w:hAnsi="宋体" w:eastAsia="仿宋_GB2312" w:cs="宋体"/>
                <w:szCs w:val="24"/>
              </w:rPr>
              <w:t>200元/人</w:t>
            </w:r>
          </w:p>
        </w:tc>
        <w:tc>
          <w:tcPr>
            <w:tcW w:w="788" w:type="dxa"/>
          </w:tcPr>
          <w:p w14:paraId="71659623">
            <w:pPr>
              <w:ind w:right="28"/>
              <w:jc w:val="center"/>
              <w:rPr>
                <w:rFonts w:ascii="仿宋_GB2312" w:hAnsi="宋体" w:eastAsia="仿宋_GB2312" w:cs="宋体"/>
                <w:szCs w:val="24"/>
              </w:rPr>
            </w:pPr>
          </w:p>
        </w:tc>
      </w:tr>
      <w:tr w14:paraId="227D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8987FC2">
            <w:pPr>
              <w:ind w:right="28"/>
              <w:jc w:val="center"/>
              <w:rPr>
                <w:rFonts w:ascii="仿宋_GB2312" w:hAnsi="宋体" w:eastAsia="仿宋_GB2312" w:cs="宋体"/>
                <w:szCs w:val="24"/>
              </w:rPr>
            </w:pPr>
            <w:r>
              <w:rPr>
                <w:rFonts w:hint="eastAsia" w:ascii="仿宋_GB2312" w:hAnsi="宋体" w:eastAsia="仿宋_GB2312" w:cs="宋体"/>
                <w:szCs w:val="24"/>
              </w:rPr>
              <w:t>33</w:t>
            </w:r>
          </w:p>
        </w:tc>
        <w:tc>
          <w:tcPr>
            <w:tcW w:w="5245" w:type="dxa"/>
          </w:tcPr>
          <w:p w14:paraId="3CC0765B">
            <w:pPr>
              <w:ind w:right="28"/>
              <w:jc w:val="center"/>
              <w:rPr>
                <w:rFonts w:ascii="仿宋_GB2312" w:hAnsi="宋体" w:eastAsia="仿宋_GB2312" w:cs="宋体"/>
                <w:szCs w:val="24"/>
              </w:rPr>
            </w:pPr>
            <w:r>
              <w:rPr>
                <w:rFonts w:hint="eastAsia" w:ascii="仿宋_GB2312" w:hAnsi="宋体" w:eastAsia="仿宋_GB2312" w:cs="宋体"/>
                <w:szCs w:val="24"/>
              </w:rPr>
              <w:t>零散用工、突击用工作业时，无专人监护</w:t>
            </w:r>
          </w:p>
        </w:tc>
        <w:tc>
          <w:tcPr>
            <w:tcW w:w="1559" w:type="dxa"/>
            <w:vAlign w:val="center"/>
          </w:tcPr>
          <w:p w14:paraId="3BD775E8">
            <w:pPr>
              <w:ind w:right="28"/>
              <w:jc w:val="center"/>
              <w:rPr>
                <w:rFonts w:ascii="仿宋_GB2312" w:hAnsi="宋体" w:eastAsia="仿宋_GB2312" w:cs="宋体"/>
                <w:szCs w:val="24"/>
              </w:rPr>
            </w:pPr>
            <w:r>
              <w:rPr>
                <w:rFonts w:hint="eastAsia" w:ascii="仿宋_GB2312" w:hAnsi="宋体" w:eastAsia="仿宋_GB2312" w:cs="宋体"/>
                <w:szCs w:val="24"/>
              </w:rPr>
              <w:t>1000元/次</w:t>
            </w:r>
          </w:p>
        </w:tc>
        <w:tc>
          <w:tcPr>
            <w:tcW w:w="788" w:type="dxa"/>
          </w:tcPr>
          <w:p w14:paraId="3E9D559F">
            <w:pPr>
              <w:ind w:right="28"/>
              <w:jc w:val="center"/>
              <w:rPr>
                <w:rFonts w:ascii="仿宋_GB2312" w:hAnsi="宋体" w:eastAsia="仿宋_GB2312" w:cs="宋体"/>
                <w:szCs w:val="24"/>
              </w:rPr>
            </w:pPr>
          </w:p>
        </w:tc>
      </w:tr>
      <w:tr w14:paraId="5500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8B29EBD">
            <w:pPr>
              <w:ind w:right="28"/>
              <w:jc w:val="center"/>
              <w:rPr>
                <w:rFonts w:ascii="仿宋_GB2312" w:hAnsi="宋体" w:eastAsia="仿宋_GB2312" w:cs="宋体"/>
                <w:szCs w:val="24"/>
              </w:rPr>
            </w:pPr>
            <w:r>
              <w:rPr>
                <w:rFonts w:hint="eastAsia" w:ascii="仿宋_GB2312" w:hAnsi="宋体" w:eastAsia="仿宋_GB2312" w:cs="宋体"/>
                <w:szCs w:val="24"/>
              </w:rPr>
              <w:t>34</w:t>
            </w:r>
          </w:p>
        </w:tc>
        <w:tc>
          <w:tcPr>
            <w:tcW w:w="5245" w:type="dxa"/>
          </w:tcPr>
          <w:p w14:paraId="50A627E0">
            <w:pPr>
              <w:ind w:right="28"/>
              <w:jc w:val="center"/>
              <w:rPr>
                <w:rFonts w:ascii="仿宋_GB2312" w:hAnsi="宋体" w:eastAsia="仿宋_GB2312" w:cs="宋体"/>
                <w:szCs w:val="24"/>
              </w:rPr>
            </w:pPr>
            <w:r>
              <w:rPr>
                <w:rFonts w:hint="eastAsia" w:ascii="仿宋_GB2312" w:hAnsi="宋体" w:eastAsia="仿宋_GB2312" w:cs="宋体"/>
                <w:szCs w:val="24"/>
              </w:rPr>
              <w:t>加班时段，现场无专人值班</w:t>
            </w:r>
          </w:p>
        </w:tc>
        <w:tc>
          <w:tcPr>
            <w:tcW w:w="1559" w:type="dxa"/>
            <w:vAlign w:val="center"/>
          </w:tcPr>
          <w:p w14:paraId="02A424E4">
            <w:pPr>
              <w:ind w:right="28"/>
              <w:jc w:val="center"/>
              <w:rPr>
                <w:rFonts w:ascii="仿宋_GB2312" w:hAnsi="宋体" w:eastAsia="仿宋_GB2312" w:cs="宋体"/>
                <w:szCs w:val="24"/>
              </w:rPr>
            </w:pPr>
            <w:r>
              <w:rPr>
                <w:rFonts w:hint="eastAsia" w:ascii="仿宋_GB2312" w:hAnsi="宋体" w:eastAsia="仿宋_GB2312" w:cs="宋体"/>
                <w:szCs w:val="24"/>
              </w:rPr>
              <w:t>2000元/次</w:t>
            </w:r>
          </w:p>
        </w:tc>
        <w:tc>
          <w:tcPr>
            <w:tcW w:w="788" w:type="dxa"/>
          </w:tcPr>
          <w:p w14:paraId="4EC614E5">
            <w:pPr>
              <w:ind w:right="28"/>
              <w:jc w:val="center"/>
              <w:rPr>
                <w:rFonts w:ascii="仿宋_GB2312" w:hAnsi="宋体" w:eastAsia="仿宋_GB2312" w:cs="宋体"/>
                <w:szCs w:val="24"/>
              </w:rPr>
            </w:pPr>
          </w:p>
        </w:tc>
      </w:tr>
      <w:tr w14:paraId="7E0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EF8501F">
            <w:pPr>
              <w:ind w:right="28"/>
              <w:jc w:val="center"/>
              <w:rPr>
                <w:rFonts w:ascii="仿宋_GB2312" w:hAnsi="宋体" w:eastAsia="仿宋_GB2312" w:cs="宋体"/>
                <w:szCs w:val="24"/>
              </w:rPr>
            </w:pPr>
            <w:r>
              <w:rPr>
                <w:rFonts w:hint="eastAsia" w:ascii="仿宋_GB2312" w:hAnsi="宋体" w:eastAsia="仿宋_GB2312" w:cs="宋体"/>
                <w:szCs w:val="24"/>
              </w:rPr>
              <w:t>35</w:t>
            </w:r>
          </w:p>
        </w:tc>
        <w:tc>
          <w:tcPr>
            <w:tcW w:w="5245" w:type="dxa"/>
          </w:tcPr>
          <w:p w14:paraId="47E8B1EA">
            <w:pPr>
              <w:ind w:right="28"/>
              <w:jc w:val="center"/>
              <w:rPr>
                <w:rFonts w:ascii="仿宋_GB2312" w:hAnsi="宋体" w:eastAsia="仿宋_GB2312" w:cs="宋体"/>
                <w:szCs w:val="24"/>
              </w:rPr>
            </w:pPr>
            <w:r>
              <w:rPr>
                <w:rFonts w:hint="eastAsia" w:ascii="仿宋_GB2312" w:hAnsi="宋体" w:eastAsia="仿宋_GB2312" w:cs="宋体"/>
                <w:szCs w:val="24"/>
              </w:rPr>
              <w:t>不执行交叉作业安全管理有关规定</w:t>
            </w:r>
          </w:p>
        </w:tc>
        <w:tc>
          <w:tcPr>
            <w:tcW w:w="1559" w:type="dxa"/>
            <w:vAlign w:val="center"/>
          </w:tcPr>
          <w:p w14:paraId="62E50390">
            <w:pPr>
              <w:ind w:right="28"/>
              <w:jc w:val="center"/>
              <w:rPr>
                <w:rFonts w:ascii="仿宋_GB2312" w:hAnsi="宋体" w:eastAsia="仿宋_GB2312" w:cs="宋体"/>
                <w:szCs w:val="24"/>
              </w:rPr>
            </w:pPr>
            <w:r>
              <w:rPr>
                <w:rFonts w:hint="eastAsia" w:ascii="仿宋_GB2312" w:hAnsi="宋体" w:eastAsia="仿宋_GB2312" w:cs="宋体"/>
                <w:szCs w:val="24"/>
              </w:rPr>
              <w:t>1000元/次</w:t>
            </w:r>
          </w:p>
        </w:tc>
        <w:tc>
          <w:tcPr>
            <w:tcW w:w="788" w:type="dxa"/>
          </w:tcPr>
          <w:p w14:paraId="76A29D93">
            <w:pPr>
              <w:ind w:right="28"/>
              <w:jc w:val="center"/>
              <w:rPr>
                <w:rFonts w:ascii="仿宋_GB2312" w:hAnsi="宋体" w:eastAsia="仿宋_GB2312" w:cs="宋体"/>
                <w:szCs w:val="24"/>
              </w:rPr>
            </w:pPr>
          </w:p>
        </w:tc>
      </w:tr>
      <w:tr w14:paraId="2A0A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81B1491">
            <w:pPr>
              <w:ind w:right="28"/>
              <w:jc w:val="center"/>
              <w:rPr>
                <w:rFonts w:ascii="仿宋_GB2312" w:hAnsi="宋体" w:eastAsia="仿宋_GB2312" w:cs="宋体"/>
                <w:szCs w:val="24"/>
              </w:rPr>
            </w:pPr>
            <w:r>
              <w:rPr>
                <w:rFonts w:hint="eastAsia" w:ascii="仿宋_GB2312" w:hAnsi="宋体" w:eastAsia="仿宋_GB2312" w:cs="宋体"/>
                <w:szCs w:val="24"/>
              </w:rPr>
              <w:t>36</w:t>
            </w:r>
          </w:p>
        </w:tc>
        <w:tc>
          <w:tcPr>
            <w:tcW w:w="5245" w:type="dxa"/>
          </w:tcPr>
          <w:p w14:paraId="358C169A">
            <w:pPr>
              <w:ind w:right="28"/>
              <w:jc w:val="center"/>
              <w:rPr>
                <w:rFonts w:ascii="仿宋_GB2312" w:hAnsi="宋体" w:eastAsia="仿宋_GB2312" w:cs="宋体"/>
                <w:szCs w:val="24"/>
              </w:rPr>
            </w:pPr>
            <w:r>
              <w:rPr>
                <w:rFonts w:hint="eastAsia" w:ascii="仿宋_GB2312" w:hAnsi="宋体" w:eastAsia="仿宋_GB2312" w:cs="宋体"/>
                <w:szCs w:val="24"/>
              </w:rPr>
              <w:t>不参加甲方组织的应急演练</w:t>
            </w:r>
          </w:p>
        </w:tc>
        <w:tc>
          <w:tcPr>
            <w:tcW w:w="1559" w:type="dxa"/>
            <w:vAlign w:val="center"/>
          </w:tcPr>
          <w:p w14:paraId="15C7B8A8">
            <w:pPr>
              <w:ind w:right="28"/>
              <w:jc w:val="center"/>
              <w:rPr>
                <w:rFonts w:ascii="仿宋_GB2312" w:hAnsi="宋体" w:eastAsia="仿宋_GB2312" w:cs="宋体"/>
                <w:szCs w:val="24"/>
              </w:rPr>
            </w:pPr>
            <w:r>
              <w:rPr>
                <w:rFonts w:hint="eastAsia" w:ascii="仿宋_GB2312" w:hAnsi="宋体" w:eastAsia="仿宋_GB2312" w:cs="宋体"/>
                <w:szCs w:val="24"/>
              </w:rPr>
              <w:t>5000元/次</w:t>
            </w:r>
          </w:p>
        </w:tc>
        <w:tc>
          <w:tcPr>
            <w:tcW w:w="788" w:type="dxa"/>
          </w:tcPr>
          <w:p w14:paraId="0123CC32">
            <w:pPr>
              <w:ind w:right="28"/>
              <w:jc w:val="center"/>
              <w:rPr>
                <w:rFonts w:ascii="仿宋_GB2312" w:hAnsi="宋体" w:eastAsia="仿宋_GB2312" w:cs="宋体"/>
                <w:szCs w:val="24"/>
              </w:rPr>
            </w:pPr>
          </w:p>
        </w:tc>
      </w:tr>
      <w:tr w14:paraId="00FE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22874BB">
            <w:pPr>
              <w:ind w:right="28"/>
              <w:jc w:val="center"/>
              <w:rPr>
                <w:rFonts w:ascii="仿宋_GB2312" w:hAnsi="宋体" w:eastAsia="仿宋_GB2312" w:cs="宋体"/>
                <w:szCs w:val="24"/>
              </w:rPr>
            </w:pPr>
            <w:r>
              <w:rPr>
                <w:rFonts w:hint="eastAsia" w:ascii="仿宋_GB2312" w:hAnsi="宋体" w:eastAsia="仿宋_GB2312" w:cs="宋体"/>
                <w:szCs w:val="24"/>
              </w:rPr>
              <w:t>37</w:t>
            </w:r>
          </w:p>
        </w:tc>
        <w:tc>
          <w:tcPr>
            <w:tcW w:w="5245" w:type="dxa"/>
          </w:tcPr>
          <w:p w14:paraId="70E5407A">
            <w:pPr>
              <w:ind w:right="28"/>
              <w:jc w:val="center"/>
              <w:rPr>
                <w:rFonts w:ascii="仿宋_GB2312" w:hAnsi="宋体" w:eastAsia="仿宋_GB2312" w:cs="宋体"/>
                <w:szCs w:val="24"/>
              </w:rPr>
            </w:pPr>
            <w:r>
              <w:rPr>
                <w:rFonts w:hint="eastAsia" w:ascii="仿宋_GB2312" w:hAnsi="宋体" w:eastAsia="仿宋_GB2312" w:cs="宋体"/>
                <w:szCs w:val="24"/>
              </w:rPr>
              <w:t>危大工程和超危工程，关键节点未经甲方验收，即进入下一道工序施工</w:t>
            </w:r>
          </w:p>
        </w:tc>
        <w:tc>
          <w:tcPr>
            <w:tcW w:w="1559" w:type="dxa"/>
            <w:vAlign w:val="center"/>
          </w:tcPr>
          <w:p w14:paraId="0C141F9E">
            <w:pPr>
              <w:ind w:right="28"/>
              <w:jc w:val="center"/>
              <w:rPr>
                <w:rFonts w:ascii="仿宋_GB2312" w:hAnsi="宋体" w:eastAsia="仿宋_GB2312" w:cs="宋体"/>
                <w:szCs w:val="24"/>
              </w:rPr>
            </w:pPr>
            <w:r>
              <w:rPr>
                <w:rFonts w:hint="eastAsia" w:ascii="仿宋_GB2312" w:hAnsi="宋体" w:eastAsia="仿宋_GB2312" w:cs="宋体"/>
                <w:szCs w:val="24"/>
              </w:rPr>
              <w:t>20000元/次</w:t>
            </w:r>
          </w:p>
        </w:tc>
        <w:tc>
          <w:tcPr>
            <w:tcW w:w="788" w:type="dxa"/>
          </w:tcPr>
          <w:p w14:paraId="1B99DD9F">
            <w:pPr>
              <w:ind w:right="28"/>
              <w:jc w:val="center"/>
              <w:rPr>
                <w:rFonts w:ascii="仿宋_GB2312" w:hAnsi="宋体" w:eastAsia="仿宋_GB2312" w:cs="宋体"/>
                <w:szCs w:val="24"/>
              </w:rPr>
            </w:pPr>
          </w:p>
        </w:tc>
      </w:tr>
      <w:tr w14:paraId="5B8B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A42B9CB">
            <w:pPr>
              <w:ind w:right="28"/>
              <w:jc w:val="center"/>
              <w:rPr>
                <w:rFonts w:ascii="仿宋_GB2312" w:hAnsi="宋体" w:eastAsia="仿宋_GB2312" w:cs="宋体"/>
                <w:szCs w:val="24"/>
              </w:rPr>
            </w:pPr>
            <w:r>
              <w:rPr>
                <w:rFonts w:hint="eastAsia" w:ascii="仿宋_GB2312" w:hAnsi="宋体" w:eastAsia="仿宋_GB2312" w:cs="宋体"/>
                <w:szCs w:val="24"/>
              </w:rPr>
              <w:t>38</w:t>
            </w:r>
          </w:p>
        </w:tc>
        <w:tc>
          <w:tcPr>
            <w:tcW w:w="5245" w:type="dxa"/>
          </w:tcPr>
          <w:p w14:paraId="166D2508">
            <w:pPr>
              <w:ind w:right="28"/>
              <w:jc w:val="center"/>
              <w:rPr>
                <w:rFonts w:ascii="仿宋_GB2312" w:hAnsi="宋体" w:eastAsia="仿宋_GB2312" w:cs="宋体"/>
                <w:szCs w:val="24"/>
              </w:rPr>
            </w:pPr>
            <w:r>
              <w:rPr>
                <w:rFonts w:hint="eastAsia" w:ascii="仿宋_GB2312" w:hAnsi="宋体" w:eastAsia="仿宋_GB2312" w:cs="宋体"/>
                <w:szCs w:val="24"/>
              </w:rPr>
              <w:t>生活区无专人负责安全管理</w:t>
            </w:r>
          </w:p>
        </w:tc>
        <w:tc>
          <w:tcPr>
            <w:tcW w:w="1559" w:type="dxa"/>
            <w:vAlign w:val="center"/>
          </w:tcPr>
          <w:p w14:paraId="0223E5E4">
            <w:pPr>
              <w:ind w:right="28"/>
              <w:jc w:val="center"/>
              <w:rPr>
                <w:rFonts w:ascii="仿宋_GB2312" w:hAnsi="宋体" w:eastAsia="仿宋_GB2312" w:cs="宋体"/>
                <w:szCs w:val="24"/>
              </w:rPr>
            </w:pPr>
            <w:r>
              <w:rPr>
                <w:rFonts w:hint="eastAsia" w:ascii="仿宋_GB2312" w:hAnsi="宋体" w:eastAsia="仿宋_GB2312" w:cs="宋体"/>
                <w:szCs w:val="24"/>
              </w:rPr>
              <w:t>3000元</w:t>
            </w:r>
          </w:p>
        </w:tc>
        <w:tc>
          <w:tcPr>
            <w:tcW w:w="788" w:type="dxa"/>
          </w:tcPr>
          <w:p w14:paraId="47FAD24E">
            <w:pPr>
              <w:ind w:right="28"/>
              <w:jc w:val="center"/>
              <w:rPr>
                <w:rFonts w:ascii="仿宋_GB2312" w:hAnsi="宋体" w:eastAsia="仿宋_GB2312" w:cs="宋体"/>
                <w:szCs w:val="24"/>
              </w:rPr>
            </w:pPr>
          </w:p>
        </w:tc>
      </w:tr>
      <w:tr w14:paraId="26DD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165EF1">
            <w:pPr>
              <w:ind w:right="28"/>
              <w:jc w:val="center"/>
              <w:rPr>
                <w:rFonts w:ascii="仿宋_GB2312" w:hAnsi="宋体" w:eastAsia="仿宋_GB2312" w:cs="宋体"/>
                <w:szCs w:val="24"/>
              </w:rPr>
            </w:pPr>
            <w:r>
              <w:rPr>
                <w:rFonts w:hint="eastAsia" w:ascii="仿宋_GB2312" w:hAnsi="宋体" w:eastAsia="仿宋_GB2312" w:cs="宋体"/>
                <w:szCs w:val="24"/>
              </w:rPr>
              <w:t>39</w:t>
            </w:r>
          </w:p>
        </w:tc>
        <w:tc>
          <w:tcPr>
            <w:tcW w:w="5245" w:type="dxa"/>
          </w:tcPr>
          <w:p w14:paraId="5033772A">
            <w:pPr>
              <w:ind w:right="28"/>
              <w:jc w:val="center"/>
              <w:rPr>
                <w:rFonts w:ascii="仿宋_GB2312" w:hAnsi="宋体" w:eastAsia="仿宋_GB2312" w:cs="宋体"/>
                <w:szCs w:val="24"/>
              </w:rPr>
            </w:pPr>
            <w:r>
              <w:rPr>
                <w:rFonts w:hint="eastAsia" w:ascii="仿宋_GB2312" w:hAnsi="宋体" w:eastAsia="仿宋_GB2312" w:cs="宋体"/>
                <w:szCs w:val="24"/>
              </w:rPr>
              <w:t>不执行动火作业有关规定，导致现场火灾</w:t>
            </w:r>
          </w:p>
        </w:tc>
        <w:tc>
          <w:tcPr>
            <w:tcW w:w="1559" w:type="dxa"/>
            <w:vAlign w:val="center"/>
          </w:tcPr>
          <w:p w14:paraId="63991079">
            <w:pPr>
              <w:ind w:right="28"/>
              <w:jc w:val="center"/>
              <w:rPr>
                <w:rFonts w:ascii="仿宋_GB2312" w:hAnsi="宋体" w:eastAsia="仿宋_GB2312" w:cs="宋体"/>
                <w:szCs w:val="24"/>
              </w:rPr>
            </w:pPr>
            <w:r>
              <w:rPr>
                <w:rFonts w:hint="eastAsia" w:ascii="仿宋_GB2312" w:hAnsi="宋体" w:eastAsia="仿宋_GB2312" w:cs="宋体"/>
                <w:szCs w:val="24"/>
              </w:rPr>
              <w:t>50000元/次</w:t>
            </w:r>
          </w:p>
        </w:tc>
        <w:tc>
          <w:tcPr>
            <w:tcW w:w="788" w:type="dxa"/>
          </w:tcPr>
          <w:p w14:paraId="43B02CE5">
            <w:pPr>
              <w:ind w:right="28"/>
              <w:jc w:val="center"/>
              <w:rPr>
                <w:rFonts w:ascii="仿宋_GB2312" w:hAnsi="宋体" w:eastAsia="仿宋_GB2312" w:cs="宋体"/>
                <w:szCs w:val="24"/>
              </w:rPr>
            </w:pPr>
          </w:p>
        </w:tc>
      </w:tr>
      <w:tr w14:paraId="741B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40A4409">
            <w:pPr>
              <w:ind w:right="28"/>
              <w:jc w:val="center"/>
              <w:rPr>
                <w:rFonts w:ascii="仿宋_GB2312" w:hAnsi="宋体" w:eastAsia="仿宋_GB2312" w:cs="宋体"/>
                <w:szCs w:val="24"/>
              </w:rPr>
            </w:pPr>
            <w:r>
              <w:rPr>
                <w:rFonts w:hint="eastAsia" w:ascii="仿宋_GB2312" w:hAnsi="宋体" w:eastAsia="仿宋_GB2312" w:cs="宋体"/>
                <w:szCs w:val="24"/>
              </w:rPr>
              <w:t>40</w:t>
            </w:r>
          </w:p>
        </w:tc>
        <w:tc>
          <w:tcPr>
            <w:tcW w:w="5245" w:type="dxa"/>
          </w:tcPr>
          <w:p w14:paraId="1D884550">
            <w:pPr>
              <w:ind w:right="28"/>
              <w:jc w:val="center"/>
              <w:rPr>
                <w:rFonts w:ascii="仿宋_GB2312" w:hAnsi="宋体" w:eastAsia="仿宋_GB2312" w:cs="宋体"/>
                <w:szCs w:val="24"/>
              </w:rPr>
            </w:pPr>
            <w:r>
              <w:rPr>
                <w:rFonts w:hint="eastAsia" w:ascii="仿宋_GB2312" w:hAnsi="宋体" w:eastAsia="仿宋_GB2312" w:cs="宋体"/>
                <w:szCs w:val="24"/>
              </w:rPr>
              <w:t>违反生活区消防管理规定，导致生活区火灾</w:t>
            </w:r>
          </w:p>
        </w:tc>
        <w:tc>
          <w:tcPr>
            <w:tcW w:w="1559" w:type="dxa"/>
            <w:vAlign w:val="center"/>
          </w:tcPr>
          <w:p w14:paraId="14CF699E">
            <w:pPr>
              <w:ind w:right="28"/>
              <w:jc w:val="center"/>
              <w:rPr>
                <w:rFonts w:ascii="仿宋_GB2312" w:hAnsi="宋体" w:eastAsia="仿宋_GB2312" w:cs="宋体"/>
                <w:szCs w:val="24"/>
              </w:rPr>
            </w:pPr>
            <w:r>
              <w:rPr>
                <w:rFonts w:hint="eastAsia" w:ascii="仿宋_GB2312" w:hAnsi="宋体" w:eastAsia="仿宋_GB2312" w:cs="宋体"/>
                <w:szCs w:val="24"/>
              </w:rPr>
              <w:t>50000元/次</w:t>
            </w:r>
          </w:p>
        </w:tc>
        <w:tc>
          <w:tcPr>
            <w:tcW w:w="788" w:type="dxa"/>
          </w:tcPr>
          <w:p w14:paraId="35D1056E">
            <w:pPr>
              <w:ind w:right="28"/>
              <w:jc w:val="center"/>
              <w:rPr>
                <w:rFonts w:ascii="仿宋_GB2312" w:hAnsi="宋体" w:eastAsia="仿宋_GB2312" w:cs="宋体"/>
                <w:szCs w:val="24"/>
              </w:rPr>
            </w:pPr>
          </w:p>
        </w:tc>
      </w:tr>
      <w:tr w14:paraId="6990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B409BA3">
            <w:pPr>
              <w:ind w:right="28"/>
              <w:jc w:val="center"/>
              <w:rPr>
                <w:rFonts w:ascii="仿宋_GB2312" w:hAnsi="宋体" w:eastAsia="仿宋_GB2312" w:cs="宋体"/>
                <w:szCs w:val="24"/>
              </w:rPr>
            </w:pPr>
            <w:r>
              <w:rPr>
                <w:rFonts w:hint="eastAsia" w:ascii="仿宋_GB2312" w:hAnsi="宋体" w:eastAsia="仿宋_GB2312" w:cs="宋体"/>
                <w:szCs w:val="24"/>
              </w:rPr>
              <w:t>41</w:t>
            </w:r>
          </w:p>
        </w:tc>
        <w:tc>
          <w:tcPr>
            <w:tcW w:w="5245" w:type="dxa"/>
          </w:tcPr>
          <w:p w14:paraId="0148406C">
            <w:pPr>
              <w:ind w:right="28"/>
              <w:jc w:val="center"/>
              <w:rPr>
                <w:rFonts w:ascii="仿宋_GB2312" w:hAnsi="宋体" w:eastAsia="仿宋_GB2312" w:cs="宋体"/>
                <w:szCs w:val="24"/>
              </w:rPr>
            </w:pPr>
            <w:r>
              <w:rPr>
                <w:rFonts w:hint="eastAsia" w:ascii="仿宋_GB2312" w:hAnsi="宋体" w:eastAsia="仿宋_GB2312" w:cs="宋体"/>
                <w:szCs w:val="24"/>
              </w:rPr>
              <w:t>违反食堂卫生制度，发生食物中毒事件</w:t>
            </w:r>
          </w:p>
        </w:tc>
        <w:tc>
          <w:tcPr>
            <w:tcW w:w="1559" w:type="dxa"/>
            <w:vAlign w:val="center"/>
          </w:tcPr>
          <w:p w14:paraId="3D610864">
            <w:pPr>
              <w:ind w:right="28"/>
              <w:jc w:val="center"/>
              <w:rPr>
                <w:rFonts w:ascii="仿宋_GB2312" w:hAnsi="宋体" w:eastAsia="仿宋_GB2312" w:cs="宋体"/>
                <w:szCs w:val="24"/>
              </w:rPr>
            </w:pPr>
            <w:r>
              <w:rPr>
                <w:rFonts w:hint="eastAsia" w:ascii="仿宋_GB2312" w:hAnsi="宋体" w:eastAsia="仿宋_GB2312" w:cs="宋体"/>
                <w:szCs w:val="24"/>
              </w:rPr>
              <w:t>50000元/次</w:t>
            </w:r>
          </w:p>
        </w:tc>
        <w:tc>
          <w:tcPr>
            <w:tcW w:w="788" w:type="dxa"/>
          </w:tcPr>
          <w:p w14:paraId="1571523B">
            <w:pPr>
              <w:ind w:right="28"/>
              <w:jc w:val="center"/>
              <w:rPr>
                <w:rFonts w:ascii="仿宋_GB2312" w:hAnsi="宋体" w:eastAsia="仿宋_GB2312" w:cs="宋体"/>
                <w:szCs w:val="24"/>
              </w:rPr>
            </w:pPr>
          </w:p>
        </w:tc>
      </w:tr>
      <w:tr w14:paraId="0E7E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788B12C9">
            <w:pPr>
              <w:ind w:right="28"/>
              <w:jc w:val="center"/>
              <w:rPr>
                <w:rFonts w:ascii="仿宋_GB2312" w:hAnsi="宋体" w:eastAsia="仿宋_GB2312" w:cs="宋体"/>
                <w:szCs w:val="24"/>
              </w:rPr>
            </w:pPr>
            <w:r>
              <w:rPr>
                <w:rFonts w:hint="eastAsia" w:ascii="仿宋_GB2312" w:hAnsi="宋体" w:eastAsia="仿宋_GB2312" w:cs="宋体"/>
                <w:szCs w:val="24"/>
              </w:rPr>
              <w:t>...</w:t>
            </w:r>
          </w:p>
        </w:tc>
        <w:tc>
          <w:tcPr>
            <w:tcW w:w="5245" w:type="dxa"/>
          </w:tcPr>
          <w:p w14:paraId="78439726">
            <w:pPr>
              <w:ind w:right="28"/>
              <w:jc w:val="center"/>
              <w:rPr>
                <w:rFonts w:ascii="仿宋_GB2312" w:hAnsi="宋体" w:eastAsia="仿宋_GB2312" w:cs="宋体"/>
                <w:szCs w:val="24"/>
              </w:rPr>
            </w:pPr>
          </w:p>
        </w:tc>
        <w:tc>
          <w:tcPr>
            <w:tcW w:w="1559" w:type="dxa"/>
          </w:tcPr>
          <w:p w14:paraId="6C6786EC">
            <w:pPr>
              <w:ind w:right="28"/>
              <w:jc w:val="center"/>
              <w:rPr>
                <w:rFonts w:ascii="仿宋_GB2312" w:hAnsi="宋体" w:eastAsia="仿宋_GB2312" w:cs="宋体"/>
                <w:szCs w:val="24"/>
              </w:rPr>
            </w:pPr>
          </w:p>
        </w:tc>
        <w:tc>
          <w:tcPr>
            <w:tcW w:w="788" w:type="dxa"/>
          </w:tcPr>
          <w:p w14:paraId="32BFABFD">
            <w:pPr>
              <w:ind w:right="28"/>
              <w:jc w:val="center"/>
              <w:rPr>
                <w:rFonts w:ascii="仿宋_GB2312" w:hAnsi="宋体" w:eastAsia="仿宋_GB2312" w:cs="宋体"/>
                <w:szCs w:val="24"/>
              </w:rPr>
            </w:pPr>
          </w:p>
        </w:tc>
      </w:tr>
    </w:tbl>
    <w:p w14:paraId="0200851A">
      <w:pPr>
        <w:widowControl/>
        <w:jc w:val="left"/>
        <w:rPr>
          <w:color w:val="000000" w:themeColor="text1"/>
          <w14:textFill>
            <w14:solidFill>
              <w14:schemeClr w14:val="tx1"/>
            </w14:solidFill>
          </w14:textFill>
        </w:rPr>
      </w:pPr>
    </w:p>
    <w:p w14:paraId="4CA10A45">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D129783">
      <w:pPr>
        <w:spacing w:line="520" w:lineRule="exact"/>
        <w:outlineLvl w:val="0"/>
        <w:rPr>
          <w:rFonts w:ascii="Cambria" w:hAnsi="Cambria"/>
          <w:b/>
          <w:bCs/>
          <w:color w:val="000000" w:themeColor="text1"/>
          <w:sz w:val="30"/>
          <w:szCs w:val="30"/>
          <w14:textFill>
            <w14:solidFill>
              <w14:schemeClr w14:val="tx1"/>
            </w14:solidFill>
          </w14:textFill>
        </w:rPr>
      </w:pPr>
      <w:bookmarkStart w:id="1222" w:name="_Toc6253"/>
      <w:bookmarkStart w:id="1223" w:name="_Toc23954"/>
      <w:bookmarkStart w:id="1224" w:name="_Toc9146"/>
      <w:r>
        <w:rPr>
          <w:rFonts w:hint="eastAsia" w:ascii="Cambria" w:hAnsi="Cambria"/>
          <w:b/>
          <w:bCs/>
          <w:color w:val="000000" w:themeColor="text1"/>
          <w:sz w:val="30"/>
          <w:szCs w:val="30"/>
          <w14:textFill>
            <w14:solidFill>
              <w14:schemeClr w14:val="tx1"/>
            </w14:solidFill>
          </w14:textFill>
        </w:rPr>
        <w:t>附件</w:t>
      </w:r>
      <w:r>
        <w:rPr>
          <w:rFonts w:ascii="Cambria" w:hAnsi="Cambria"/>
          <w:b/>
          <w:bCs/>
          <w:color w:val="000000" w:themeColor="text1"/>
          <w:sz w:val="30"/>
          <w:szCs w:val="30"/>
          <w14:textFill>
            <w14:solidFill>
              <w14:schemeClr w14:val="tx1"/>
            </w14:solidFill>
          </w14:textFill>
        </w:rPr>
        <w:t>8</w:t>
      </w:r>
      <w:r>
        <w:rPr>
          <w:rFonts w:hint="eastAsia" w:ascii="Cambria" w:hAnsi="Cambria"/>
          <w:b/>
          <w:bCs/>
          <w:color w:val="000000" w:themeColor="text1"/>
          <w:sz w:val="30"/>
          <w:szCs w:val="30"/>
          <w14:textFill>
            <w14:solidFill>
              <w14:schemeClr w14:val="tx1"/>
            </w14:solidFill>
          </w14:textFill>
        </w:rPr>
        <w:t xml:space="preserve"> 项目管理班子及其他管理人员配备情况表</w:t>
      </w:r>
      <w:bookmarkEnd w:id="1222"/>
      <w:r>
        <w:rPr>
          <w:rFonts w:hint="eastAsia" w:ascii="Cambria" w:hAnsi="Cambria"/>
          <w:b/>
          <w:bCs/>
          <w:color w:val="000000" w:themeColor="text1"/>
          <w:sz w:val="30"/>
          <w:szCs w:val="30"/>
          <w14:textFill>
            <w14:solidFill>
              <w14:schemeClr w14:val="tx1"/>
            </w14:solidFill>
          </w14:textFill>
        </w:rPr>
        <w:t>（按投标文件）</w:t>
      </w:r>
      <w:bookmarkEnd w:id="1223"/>
      <w:bookmarkEnd w:id="1224"/>
    </w:p>
    <w:p w14:paraId="7C885F3C">
      <w:pPr>
        <w:spacing w:line="520" w:lineRule="exact"/>
        <w:rPr>
          <w:rFonts w:ascii="Cambria" w:hAnsi="Cambria"/>
          <w:b/>
          <w:bCs/>
          <w:color w:val="000000" w:themeColor="text1"/>
          <w:sz w:val="30"/>
          <w:szCs w:val="30"/>
          <w14:textFill>
            <w14:solidFill>
              <w14:schemeClr w14:val="tx1"/>
            </w14:solidFill>
          </w14:textFill>
        </w:rPr>
      </w:pPr>
    </w:p>
    <w:p w14:paraId="29531B24">
      <w:pPr>
        <w:rPr>
          <w:color w:val="000000" w:themeColor="text1"/>
          <w14:textFill>
            <w14:solidFill>
              <w14:schemeClr w14:val="tx1"/>
            </w14:solidFill>
          </w14:textFill>
        </w:rPr>
      </w:pPr>
    </w:p>
    <w:p w14:paraId="5862C658">
      <w:pPr>
        <w:rPr>
          <w:rFonts w:ascii="Cambria" w:hAnsi="Cambria"/>
          <w:b/>
          <w:bCs/>
          <w:color w:val="000000" w:themeColor="text1"/>
          <w:sz w:val="30"/>
          <w:szCs w:val="30"/>
          <w14:textFill>
            <w14:solidFill>
              <w14:schemeClr w14:val="tx1"/>
            </w14:solidFill>
          </w14:textFill>
        </w:rPr>
      </w:pPr>
      <w:bookmarkStart w:id="1225" w:name="_Toc29346"/>
      <w:bookmarkStart w:id="1226" w:name="_Toc32402"/>
      <w:r>
        <w:rPr>
          <w:rFonts w:hint="eastAsia" w:ascii="Cambria" w:hAnsi="Cambria"/>
          <w:b/>
          <w:bCs/>
          <w:color w:val="000000" w:themeColor="text1"/>
          <w:sz w:val="30"/>
          <w:szCs w:val="30"/>
          <w14:textFill>
            <w14:solidFill>
              <w14:schemeClr w14:val="tx1"/>
            </w14:solidFill>
          </w14:textFill>
        </w:rPr>
        <w:br w:type="page"/>
      </w:r>
    </w:p>
    <w:p w14:paraId="39BAD1D7">
      <w:pPr>
        <w:spacing w:line="520" w:lineRule="exact"/>
        <w:outlineLvl w:val="0"/>
        <w:rPr>
          <w:color w:val="000000" w:themeColor="text1"/>
          <w14:textFill>
            <w14:solidFill>
              <w14:schemeClr w14:val="tx1"/>
            </w14:solidFill>
          </w14:textFill>
        </w:rPr>
      </w:pPr>
      <w:bookmarkStart w:id="1227" w:name="_Toc13900"/>
      <w:r>
        <w:rPr>
          <w:rFonts w:hint="eastAsia" w:ascii="Cambria" w:hAnsi="Cambria"/>
          <w:b/>
          <w:bCs/>
          <w:color w:val="000000" w:themeColor="text1"/>
          <w:sz w:val="30"/>
          <w:szCs w:val="30"/>
          <w14:textFill>
            <w14:solidFill>
              <w14:schemeClr w14:val="tx1"/>
            </w14:solidFill>
          </w14:textFill>
        </w:rPr>
        <w:t>附件</w:t>
      </w:r>
      <w:r>
        <w:rPr>
          <w:rFonts w:ascii="Cambria" w:hAnsi="Cambria"/>
          <w:b/>
          <w:bCs/>
          <w:color w:val="000000" w:themeColor="text1"/>
          <w:sz w:val="30"/>
          <w:szCs w:val="30"/>
          <w14:textFill>
            <w14:solidFill>
              <w14:schemeClr w14:val="tx1"/>
            </w14:solidFill>
          </w14:textFill>
        </w:rPr>
        <w:t>9</w:t>
      </w:r>
      <w:r>
        <w:rPr>
          <w:rFonts w:hint="eastAsia" w:ascii="Cambria" w:hAnsi="Cambria"/>
          <w:b/>
          <w:bCs/>
          <w:color w:val="000000" w:themeColor="text1"/>
          <w:sz w:val="30"/>
          <w:szCs w:val="30"/>
          <w14:textFill>
            <w14:solidFill>
              <w14:schemeClr w14:val="tx1"/>
            </w14:solidFill>
          </w14:textFill>
        </w:rPr>
        <w:t xml:space="preserve"> 主要施工机械设备表</w:t>
      </w:r>
      <w:bookmarkEnd w:id="1225"/>
      <w:r>
        <w:rPr>
          <w:rFonts w:hint="eastAsia" w:ascii="Cambria" w:hAnsi="Cambria"/>
          <w:b/>
          <w:bCs/>
          <w:color w:val="000000" w:themeColor="text1"/>
          <w:sz w:val="30"/>
          <w:szCs w:val="30"/>
          <w14:textFill>
            <w14:solidFill>
              <w14:schemeClr w14:val="tx1"/>
            </w14:solidFill>
          </w14:textFill>
        </w:rPr>
        <w:t>（按投标文件）</w:t>
      </w:r>
      <w:bookmarkEnd w:id="1226"/>
      <w:bookmarkEnd w:id="1227"/>
    </w:p>
    <w:p w14:paraId="5276189C">
      <w:pPr>
        <w:rPr>
          <w:color w:val="000000" w:themeColor="text1"/>
          <w14:textFill>
            <w14:solidFill>
              <w14:schemeClr w14:val="tx1"/>
            </w14:solidFill>
          </w14:textFill>
        </w:rPr>
      </w:pPr>
    </w:p>
    <w:p w14:paraId="6C44A3E6">
      <w:pPr>
        <w:rPr>
          <w:color w:val="000000" w:themeColor="text1"/>
          <w14:textFill>
            <w14:solidFill>
              <w14:schemeClr w14:val="tx1"/>
            </w14:solidFill>
          </w14:textFill>
        </w:rPr>
      </w:pPr>
    </w:p>
    <w:p w14:paraId="6DD500ED">
      <w:pPr>
        <w:rPr>
          <w:rFonts w:ascii="Cambria" w:hAnsi="Cambria"/>
          <w:b/>
          <w:bCs/>
          <w:color w:val="000000" w:themeColor="text1"/>
          <w:sz w:val="30"/>
          <w:szCs w:val="30"/>
          <w14:textFill>
            <w14:solidFill>
              <w14:schemeClr w14:val="tx1"/>
            </w14:solidFill>
          </w14:textFill>
        </w:rPr>
      </w:pPr>
      <w:bookmarkStart w:id="1228" w:name="_Toc32709"/>
      <w:r>
        <w:rPr>
          <w:rFonts w:ascii="Cambria" w:hAnsi="Cambria"/>
          <w:b/>
          <w:bCs/>
          <w:color w:val="000000" w:themeColor="text1"/>
          <w:sz w:val="30"/>
          <w:szCs w:val="30"/>
          <w14:textFill>
            <w14:solidFill>
              <w14:schemeClr w14:val="tx1"/>
            </w14:solidFill>
          </w14:textFill>
        </w:rPr>
        <w:br w:type="page"/>
      </w:r>
    </w:p>
    <w:p w14:paraId="68546784">
      <w:pPr>
        <w:spacing w:line="520" w:lineRule="exact"/>
        <w:outlineLvl w:val="0"/>
        <w:rPr>
          <w:rFonts w:ascii="Cambria" w:hAnsi="Cambria"/>
          <w:b/>
          <w:bCs/>
          <w:color w:val="000000" w:themeColor="text1"/>
          <w:sz w:val="30"/>
          <w:szCs w:val="30"/>
          <w14:textFill>
            <w14:solidFill>
              <w14:schemeClr w14:val="tx1"/>
            </w14:solidFill>
          </w14:textFill>
        </w:rPr>
      </w:pPr>
      <w:bookmarkStart w:id="1229" w:name="_Toc5201"/>
      <w:r>
        <w:rPr>
          <w:rFonts w:ascii="Cambria" w:hAnsi="Cambria"/>
          <w:b/>
          <w:bCs/>
          <w:color w:val="000000" w:themeColor="text1"/>
          <w:sz w:val="30"/>
          <w:szCs w:val="30"/>
          <w14:textFill>
            <w14:solidFill>
              <w14:schemeClr w14:val="tx1"/>
            </w14:solidFill>
          </w14:textFill>
        </w:rPr>
        <w:t>附件</w:t>
      </w:r>
      <w:r>
        <w:rPr>
          <w:rFonts w:hint="eastAsia" w:ascii="Cambria" w:hAnsi="Cambria"/>
          <w:b/>
          <w:bCs/>
          <w:color w:val="000000" w:themeColor="text1"/>
          <w:sz w:val="30"/>
          <w:szCs w:val="30"/>
          <w14:textFill>
            <w14:solidFill>
              <w14:schemeClr w14:val="tx1"/>
            </w14:solidFill>
          </w14:textFill>
        </w:rPr>
        <w:t>1</w:t>
      </w:r>
      <w:r>
        <w:rPr>
          <w:rFonts w:ascii="Cambria" w:hAnsi="Cambria"/>
          <w:b/>
          <w:bCs/>
          <w:color w:val="000000" w:themeColor="text1"/>
          <w:sz w:val="30"/>
          <w:szCs w:val="30"/>
          <w14:textFill>
            <w14:solidFill>
              <w14:schemeClr w14:val="tx1"/>
            </w14:solidFill>
          </w14:textFill>
        </w:rPr>
        <w:t>0 履约评价办法</w:t>
      </w:r>
      <w:bookmarkEnd w:id="1228"/>
      <w:bookmarkEnd w:id="1229"/>
    </w:p>
    <w:p w14:paraId="3EC2FF9F">
      <w:pPr>
        <w:widowControl/>
        <w:adjustRightInd w:val="0"/>
        <w:snapToGrid w:val="0"/>
        <w:spacing w:line="360" w:lineRule="exact"/>
        <w:jc w:val="center"/>
        <w:rPr>
          <w:rFonts w:ascii="等线" w:hAnsi="等线" w:eastAsia="等线" w:cs="宋体"/>
          <w:b/>
          <w:bCs/>
          <w:kern w:val="0"/>
          <w:sz w:val="28"/>
          <w:szCs w:val="28"/>
        </w:rPr>
      </w:pPr>
      <w:r>
        <w:rPr>
          <w:rFonts w:hint="eastAsia" w:ascii="等线" w:hAnsi="等线" w:eastAsia="等线" w:cs="宋体"/>
          <w:b/>
          <w:bCs/>
          <w:kern w:val="0"/>
          <w:sz w:val="28"/>
          <w:szCs w:val="28"/>
        </w:rPr>
        <w:t>劳务分包商、专业工程分包商项目考核评分表</w:t>
      </w:r>
    </w:p>
    <w:tbl>
      <w:tblPr>
        <w:tblStyle w:val="41"/>
        <w:tblW w:w="9588" w:type="dxa"/>
        <w:jc w:val="center"/>
        <w:tblLayout w:type="fixed"/>
        <w:tblCellMar>
          <w:top w:w="0" w:type="dxa"/>
          <w:left w:w="30" w:type="dxa"/>
          <w:bottom w:w="0" w:type="dxa"/>
          <w:right w:w="30" w:type="dxa"/>
        </w:tblCellMar>
      </w:tblPr>
      <w:tblGrid>
        <w:gridCol w:w="75"/>
        <w:gridCol w:w="635"/>
        <w:gridCol w:w="654"/>
        <w:gridCol w:w="774"/>
        <w:gridCol w:w="449"/>
        <w:gridCol w:w="2100"/>
        <w:gridCol w:w="70"/>
        <w:gridCol w:w="1032"/>
        <w:gridCol w:w="790"/>
        <w:gridCol w:w="687"/>
        <w:gridCol w:w="1534"/>
        <w:gridCol w:w="788"/>
      </w:tblGrid>
      <w:tr w14:paraId="3DEFCFA3">
        <w:tblPrEx>
          <w:tblCellMar>
            <w:top w:w="0" w:type="dxa"/>
            <w:left w:w="30" w:type="dxa"/>
            <w:bottom w:w="0" w:type="dxa"/>
            <w:right w:w="30" w:type="dxa"/>
          </w:tblCellMar>
        </w:tblPrEx>
        <w:trPr>
          <w:gridBefore w:val="1"/>
          <w:gridAfter w:val="1"/>
          <w:wBefore w:w="75" w:type="dxa"/>
          <w:wAfter w:w="788" w:type="dxa"/>
          <w:trHeight w:val="320" w:hRule="atLeast"/>
          <w:jc w:val="center"/>
        </w:trPr>
        <w:tc>
          <w:tcPr>
            <w:tcW w:w="8725" w:type="dxa"/>
            <w:gridSpan w:val="10"/>
            <w:tcBorders>
              <w:top w:val="nil"/>
              <w:left w:val="nil"/>
              <w:bottom w:val="nil"/>
              <w:right w:val="nil"/>
            </w:tcBorders>
          </w:tcPr>
          <w:p w14:paraId="0791C4AE">
            <w:pPr>
              <w:widowControl/>
              <w:autoSpaceDE w:val="0"/>
              <w:autoSpaceDN w:val="0"/>
              <w:adjustRightInd w:val="0"/>
              <w:snapToGrid w:val="0"/>
              <w:spacing w:line="360" w:lineRule="exact"/>
              <w:jc w:val="left"/>
              <w:textAlignment w:val="bottom"/>
              <w:rPr>
                <w:rFonts w:ascii="仿宋_GB2312" w:hAnsi="Times New Roman" w:eastAsia="仿宋_GB2312"/>
                <w:kern w:val="0"/>
                <w:sz w:val="22"/>
              </w:rPr>
            </w:pPr>
            <w:r>
              <w:rPr>
                <w:rFonts w:hint="eastAsia" w:ascii="仿宋_GB2312" w:hAnsi="Times New Roman" w:eastAsia="仿宋_GB2312"/>
                <w:kern w:val="0"/>
                <w:sz w:val="22"/>
              </w:rPr>
              <w:t>主办单位：                                               文件编号：</w:t>
            </w:r>
          </w:p>
        </w:tc>
      </w:tr>
      <w:tr w14:paraId="24010D06">
        <w:tblPrEx>
          <w:tblCellMar>
            <w:top w:w="0" w:type="dxa"/>
            <w:left w:w="30" w:type="dxa"/>
            <w:bottom w:w="0" w:type="dxa"/>
            <w:right w:w="30" w:type="dxa"/>
          </w:tblCellMar>
        </w:tblPrEx>
        <w:trPr>
          <w:gridBefore w:val="1"/>
          <w:gridAfter w:val="1"/>
          <w:wBefore w:w="75" w:type="dxa"/>
          <w:wAfter w:w="788" w:type="dxa"/>
          <w:trHeight w:val="320" w:hRule="atLeast"/>
          <w:jc w:val="center"/>
        </w:trPr>
        <w:tc>
          <w:tcPr>
            <w:tcW w:w="8725" w:type="dxa"/>
            <w:gridSpan w:val="10"/>
            <w:tcBorders>
              <w:top w:val="nil"/>
              <w:left w:val="nil"/>
              <w:bottom w:val="single" w:color="auto" w:sz="6" w:space="0"/>
              <w:right w:val="nil"/>
            </w:tcBorders>
          </w:tcPr>
          <w:p w14:paraId="38D17854">
            <w:pPr>
              <w:widowControl/>
              <w:autoSpaceDE w:val="0"/>
              <w:autoSpaceDN w:val="0"/>
              <w:adjustRightInd w:val="0"/>
              <w:snapToGrid w:val="0"/>
              <w:spacing w:line="360" w:lineRule="exact"/>
              <w:jc w:val="left"/>
              <w:textAlignment w:val="bottom"/>
              <w:rPr>
                <w:rFonts w:ascii="仿宋_GB2312" w:hAnsi="Times New Roman" w:eastAsia="仿宋_GB2312"/>
                <w:kern w:val="0"/>
                <w:sz w:val="22"/>
              </w:rPr>
            </w:pPr>
            <w:r>
              <w:rPr>
                <w:rFonts w:hint="eastAsia" w:ascii="仿宋_GB2312" w:hAnsi="Times New Roman" w:eastAsia="仿宋_GB2312"/>
                <w:kern w:val="0"/>
                <w:sz w:val="22"/>
              </w:rPr>
              <w:t>填写时间：    年  月  日               单位名称：</w:t>
            </w:r>
          </w:p>
        </w:tc>
      </w:tr>
      <w:tr w14:paraId="723257CE">
        <w:tblPrEx>
          <w:tblCellMar>
            <w:top w:w="0" w:type="dxa"/>
            <w:left w:w="30" w:type="dxa"/>
            <w:bottom w:w="0" w:type="dxa"/>
            <w:right w:w="30" w:type="dxa"/>
          </w:tblCellMar>
        </w:tblPrEx>
        <w:trPr>
          <w:cantSplit/>
          <w:trHeight w:val="389" w:hRule="atLeast"/>
          <w:jc w:val="center"/>
        </w:trPr>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4A9E1A">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现场负责人</w:t>
            </w:r>
          </w:p>
        </w:tc>
        <w:tc>
          <w:tcPr>
            <w:tcW w:w="3393"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2C773A7">
            <w:pPr>
              <w:adjustRightInd w:val="0"/>
              <w:snapToGrid w:val="0"/>
              <w:spacing w:line="360" w:lineRule="exact"/>
              <w:jc w:val="center"/>
              <w:rPr>
                <w:rFonts w:ascii="仿宋_GB2312" w:hAnsi="Times New Roman" w:eastAsia="仿宋_GB2312"/>
                <w:sz w:val="20"/>
                <w:szCs w:val="20"/>
              </w:rPr>
            </w:pPr>
          </w:p>
        </w:tc>
        <w:tc>
          <w:tcPr>
            <w:tcW w:w="1822"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A9C87F2">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联系方式</w:t>
            </w:r>
          </w:p>
        </w:tc>
        <w:tc>
          <w:tcPr>
            <w:tcW w:w="300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2E7E01C">
            <w:pPr>
              <w:adjustRightInd w:val="0"/>
              <w:snapToGrid w:val="0"/>
              <w:spacing w:line="360" w:lineRule="exact"/>
              <w:jc w:val="center"/>
              <w:rPr>
                <w:rFonts w:ascii="仿宋_GB2312" w:hAnsi="Times New Roman" w:eastAsia="仿宋_GB2312"/>
                <w:sz w:val="20"/>
                <w:szCs w:val="20"/>
              </w:rPr>
            </w:pPr>
          </w:p>
        </w:tc>
      </w:tr>
      <w:tr w14:paraId="4DD9D12C">
        <w:tblPrEx>
          <w:tblCellMar>
            <w:top w:w="0" w:type="dxa"/>
            <w:left w:w="30" w:type="dxa"/>
            <w:bottom w:w="0" w:type="dxa"/>
            <w:right w:w="30" w:type="dxa"/>
          </w:tblCellMar>
        </w:tblPrEx>
        <w:trPr>
          <w:cantSplit/>
          <w:trHeight w:val="473" w:hRule="atLeast"/>
          <w:jc w:val="center"/>
        </w:trPr>
        <w:tc>
          <w:tcPr>
            <w:tcW w:w="7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BBE34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序</w:t>
            </w:r>
          </w:p>
          <w:p w14:paraId="6B70DDF5">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号</w:t>
            </w:r>
          </w:p>
        </w:tc>
        <w:tc>
          <w:tcPr>
            <w:tcW w:w="65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6F49145">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考核</w:t>
            </w:r>
          </w:p>
          <w:p w14:paraId="4CE7A8C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内容</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30DEE8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评分标准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D70562B">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考核得分</w:t>
            </w:r>
          </w:p>
        </w:tc>
        <w:tc>
          <w:tcPr>
            <w:tcW w:w="2322"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32A1BC1">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考核</w:t>
            </w:r>
          </w:p>
          <w:p w14:paraId="79F7D8F6">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意见</w:t>
            </w:r>
          </w:p>
        </w:tc>
      </w:tr>
      <w:tr w14:paraId="23789847">
        <w:tblPrEx>
          <w:tblCellMar>
            <w:top w:w="0" w:type="dxa"/>
            <w:left w:w="30" w:type="dxa"/>
            <w:bottom w:w="0" w:type="dxa"/>
            <w:right w:w="30" w:type="dxa"/>
          </w:tblCellMar>
        </w:tblPrEx>
        <w:trPr>
          <w:cantSplit/>
          <w:trHeight w:val="473" w:hRule="atLeast"/>
          <w:jc w:val="center"/>
        </w:trPr>
        <w:tc>
          <w:tcPr>
            <w:tcW w:w="710"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29069ED2">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1</w:t>
            </w:r>
          </w:p>
        </w:tc>
        <w:tc>
          <w:tcPr>
            <w:tcW w:w="654"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14:paraId="5BA6B29A">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队伍</w:t>
            </w:r>
          </w:p>
          <w:p w14:paraId="58E80D76">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整体</w:t>
            </w:r>
          </w:p>
          <w:p w14:paraId="7C057E97">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素质</w:t>
            </w:r>
          </w:p>
          <w:p w14:paraId="2DF30B2A">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及两制管理</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BAA4D75">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（1）是否法人直营（1分），是否挂靠单位（如为挂靠-20分）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69E600">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nil"/>
              <w:left w:val="nil"/>
              <w:bottom w:val="single" w:color="auto" w:sz="4" w:space="0"/>
              <w:right w:val="single" w:color="auto" w:sz="4" w:space="0"/>
            </w:tcBorders>
            <w:tcMar>
              <w:top w:w="0" w:type="dxa"/>
              <w:left w:w="108" w:type="dxa"/>
              <w:bottom w:w="0" w:type="dxa"/>
              <w:right w:w="108" w:type="dxa"/>
            </w:tcMar>
          </w:tcPr>
          <w:p w14:paraId="4AFE734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生产主管部门负责人：</w:t>
            </w:r>
          </w:p>
        </w:tc>
      </w:tr>
      <w:tr w14:paraId="2C3EF1CA">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EB5D7AD">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F2D7A44">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6399169">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（2）各工种管理人员是否按合同要求配备到位并持证上岗，技术工人水平良好，劳务/专业单位是否建立企业对项目质量安全保证体系并实施（3分）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AD2082A">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8E2F39A">
            <w:pPr>
              <w:widowControl/>
              <w:spacing w:beforeAutospacing="1" w:afterAutospacing="1"/>
              <w:jc w:val="left"/>
              <w:rPr>
                <w:rFonts w:ascii="仿宋_GB2312" w:hAnsi="Times New Roman" w:eastAsia="仿宋_GB2312"/>
                <w:sz w:val="20"/>
                <w:szCs w:val="20"/>
              </w:rPr>
            </w:pPr>
          </w:p>
        </w:tc>
      </w:tr>
      <w:tr w14:paraId="465D3964">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0BF74A97">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6DEC55B">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8C9356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（3）特殊工种持证率100%（1分）；持证率80%（0.5分）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91D5601">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63D45F9">
            <w:pPr>
              <w:widowControl/>
              <w:spacing w:beforeAutospacing="1" w:afterAutospacing="1"/>
              <w:jc w:val="left"/>
              <w:rPr>
                <w:rFonts w:ascii="仿宋_GB2312" w:hAnsi="Times New Roman" w:eastAsia="仿宋_GB2312"/>
                <w:sz w:val="20"/>
                <w:szCs w:val="20"/>
              </w:rPr>
            </w:pPr>
          </w:p>
        </w:tc>
      </w:tr>
      <w:tr w14:paraId="3551B771">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1E35843E">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94F29CB">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5AC263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（4）劳务工人劳动合同签订（1分）；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965649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31C821A5">
            <w:pPr>
              <w:widowControl/>
              <w:spacing w:beforeAutospacing="1" w:afterAutospacing="1"/>
              <w:jc w:val="left"/>
              <w:rPr>
                <w:rFonts w:ascii="仿宋_GB2312" w:hAnsi="Times New Roman" w:eastAsia="仿宋_GB2312"/>
                <w:sz w:val="20"/>
                <w:szCs w:val="20"/>
              </w:rPr>
            </w:pPr>
          </w:p>
        </w:tc>
      </w:tr>
      <w:tr w14:paraId="32B2A8B3">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7DC7BB4E">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01C18FF">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A660F6E">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（5）实名制管理实施专人管理（1分）；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34FEE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71573A3">
            <w:pPr>
              <w:widowControl/>
              <w:spacing w:beforeAutospacing="1" w:afterAutospacing="1"/>
              <w:jc w:val="left"/>
              <w:rPr>
                <w:rFonts w:ascii="仿宋_GB2312" w:hAnsi="Times New Roman" w:eastAsia="仿宋_GB2312"/>
                <w:sz w:val="20"/>
                <w:szCs w:val="20"/>
              </w:rPr>
            </w:pPr>
          </w:p>
        </w:tc>
      </w:tr>
      <w:tr w14:paraId="7017511D">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A132FB6">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EF51FA8">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76DD51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（6）不得随意更换已进入现场熟练技术工人，实际进出人员÷现有作业人员≤20%（1分）；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6FFE296">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74ED43E">
            <w:pPr>
              <w:widowControl/>
              <w:spacing w:beforeAutospacing="1" w:afterAutospacing="1"/>
              <w:jc w:val="left"/>
              <w:rPr>
                <w:rFonts w:ascii="仿宋_GB2312" w:hAnsi="Times New Roman" w:eastAsia="仿宋_GB2312"/>
                <w:sz w:val="20"/>
                <w:szCs w:val="20"/>
              </w:rPr>
            </w:pPr>
          </w:p>
        </w:tc>
      </w:tr>
      <w:tr w14:paraId="5AFC7D62">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0AB09AE">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9CA4275">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4F06D75">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（7）是否按国家有关规定及时给工人购买人身意外保险，覆盖率100%（1分）；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596EC3E">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1EE98F51">
            <w:pPr>
              <w:widowControl/>
              <w:spacing w:beforeAutospacing="1" w:afterAutospacing="1"/>
              <w:jc w:val="left"/>
              <w:rPr>
                <w:rFonts w:ascii="仿宋_GB2312" w:hAnsi="Times New Roman" w:eastAsia="仿宋_GB2312"/>
                <w:sz w:val="20"/>
                <w:szCs w:val="20"/>
              </w:rPr>
            </w:pPr>
          </w:p>
        </w:tc>
      </w:tr>
      <w:tr w14:paraId="47382075">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34F1B1BC">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E44F0EC">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E405C8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（8）配备作业人员数量能够根据施工计划满足每月施工要求（3分）；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B792418">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7CC54CA7">
            <w:pPr>
              <w:widowControl/>
              <w:spacing w:beforeAutospacing="1" w:afterAutospacing="1"/>
              <w:jc w:val="left"/>
              <w:rPr>
                <w:rFonts w:ascii="仿宋_GB2312" w:hAnsi="Times New Roman" w:eastAsia="仿宋_GB2312"/>
                <w:sz w:val="20"/>
                <w:szCs w:val="20"/>
              </w:rPr>
            </w:pPr>
          </w:p>
        </w:tc>
      </w:tr>
      <w:tr w14:paraId="022008DC">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72164A4D">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9C1A480">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BFA555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（9）工资发放台帐备案是否及时，并签字盖章规范（1分）；与劳动合同要求资料是否一致（1分）；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98852FD">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4F969CA4">
            <w:pPr>
              <w:widowControl/>
              <w:spacing w:beforeAutospacing="1" w:afterAutospacing="1"/>
              <w:jc w:val="left"/>
              <w:rPr>
                <w:rFonts w:ascii="仿宋_GB2312" w:hAnsi="Times New Roman" w:eastAsia="仿宋_GB2312"/>
                <w:sz w:val="20"/>
                <w:szCs w:val="20"/>
              </w:rPr>
            </w:pPr>
          </w:p>
        </w:tc>
      </w:tr>
      <w:tr w14:paraId="60DD221D">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FB2181F">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0C60F11">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6D2356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（10）签订《安全生产协议》等各类合同是否及时（2分）；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2D4A997">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FAFA1EC">
            <w:pPr>
              <w:widowControl/>
              <w:spacing w:beforeAutospacing="1" w:afterAutospacing="1"/>
              <w:jc w:val="left"/>
              <w:rPr>
                <w:rFonts w:ascii="仿宋_GB2312" w:hAnsi="Times New Roman" w:eastAsia="仿宋_GB2312"/>
                <w:sz w:val="20"/>
                <w:szCs w:val="20"/>
              </w:rPr>
            </w:pPr>
          </w:p>
        </w:tc>
      </w:tr>
      <w:tr w14:paraId="30C26F58">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A8E28F6">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1CA1436E">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53AACF8">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（11）工伤保险办理是否及时（1分）；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F18FBC4">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18D7B632">
            <w:pPr>
              <w:widowControl/>
              <w:spacing w:beforeAutospacing="1" w:afterAutospacing="1"/>
              <w:jc w:val="left"/>
              <w:rPr>
                <w:rFonts w:ascii="仿宋_GB2312" w:hAnsi="Times New Roman" w:eastAsia="仿宋_GB2312"/>
                <w:sz w:val="20"/>
                <w:szCs w:val="20"/>
              </w:rPr>
            </w:pPr>
          </w:p>
        </w:tc>
      </w:tr>
      <w:tr w14:paraId="77FA5D4C">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E0004B7">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6CA4E9D4">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118BEAA">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（12）工资预留帐户建立是否真实有效（1分）；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982B04">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7DDD7F99">
            <w:pPr>
              <w:widowControl/>
              <w:spacing w:beforeAutospacing="1" w:afterAutospacing="1"/>
              <w:jc w:val="left"/>
              <w:rPr>
                <w:rFonts w:ascii="仿宋_GB2312" w:hAnsi="Times New Roman" w:eastAsia="仿宋_GB2312"/>
                <w:sz w:val="20"/>
                <w:szCs w:val="20"/>
              </w:rPr>
            </w:pPr>
          </w:p>
        </w:tc>
      </w:tr>
      <w:tr w14:paraId="49F0DAEF">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141E213">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E3C855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5BE9CF8">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（13）提供月度劳务工人出勤考勤表，资料及时并签字盖章规范清晰（1分）；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8818C4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1A648DD8">
            <w:pPr>
              <w:widowControl/>
              <w:spacing w:beforeAutospacing="1" w:afterAutospacing="1"/>
              <w:jc w:val="left"/>
              <w:rPr>
                <w:rFonts w:ascii="仿宋_GB2312" w:hAnsi="Times New Roman" w:eastAsia="仿宋_GB2312"/>
                <w:sz w:val="20"/>
                <w:szCs w:val="20"/>
              </w:rPr>
            </w:pPr>
          </w:p>
        </w:tc>
      </w:tr>
      <w:tr w14:paraId="39C3B311">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0C65041B">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1173706">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F2BDA6B">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（14）工人花名册是否按月度调整及时上报总包方（1分）；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22FF107">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D693DDD">
            <w:pPr>
              <w:widowControl/>
              <w:spacing w:beforeAutospacing="1" w:afterAutospacing="1"/>
              <w:jc w:val="left"/>
              <w:rPr>
                <w:rFonts w:ascii="仿宋_GB2312" w:hAnsi="Times New Roman" w:eastAsia="仿宋_GB2312"/>
                <w:sz w:val="20"/>
                <w:szCs w:val="20"/>
              </w:rPr>
            </w:pPr>
          </w:p>
        </w:tc>
      </w:tr>
      <w:tr w14:paraId="71B1D313">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8E7D1CB">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5C8F2D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A982DA">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总分20分，合计得分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959626C">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7F1E2BCC">
            <w:pPr>
              <w:widowControl/>
              <w:spacing w:beforeAutospacing="1" w:afterAutospacing="1"/>
              <w:jc w:val="left"/>
              <w:rPr>
                <w:rFonts w:ascii="仿宋_GB2312" w:hAnsi="Times New Roman" w:eastAsia="仿宋_GB2312"/>
                <w:sz w:val="20"/>
                <w:szCs w:val="20"/>
              </w:rPr>
            </w:pPr>
          </w:p>
        </w:tc>
      </w:tr>
      <w:tr w14:paraId="2AB0228C">
        <w:tblPrEx>
          <w:tblCellMar>
            <w:top w:w="0" w:type="dxa"/>
            <w:left w:w="30" w:type="dxa"/>
            <w:bottom w:w="0" w:type="dxa"/>
            <w:right w:w="30" w:type="dxa"/>
          </w:tblCellMar>
        </w:tblPrEx>
        <w:trPr>
          <w:cantSplit/>
          <w:trHeight w:val="306" w:hRule="atLeast"/>
          <w:jc w:val="center"/>
        </w:trPr>
        <w:tc>
          <w:tcPr>
            <w:tcW w:w="710"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372361CB">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2</w:t>
            </w:r>
          </w:p>
        </w:tc>
        <w:tc>
          <w:tcPr>
            <w:tcW w:w="654"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14:paraId="66642E34">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工程</w:t>
            </w:r>
          </w:p>
          <w:p w14:paraId="26BF1D40">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质量</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95F25A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（1）劳务/专业分包是否配备与工程任务相匹配的专职质检人员，是否具备相关证件并报总包备案（2分）；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5B98BDC">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nil"/>
              <w:left w:val="nil"/>
              <w:bottom w:val="single" w:color="auto" w:sz="4" w:space="0"/>
              <w:right w:val="single" w:color="auto" w:sz="4" w:space="0"/>
            </w:tcBorders>
            <w:tcMar>
              <w:top w:w="0" w:type="dxa"/>
              <w:left w:w="108" w:type="dxa"/>
              <w:bottom w:w="0" w:type="dxa"/>
              <w:right w:w="108" w:type="dxa"/>
            </w:tcMar>
          </w:tcPr>
          <w:p w14:paraId="22AC84E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 xml:space="preserve">质量主管部门负责人： </w:t>
            </w:r>
          </w:p>
        </w:tc>
      </w:tr>
      <w:tr w14:paraId="155D3C5C">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DC4E548">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19477A71">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67CEEF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（2）按照规定的技术方案、检验检测方案、创优措施等组织现场施工和质量控制，相关资料是否报总包审核（2分）；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DF18ADE">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D6C1A09">
            <w:pPr>
              <w:widowControl/>
              <w:spacing w:beforeAutospacing="1" w:afterAutospacing="1"/>
              <w:jc w:val="left"/>
              <w:rPr>
                <w:rFonts w:ascii="仿宋_GB2312" w:hAnsi="Times New Roman" w:eastAsia="仿宋_GB2312"/>
                <w:sz w:val="20"/>
                <w:szCs w:val="20"/>
              </w:rPr>
            </w:pPr>
          </w:p>
        </w:tc>
      </w:tr>
      <w:tr w14:paraId="0707A999">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17D211DA">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F38AE97">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D5DAC1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（3）按照项目、公司要求完成现场发现的质量问题的整改工作和修改、优化工作（2分）；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AE066A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379E4117">
            <w:pPr>
              <w:widowControl/>
              <w:spacing w:beforeAutospacing="1" w:afterAutospacing="1"/>
              <w:jc w:val="left"/>
              <w:rPr>
                <w:rFonts w:ascii="仿宋_GB2312" w:hAnsi="Times New Roman" w:eastAsia="仿宋_GB2312"/>
                <w:sz w:val="20"/>
                <w:szCs w:val="20"/>
              </w:rPr>
            </w:pPr>
          </w:p>
        </w:tc>
      </w:tr>
      <w:tr w14:paraId="6BDEE5B9">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76CBD226">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097FBFD">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3582ED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（4）工程质量达到与公司合同约定的质量标准（3分）；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89DE97B">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75A914C7">
            <w:pPr>
              <w:widowControl/>
              <w:spacing w:beforeAutospacing="1" w:afterAutospacing="1"/>
              <w:jc w:val="left"/>
              <w:rPr>
                <w:rFonts w:ascii="仿宋_GB2312" w:hAnsi="Times New Roman" w:eastAsia="仿宋_GB2312"/>
                <w:sz w:val="20"/>
                <w:szCs w:val="20"/>
              </w:rPr>
            </w:pPr>
          </w:p>
        </w:tc>
      </w:tr>
      <w:tr w14:paraId="4E7BCFF7">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D360338">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1B31FDED">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1081198">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（5）隐蔽工程验收每出现一次非一次性通过验收或监理整改通知的扣2分（2分）；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CDB7D8">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F2CBBFF">
            <w:pPr>
              <w:widowControl/>
              <w:spacing w:beforeAutospacing="1" w:afterAutospacing="1"/>
              <w:jc w:val="left"/>
              <w:rPr>
                <w:rFonts w:ascii="仿宋_GB2312" w:hAnsi="Times New Roman" w:eastAsia="仿宋_GB2312"/>
                <w:sz w:val="20"/>
                <w:szCs w:val="20"/>
              </w:rPr>
            </w:pPr>
          </w:p>
        </w:tc>
      </w:tr>
      <w:tr w14:paraId="6E5C63D9">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2AF6FB4B">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6CB1559">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C56070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（6）过程返修是否能做到及时并保证质量。（1分）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AD0BE7A">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016B2F2">
            <w:pPr>
              <w:widowControl/>
              <w:spacing w:beforeAutospacing="1" w:afterAutospacing="1"/>
              <w:jc w:val="left"/>
              <w:rPr>
                <w:rFonts w:ascii="仿宋_GB2312" w:hAnsi="Times New Roman" w:eastAsia="仿宋_GB2312"/>
                <w:sz w:val="20"/>
                <w:szCs w:val="20"/>
              </w:rPr>
            </w:pPr>
          </w:p>
        </w:tc>
      </w:tr>
      <w:tr w14:paraId="331714F3">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0FE28F98">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42CB57C0">
            <w:pPr>
              <w:widowControl/>
              <w:spacing w:beforeAutospacing="1" w:afterAutospacing="1"/>
              <w:jc w:val="left"/>
              <w:rPr>
                <w:rFonts w:ascii="仿宋_GB2312" w:hAnsi="Times New Roman" w:eastAsia="仿宋_GB2312"/>
                <w:sz w:val="20"/>
                <w:szCs w:val="20"/>
              </w:rPr>
            </w:pPr>
          </w:p>
        </w:tc>
        <w:tc>
          <w:tcPr>
            <w:tcW w:w="1223" w:type="dxa"/>
            <w:gridSpan w:val="2"/>
            <w:vMerge w:val="restart"/>
            <w:tcBorders>
              <w:top w:val="single" w:color="auto" w:sz="4" w:space="0"/>
              <w:left w:val="nil"/>
              <w:right w:val="single" w:color="auto" w:sz="4" w:space="0"/>
            </w:tcBorders>
            <w:tcMar>
              <w:top w:w="0" w:type="dxa"/>
              <w:left w:w="108" w:type="dxa"/>
              <w:bottom w:w="0" w:type="dxa"/>
              <w:right w:w="108" w:type="dxa"/>
            </w:tcMar>
            <w:vAlign w:val="center"/>
          </w:tcPr>
          <w:p w14:paraId="327B80C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本月主要施工工序</w:t>
            </w:r>
          </w:p>
        </w:tc>
        <w:tc>
          <w:tcPr>
            <w:tcW w:w="210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B2BDCD">
            <w:pPr>
              <w:adjustRightInd w:val="0"/>
              <w:snapToGrid w:val="0"/>
              <w:spacing w:line="360" w:lineRule="exact"/>
              <w:rPr>
                <w:rFonts w:ascii="仿宋_GB2312" w:hAnsi="Times New Roman" w:eastAsia="仿宋_GB2312"/>
                <w:sz w:val="20"/>
                <w:szCs w:val="20"/>
              </w:rPr>
            </w:pPr>
          </w:p>
        </w:tc>
        <w:tc>
          <w:tcPr>
            <w:tcW w:w="1102" w:type="dxa"/>
            <w:gridSpan w:val="2"/>
            <w:vMerge w:val="restart"/>
            <w:tcBorders>
              <w:top w:val="single" w:color="auto" w:sz="4" w:space="0"/>
              <w:left w:val="nil"/>
              <w:right w:val="single" w:color="auto" w:sz="4" w:space="0"/>
            </w:tcBorders>
            <w:tcMar>
              <w:top w:w="0" w:type="dxa"/>
              <w:left w:w="108" w:type="dxa"/>
              <w:bottom w:w="0" w:type="dxa"/>
              <w:right w:w="108" w:type="dxa"/>
            </w:tcMar>
            <w:vAlign w:val="center"/>
          </w:tcPr>
          <w:p w14:paraId="4F4B97F9">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施工质量</w:t>
            </w: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64EC5A1">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0CA5195B">
            <w:pPr>
              <w:widowControl/>
              <w:spacing w:beforeAutospacing="1" w:afterAutospacing="1"/>
              <w:jc w:val="left"/>
              <w:rPr>
                <w:rFonts w:ascii="仿宋_GB2312" w:hAnsi="Times New Roman" w:eastAsia="仿宋_GB2312"/>
                <w:sz w:val="20"/>
                <w:szCs w:val="20"/>
              </w:rPr>
            </w:pPr>
          </w:p>
        </w:tc>
      </w:tr>
      <w:tr w14:paraId="1B9B6DA0">
        <w:tblPrEx>
          <w:tblCellMar>
            <w:top w:w="0" w:type="dxa"/>
            <w:left w:w="30" w:type="dxa"/>
            <w:bottom w:w="0" w:type="dxa"/>
            <w:right w:w="30" w:type="dxa"/>
          </w:tblCellMar>
        </w:tblPrEx>
        <w:trPr>
          <w:cantSplit/>
          <w:trHeight w:val="461"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29EAD693">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2E05FCB">
            <w:pPr>
              <w:widowControl/>
              <w:spacing w:beforeAutospacing="1" w:afterAutospacing="1"/>
              <w:jc w:val="left"/>
              <w:rPr>
                <w:rFonts w:ascii="仿宋_GB2312" w:hAnsi="Times New Roman" w:eastAsia="仿宋_GB2312"/>
                <w:sz w:val="20"/>
                <w:szCs w:val="20"/>
              </w:rPr>
            </w:pPr>
          </w:p>
        </w:tc>
        <w:tc>
          <w:tcPr>
            <w:tcW w:w="1223" w:type="dxa"/>
            <w:gridSpan w:val="2"/>
            <w:vMerge w:val="continue"/>
            <w:tcBorders>
              <w:left w:val="nil"/>
              <w:right w:val="single" w:color="auto" w:sz="4" w:space="0"/>
            </w:tcBorders>
            <w:tcMar>
              <w:top w:w="0" w:type="dxa"/>
              <w:left w:w="108" w:type="dxa"/>
              <w:bottom w:w="0" w:type="dxa"/>
              <w:right w:w="108" w:type="dxa"/>
            </w:tcMar>
            <w:vAlign w:val="center"/>
          </w:tcPr>
          <w:p w14:paraId="6F759FC8">
            <w:pPr>
              <w:adjustRightInd w:val="0"/>
              <w:snapToGrid w:val="0"/>
              <w:spacing w:line="360" w:lineRule="exact"/>
              <w:rPr>
                <w:rFonts w:ascii="仿宋_GB2312" w:hAnsi="Times New Roman" w:eastAsia="仿宋_GB2312"/>
                <w:sz w:val="20"/>
                <w:szCs w:val="20"/>
              </w:rPr>
            </w:pPr>
          </w:p>
        </w:tc>
        <w:tc>
          <w:tcPr>
            <w:tcW w:w="210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5A4E737">
            <w:pPr>
              <w:adjustRightInd w:val="0"/>
              <w:snapToGrid w:val="0"/>
              <w:spacing w:line="360" w:lineRule="exact"/>
              <w:rPr>
                <w:rFonts w:ascii="仿宋_GB2312" w:hAnsi="Times New Roman" w:eastAsia="仿宋_GB2312"/>
                <w:sz w:val="20"/>
                <w:szCs w:val="20"/>
              </w:rPr>
            </w:pPr>
          </w:p>
        </w:tc>
        <w:tc>
          <w:tcPr>
            <w:tcW w:w="1102" w:type="dxa"/>
            <w:gridSpan w:val="2"/>
            <w:vMerge w:val="continue"/>
            <w:tcBorders>
              <w:left w:val="nil"/>
              <w:right w:val="single" w:color="auto" w:sz="4" w:space="0"/>
            </w:tcBorders>
            <w:tcMar>
              <w:top w:w="0" w:type="dxa"/>
              <w:left w:w="108" w:type="dxa"/>
              <w:bottom w:w="0" w:type="dxa"/>
              <w:right w:w="108" w:type="dxa"/>
            </w:tcMar>
            <w:vAlign w:val="center"/>
          </w:tcPr>
          <w:p w14:paraId="151DABFA">
            <w:pPr>
              <w:adjustRightInd w:val="0"/>
              <w:snapToGrid w:val="0"/>
              <w:spacing w:line="360" w:lineRule="exact"/>
              <w:rPr>
                <w:rFonts w:ascii="仿宋_GB2312" w:hAnsi="Times New Roman" w:eastAsia="仿宋_GB2312"/>
                <w:sz w:val="20"/>
                <w:szCs w:val="20"/>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B590D2">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C7399B3">
            <w:pPr>
              <w:widowControl/>
              <w:spacing w:beforeAutospacing="1" w:afterAutospacing="1"/>
              <w:jc w:val="left"/>
              <w:rPr>
                <w:rFonts w:ascii="仿宋_GB2312" w:hAnsi="Times New Roman" w:eastAsia="仿宋_GB2312"/>
                <w:sz w:val="20"/>
                <w:szCs w:val="20"/>
              </w:rPr>
            </w:pPr>
          </w:p>
        </w:tc>
      </w:tr>
      <w:tr w14:paraId="7B43B35D">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35318D31">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4E4EC5E">
            <w:pPr>
              <w:widowControl/>
              <w:spacing w:beforeAutospacing="1" w:afterAutospacing="1"/>
              <w:jc w:val="left"/>
              <w:rPr>
                <w:rFonts w:ascii="仿宋_GB2312" w:hAnsi="Times New Roman" w:eastAsia="仿宋_GB2312"/>
                <w:sz w:val="20"/>
                <w:szCs w:val="20"/>
              </w:rPr>
            </w:pPr>
          </w:p>
        </w:tc>
        <w:tc>
          <w:tcPr>
            <w:tcW w:w="1223" w:type="dxa"/>
            <w:gridSpan w:val="2"/>
            <w:vMerge w:val="continue"/>
            <w:tcBorders>
              <w:left w:val="nil"/>
              <w:bottom w:val="single" w:color="auto" w:sz="4" w:space="0"/>
              <w:right w:val="single" w:color="auto" w:sz="4" w:space="0"/>
            </w:tcBorders>
            <w:tcMar>
              <w:top w:w="0" w:type="dxa"/>
              <w:left w:w="108" w:type="dxa"/>
              <w:bottom w:w="0" w:type="dxa"/>
              <w:right w:w="108" w:type="dxa"/>
            </w:tcMar>
            <w:vAlign w:val="center"/>
          </w:tcPr>
          <w:p w14:paraId="54D2A254">
            <w:pPr>
              <w:adjustRightInd w:val="0"/>
              <w:snapToGrid w:val="0"/>
              <w:spacing w:line="360" w:lineRule="exact"/>
              <w:rPr>
                <w:rFonts w:ascii="仿宋_GB2312" w:hAnsi="Times New Roman" w:eastAsia="仿宋_GB2312"/>
                <w:sz w:val="20"/>
                <w:szCs w:val="20"/>
              </w:rPr>
            </w:pPr>
          </w:p>
        </w:tc>
        <w:tc>
          <w:tcPr>
            <w:tcW w:w="210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9D8521A">
            <w:pPr>
              <w:adjustRightInd w:val="0"/>
              <w:snapToGrid w:val="0"/>
              <w:spacing w:line="360" w:lineRule="exact"/>
              <w:rPr>
                <w:rFonts w:ascii="仿宋_GB2312" w:hAnsi="Times New Roman" w:eastAsia="仿宋_GB2312"/>
                <w:sz w:val="20"/>
                <w:szCs w:val="20"/>
              </w:rPr>
            </w:pPr>
          </w:p>
        </w:tc>
        <w:tc>
          <w:tcPr>
            <w:tcW w:w="1102" w:type="dxa"/>
            <w:gridSpan w:val="2"/>
            <w:vMerge w:val="continue"/>
            <w:tcBorders>
              <w:left w:val="nil"/>
              <w:bottom w:val="single" w:color="auto" w:sz="4" w:space="0"/>
              <w:right w:val="single" w:color="auto" w:sz="4" w:space="0"/>
            </w:tcBorders>
            <w:tcMar>
              <w:top w:w="0" w:type="dxa"/>
              <w:left w:w="108" w:type="dxa"/>
              <w:bottom w:w="0" w:type="dxa"/>
              <w:right w:w="108" w:type="dxa"/>
            </w:tcMar>
            <w:vAlign w:val="center"/>
          </w:tcPr>
          <w:p w14:paraId="3B6D94B9">
            <w:pPr>
              <w:adjustRightInd w:val="0"/>
              <w:snapToGrid w:val="0"/>
              <w:spacing w:line="360" w:lineRule="exact"/>
              <w:rPr>
                <w:rFonts w:ascii="仿宋_GB2312" w:hAnsi="Times New Roman" w:eastAsia="仿宋_GB2312"/>
                <w:sz w:val="20"/>
                <w:szCs w:val="20"/>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0564653">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DAFBD0C">
            <w:pPr>
              <w:widowControl/>
              <w:spacing w:beforeAutospacing="1" w:afterAutospacing="1"/>
              <w:jc w:val="left"/>
              <w:rPr>
                <w:rFonts w:ascii="仿宋_GB2312" w:hAnsi="Times New Roman" w:eastAsia="仿宋_GB2312"/>
                <w:sz w:val="20"/>
                <w:szCs w:val="20"/>
              </w:rPr>
            </w:pPr>
          </w:p>
        </w:tc>
      </w:tr>
      <w:tr w14:paraId="14E223E4">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F44618A">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2BCE2D7">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B82EC8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总分12分，合计得分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9B91940">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A73A0DF">
            <w:pPr>
              <w:widowControl/>
              <w:spacing w:beforeAutospacing="1" w:afterAutospacing="1"/>
              <w:jc w:val="left"/>
              <w:rPr>
                <w:rFonts w:ascii="仿宋_GB2312" w:hAnsi="Times New Roman" w:eastAsia="仿宋_GB2312"/>
                <w:sz w:val="20"/>
                <w:szCs w:val="20"/>
              </w:rPr>
            </w:pPr>
          </w:p>
        </w:tc>
      </w:tr>
      <w:tr w14:paraId="4268C661">
        <w:tblPrEx>
          <w:tblCellMar>
            <w:top w:w="0" w:type="dxa"/>
            <w:left w:w="30" w:type="dxa"/>
            <w:bottom w:w="0" w:type="dxa"/>
            <w:right w:w="30" w:type="dxa"/>
          </w:tblCellMar>
        </w:tblPrEx>
        <w:trPr>
          <w:cantSplit/>
          <w:trHeight w:val="354" w:hRule="atLeast"/>
          <w:jc w:val="center"/>
        </w:trPr>
        <w:tc>
          <w:tcPr>
            <w:tcW w:w="710"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662ACBE">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3</w:t>
            </w:r>
          </w:p>
        </w:tc>
        <w:tc>
          <w:tcPr>
            <w:tcW w:w="65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0A9E8E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方案执行</w:t>
            </w: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907EF47">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是否按施工方案、技术交底进行施工（3分）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9C6D9C">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cPr>
          <w:p w14:paraId="21A8BD5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技术主管部门负责人</w:t>
            </w:r>
          </w:p>
        </w:tc>
      </w:tr>
      <w:tr w14:paraId="4D2D59C7">
        <w:tblPrEx>
          <w:tblCellMar>
            <w:top w:w="0" w:type="dxa"/>
            <w:left w:w="30" w:type="dxa"/>
            <w:bottom w:w="0" w:type="dxa"/>
            <w:right w:w="30" w:type="dxa"/>
          </w:tblCellMar>
        </w:tblPrEx>
        <w:trPr>
          <w:cantSplit/>
          <w:trHeight w:val="337"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4F113E33">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1A40A1F0">
            <w:pPr>
              <w:adjustRightInd w:val="0"/>
              <w:snapToGrid w:val="0"/>
              <w:spacing w:line="360" w:lineRule="exact"/>
              <w:rPr>
                <w:rFonts w:ascii="仿宋_GB2312" w:hAnsi="Times New Roman" w:eastAsia="仿宋_GB2312"/>
                <w:sz w:val="20"/>
                <w:szCs w:val="20"/>
              </w:rPr>
            </w:pP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CEC404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是否按照施工图、图纸会审、设计变更施工（3分）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7590B1">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59025E09">
            <w:pPr>
              <w:adjustRightInd w:val="0"/>
              <w:snapToGrid w:val="0"/>
              <w:spacing w:line="360" w:lineRule="exact"/>
              <w:rPr>
                <w:rFonts w:ascii="仿宋_GB2312" w:hAnsi="Times New Roman" w:eastAsia="仿宋_GB2312"/>
                <w:sz w:val="20"/>
                <w:szCs w:val="20"/>
              </w:rPr>
            </w:pPr>
          </w:p>
        </w:tc>
      </w:tr>
      <w:tr w14:paraId="7CCF0108">
        <w:tblPrEx>
          <w:tblCellMar>
            <w:top w:w="0" w:type="dxa"/>
            <w:left w:w="30" w:type="dxa"/>
            <w:bottom w:w="0" w:type="dxa"/>
            <w:right w:w="30" w:type="dxa"/>
          </w:tblCellMar>
        </w:tblPrEx>
        <w:trPr>
          <w:cantSplit/>
          <w:trHeight w:val="337"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790C335C">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610A04E8">
            <w:pPr>
              <w:adjustRightInd w:val="0"/>
              <w:snapToGrid w:val="0"/>
              <w:spacing w:line="360" w:lineRule="exact"/>
              <w:rPr>
                <w:rFonts w:ascii="仿宋_GB2312" w:hAnsi="Times New Roman" w:eastAsia="仿宋_GB2312"/>
                <w:sz w:val="20"/>
                <w:szCs w:val="20"/>
              </w:rPr>
            </w:pP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D2AB655">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是否按时完成资料报审（2分）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45AE3D">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072370B3">
            <w:pPr>
              <w:adjustRightInd w:val="0"/>
              <w:snapToGrid w:val="0"/>
              <w:spacing w:line="360" w:lineRule="exact"/>
              <w:rPr>
                <w:rFonts w:ascii="仿宋_GB2312" w:hAnsi="Times New Roman" w:eastAsia="仿宋_GB2312"/>
                <w:sz w:val="20"/>
                <w:szCs w:val="20"/>
              </w:rPr>
            </w:pPr>
          </w:p>
        </w:tc>
      </w:tr>
      <w:tr w14:paraId="2CE79D6E">
        <w:tblPrEx>
          <w:tblCellMar>
            <w:top w:w="0" w:type="dxa"/>
            <w:left w:w="30" w:type="dxa"/>
            <w:bottom w:w="0" w:type="dxa"/>
            <w:right w:w="30" w:type="dxa"/>
          </w:tblCellMar>
        </w:tblPrEx>
        <w:trPr>
          <w:cantSplit/>
          <w:trHeight w:val="330" w:hRule="atLeast"/>
          <w:jc w:val="center"/>
        </w:trPr>
        <w:tc>
          <w:tcPr>
            <w:tcW w:w="710"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DC9B266">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FAC0A88">
            <w:pPr>
              <w:adjustRightInd w:val="0"/>
              <w:snapToGrid w:val="0"/>
              <w:spacing w:line="360" w:lineRule="exact"/>
              <w:rPr>
                <w:rFonts w:ascii="仿宋_GB2312" w:hAnsi="Times New Roman" w:eastAsia="仿宋_GB2312"/>
                <w:sz w:val="20"/>
                <w:szCs w:val="20"/>
              </w:rPr>
            </w:pP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041EC1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总分8分，合计得分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71670C">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cPr>
          <w:p w14:paraId="2853CAEA">
            <w:pPr>
              <w:adjustRightInd w:val="0"/>
              <w:snapToGrid w:val="0"/>
              <w:spacing w:line="360" w:lineRule="exact"/>
              <w:rPr>
                <w:rFonts w:ascii="仿宋_GB2312" w:hAnsi="Times New Roman" w:eastAsia="仿宋_GB2312"/>
                <w:sz w:val="20"/>
                <w:szCs w:val="20"/>
              </w:rPr>
            </w:pPr>
          </w:p>
        </w:tc>
      </w:tr>
      <w:tr w14:paraId="073C1A44">
        <w:tblPrEx>
          <w:tblCellMar>
            <w:top w:w="0" w:type="dxa"/>
            <w:left w:w="30" w:type="dxa"/>
            <w:bottom w:w="0" w:type="dxa"/>
            <w:right w:w="30" w:type="dxa"/>
          </w:tblCellMar>
        </w:tblPrEx>
        <w:trPr>
          <w:cantSplit/>
          <w:trHeight w:val="655" w:hRule="atLeast"/>
          <w:jc w:val="center"/>
        </w:trPr>
        <w:tc>
          <w:tcPr>
            <w:tcW w:w="7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B14B6A">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4</w:t>
            </w:r>
          </w:p>
        </w:tc>
        <w:tc>
          <w:tcPr>
            <w:tcW w:w="6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06391">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安全</w:t>
            </w:r>
          </w:p>
          <w:p w14:paraId="66AC1F5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生产</w:t>
            </w: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1A7AA2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详见分包单位安全生产履约评价表（20分）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B2944D">
            <w:pPr>
              <w:adjustRightInd w:val="0"/>
              <w:snapToGrid w:val="0"/>
              <w:spacing w:line="360" w:lineRule="exact"/>
              <w:rPr>
                <w:rFonts w:ascii="仿宋_GB2312" w:hAnsi="Times New Roman" w:eastAsia="仿宋_GB2312"/>
                <w:sz w:val="20"/>
                <w:szCs w:val="20"/>
              </w:rPr>
            </w:pPr>
          </w:p>
        </w:tc>
        <w:tc>
          <w:tcPr>
            <w:tcW w:w="232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D48502">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安全主管部门负责人：</w:t>
            </w:r>
          </w:p>
        </w:tc>
      </w:tr>
      <w:tr w14:paraId="7C2637B5">
        <w:tblPrEx>
          <w:tblCellMar>
            <w:top w:w="0" w:type="dxa"/>
            <w:left w:w="30" w:type="dxa"/>
            <w:bottom w:w="0" w:type="dxa"/>
            <w:right w:w="30" w:type="dxa"/>
          </w:tblCellMar>
        </w:tblPrEx>
        <w:trPr>
          <w:cantSplit/>
          <w:trHeight w:val="473"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7B60B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5</w:t>
            </w:r>
          </w:p>
        </w:tc>
        <w:tc>
          <w:tcPr>
            <w:tcW w:w="65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A59830">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施工进度完成情况</w:t>
            </w: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92714A">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能够按照项目部编制的施工总控进度计划、劳动力、物资、设备进场计划和现场签证按时完成施工生产任务，稍有滞后扣1分，滞后3-7天扣3分，滞后7天以上扣5分（5分）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403A73">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cPr>
          <w:p w14:paraId="51404FF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生产主管部门负责人：</w:t>
            </w:r>
          </w:p>
        </w:tc>
      </w:tr>
      <w:tr w14:paraId="1E57B973">
        <w:tblPrEx>
          <w:tblCellMar>
            <w:top w:w="0" w:type="dxa"/>
            <w:left w:w="30" w:type="dxa"/>
            <w:bottom w:w="0" w:type="dxa"/>
            <w:right w:w="30" w:type="dxa"/>
          </w:tblCellMar>
        </w:tblPrEx>
        <w:trPr>
          <w:cantSplit/>
          <w:trHeight w:val="473"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2655A1E0">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2F415E1F">
            <w:pPr>
              <w:adjustRightInd w:val="0"/>
              <w:snapToGrid w:val="0"/>
              <w:spacing w:line="360" w:lineRule="exact"/>
              <w:jc w:val="center"/>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E52E70">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每周是否上报周计划及每月是否上报月计划（2分）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7FD75A">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438C751B">
            <w:pPr>
              <w:adjustRightInd w:val="0"/>
              <w:snapToGrid w:val="0"/>
              <w:spacing w:line="360" w:lineRule="exact"/>
              <w:rPr>
                <w:rFonts w:ascii="仿宋_GB2312" w:hAnsi="Times New Roman" w:eastAsia="仿宋_GB2312"/>
                <w:sz w:val="20"/>
                <w:szCs w:val="20"/>
              </w:rPr>
            </w:pPr>
          </w:p>
        </w:tc>
      </w:tr>
      <w:tr w14:paraId="03BAD7A9">
        <w:tblPrEx>
          <w:tblCellMar>
            <w:top w:w="0" w:type="dxa"/>
            <w:left w:w="30" w:type="dxa"/>
            <w:bottom w:w="0" w:type="dxa"/>
            <w:right w:w="30" w:type="dxa"/>
          </w:tblCellMar>
        </w:tblPrEx>
        <w:trPr>
          <w:cantSplit/>
          <w:trHeight w:val="473"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16C7C098">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3F97BF26">
            <w:pPr>
              <w:adjustRightInd w:val="0"/>
              <w:snapToGrid w:val="0"/>
              <w:spacing w:line="360" w:lineRule="exact"/>
              <w:jc w:val="center"/>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7360D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如出现进度滞后是否及时采取解决措施（5分）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33E9F9">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084B7840">
            <w:pPr>
              <w:adjustRightInd w:val="0"/>
              <w:snapToGrid w:val="0"/>
              <w:spacing w:line="360" w:lineRule="exact"/>
              <w:rPr>
                <w:rFonts w:ascii="仿宋_GB2312" w:hAnsi="Times New Roman" w:eastAsia="仿宋_GB2312"/>
                <w:sz w:val="20"/>
                <w:szCs w:val="20"/>
              </w:rPr>
            </w:pPr>
          </w:p>
        </w:tc>
      </w:tr>
      <w:tr w14:paraId="1CA90071">
        <w:tblPrEx>
          <w:tblCellMar>
            <w:top w:w="0" w:type="dxa"/>
            <w:left w:w="30" w:type="dxa"/>
            <w:bottom w:w="0" w:type="dxa"/>
            <w:right w:w="30" w:type="dxa"/>
          </w:tblCellMar>
        </w:tblPrEx>
        <w:trPr>
          <w:cantSplit/>
          <w:trHeight w:val="473"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784A04AB">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2ADF89CB">
            <w:pPr>
              <w:adjustRightInd w:val="0"/>
              <w:snapToGrid w:val="0"/>
              <w:spacing w:line="360" w:lineRule="exact"/>
              <w:jc w:val="center"/>
              <w:rPr>
                <w:rFonts w:ascii="仿宋_GB2312" w:hAnsi="Times New Roman" w:eastAsia="仿宋_GB2312"/>
                <w:sz w:val="20"/>
                <w:szCs w:val="20"/>
              </w:rPr>
            </w:pPr>
          </w:p>
        </w:tc>
        <w:tc>
          <w:tcPr>
            <w:tcW w:w="122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668E42">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各工种人员投入情况</w:t>
            </w:r>
          </w:p>
        </w:tc>
        <w:tc>
          <w:tcPr>
            <w:tcW w:w="467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984C1D">
            <w:pPr>
              <w:adjustRightInd w:val="0"/>
              <w:snapToGrid w:val="0"/>
              <w:spacing w:line="360" w:lineRule="exact"/>
              <w:rPr>
                <w:rFonts w:ascii="仿宋_GB2312" w:hAnsi="Times New Roman" w:eastAsia="仿宋_GB2312"/>
                <w:sz w:val="20"/>
                <w:szCs w:val="20"/>
              </w:rPr>
            </w:pPr>
          </w:p>
          <w:p w14:paraId="1DEC6AA6">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4AF3F218">
            <w:pPr>
              <w:adjustRightInd w:val="0"/>
              <w:snapToGrid w:val="0"/>
              <w:spacing w:line="360" w:lineRule="exact"/>
              <w:rPr>
                <w:rFonts w:ascii="仿宋_GB2312" w:hAnsi="Times New Roman" w:eastAsia="仿宋_GB2312"/>
                <w:sz w:val="20"/>
                <w:szCs w:val="20"/>
              </w:rPr>
            </w:pPr>
          </w:p>
        </w:tc>
      </w:tr>
      <w:tr w14:paraId="184C4347">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4373CDF4">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nil"/>
              <w:bottom w:val="single" w:color="auto" w:sz="4" w:space="0"/>
              <w:right w:val="single" w:color="auto" w:sz="4" w:space="0"/>
            </w:tcBorders>
            <w:vAlign w:val="center"/>
          </w:tcPr>
          <w:p w14:paraId="388EB0E6">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D5CCFF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总分12分，合计得分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2ECD50">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cPr>
          <w:p w14:paraId="0068DCC8">
            <w:pPr>
              <w:adjustRightInd w:val="0"/>
              <w:snapToGrid w:val="0"/>
              <w:spacing w:line="360" w:lineRule="exact"/>
              <w:rPr>
                <w:rFonts w:ascii="仿宋_GB2312" w:hAnsi="Times New Roman" w:eastAsia="仿宋_GB2312"/>
                <w:sz w:val="20"/>
                <w:szCs w:val="20"/>
              </w:rPr>
            </w:pPr>
          </w:p>
        </w:tc>
      </w:tr>
      <w:tr w14:paraId="1A3814FF">
        <w:tblPrEx>
          <w:tblCellMar>
            <w:top w:w="0" w:type="dxa"/>
            <w:left w:w="30" w:type="dxa"/>
            <w:bottom w:w="0" w:type="dxa"/>
            <w:right w:w="30" w:type="dxa"/>
          </w:tblCellMar>
        </w:tblPrEx>
        <w:trPr>
          <w:cantSplit/>
          <w:trHeight w:val="345" w:hRule="atLeast"/>
          <w:jc w:val="center"/>
        </w:trPr>
        <w:tc>
          <w:tcPr>
            <w:tcW w:w="710"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68F00DA2">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6</w:t>
            </w:r>
          </w:p>
        </w:tc>
        <w:tc>
          <w:tcPr>
            <w:tcW w:w="654"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14:paraId="43CBC12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合同</w:t>
            </w:r>
          </w:p>
          <w:p w14:paraId="6D6E7B50">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履约</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49899C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（1）严格履行合同，人工费严格按合同规定内容执行（2分）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590256">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nil"/>
              <w:left w:val="nil"/>
              <w:bottom w:val="single" w:color="auto" w:sz="4" w:space="0"/>
              <w:right w:val="single" w:color="auto" w:sz="4" w:space="0"/>
            </w:tcBorders>
            <w:tcMar>
              <w:top w:w="0" w:type="dxa"/>
              <w:left w:w="108" w:type="dxa"/>
              <w:bottom w:w="0" w:type="dxa"/>
              <w:right w:w="108" w:type="dxa"/>
            </w:tcMar>
          </w:tcPr>
          <w:p w14:paraId="676149C8">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 xml:space="preserve">商务主管部门负责人：        </w:t>
            </w:r>
          </w:p>
        </w:tc>
      </w:tr>
      <w:tr w14:paraId="179CE53D">
        <w:tblPrEx>
          <w:tblCellMar>
            <w:top w:w="0" w:type="dxa"/>
            <w:left w:w="30" w:type="dxa"/>
            <w:bottom w:w="0" w:type="dxa"/>
            <w:right w:w="30" w:type="dxa"/>
          </w:tblCellMar>
        </w:tblPrEx>
        <w:trPr>
          <w:cantSplit/>
          <w:trHeight w:val="932"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8967A0A">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1332429D">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25D4348">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合同履约能力好信誉能按合同规定的义务，并及时配备总包单位做好现场质量、安全、文明施工、签证、结算等工作，不因为特殊工种、劳动力不足、技术力量不够等问题不履行合同规定的工作内容。（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CB7720D">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06C4795">
            <w:pPr>
              <w:widowControl/>
              <w:spacing w:beforeAutospacing="1" w:afterAutospacing="1"/>
              <w:jc w:val="left"/>
              <w:rPr>
                <w:rFonts w:ascii="仿宋_GB2312" w:hAnsi="Times New Roman" w:eastAsia="仿宋_GB2312"/>
                <w:sz w:val="20"/>
                <w:szCs w:val="20"/>
              </w:rPr>
            </w:pPr>
          </w:p>
        </w:tc>
      </w:tr>
      <w:tr w14:paraId="4C57439B">
        <w:tblPrEx>
          <w:tblCellMar>
            <w:top w:w="0" w:type="dxa"/>
            <w:left w:w="30" w:type="dxa"/>
            <w:bottom w:w="0" w:type="dxa"/>
            <w:right w:w="30" w:type="dxa"/>
          </w:tblCellMar>
        </w:tblPrEx>
        <w:trPr>
          <w:cantSplit/>
          <w:trHeight w:val="90"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A1DD3E9">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4FDB8B6F">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D346BDF">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（3）是否积极配合完成合同外施工内容（2分）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6162C4C">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E2CB8DD">
            <w:pPr>
              <w:widowControl/>
              <w:spacing w:beforeAutospacing="1" w:afterAutospacing="1"/>
              <w:jc w:val="left"/>
              <w:rPr>
                <w:rFonts w:ascii="仿宋_GB2312" w:hAnsi="Times New Roman" w:eastAsia="仿宋_GB2312"/>
                <w:sz w:val="20"/>
                <w:szCs w:val="20"/>
              </w:rPr>
            </w:pPr>
          </w:p>
        </w:tc>
      </w:tr>
      <w:tr w14:paraId="3ADA83A0">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39D9398C">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12B36914">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9C9533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总分6分，合计得分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03BF9A3">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76D788C">
            <w:pPr>
              <w:widowControl/>
              <w:spacing w:beforeAutospacing="1" w:afterAutospacing="1"/>
              <w:jc w:val="left"/>
              <w:rPr>
                <w:rFonts w:ascii="仿宋_GB2312" w:hAnsi="Times New Roman" w:eastAsia="仿宋_GB2312"/>
                <w:sz w:val="20"/>
                <w:szCs w:val="20"/>
              </w:rPr>
            </w:pPr>
          </w:p>
        </w:tc>
      </w:tr>
      <w:tr w14:paraId="6EC240A0">
        <w:tblPrEx>
          <w:tblCellMar>
            <w:top w:w="0" w:type="dxa"/>
            <w:left w:w="30" w:type="dxa"/>
            <w:bottom w:w="0" w:type="dxa"/>
            <w:right w:w="30" w:type="dxa"/>
          </w:tblCellMar>
        </w:tblPrEx>
        <w:trPr>
          <w:cantSplit/>
          <w:trHeight w:val="306" w:hRule="atLeast"/>
          <w:jc w:val="center"/>
        </w:trPr>
        <w:tc>
          <w:tcPr>
            <w:tcW w:w="710"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0F43973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7</w:t>
            </w:r>
          </w:p>
        </w:tc>
        <w:tc>
          <w:tcPr>
            <w:tcW w:w="654"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14:paraId="7B759BA4">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协调</w:t>
            </w:r>
          </w:p>
          <w:p w14:paraId="47E76F29">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配合</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89A922B">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（1）服从安排、听从指挥、按时完成项目分配的任务。（2分）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BFBC580">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nil"/>
              <w:left w:val="nil"/>
              <w:bottom w:val="single" w:color="auto" w:sz="4" w:space="0"/>
              <w:right w:val="single" w:color="auto" w:sz="4" w:space="0"/>
            </w:tcBorders>
            <w:tcMar>
              <w:top w:w="0" w:type="dxa"/>
              <w:left w:w="108" w:type="dxa"/>
              <w:bottom w:w="0" w:type="dxa"/>
              <w:right w:w="108" w:type="dxa"/>
            </w:tcMar>
          </w:tcPr>
          <w:p w14:paraId="7C176D45">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 xml:space="preserve">生产主管部门负责人：        </w:t>
            </w:r>
          </w:p>
        </w:tc>
      </w:tr>
      <w:tr w14:paraId="3CF26A8B">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AEC5EBA">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424D5CA">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5E0CF4B">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（2）遵纪守法、不打架斗殴、赌博，与项目关系协调好。（2分）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B991825">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0F684B7C">
            <w:pPr>
              <w:widowControl/>
              <w:spacing w:beforeAutospacing="1" w:afterAutospacing="1"/>
              <w:jc w:val="left"/>
              <w:rPr>
                <w:rFonts w:ascii="仿宋_GB2312" w:hAnsi="Times New Roman" w:eastAsia="仿宋_GB2312"/>
                <w:sz w:val="20"/>
                <w:szCs w:val="20"/>
              </w:rPr>
            </w:pPr>
          </w:p>
        </w:tc>
      </w:tr>
      <w:tr w14:paraId="27CD0BC8">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9C26779">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170DB7E">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715C24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（3）进退场手续规范，按要求办理门禁卡，内部人员管理有条不紊。（2分）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D5840EC">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2EA3BF4">
            <w:pPr>
              <w:widowControl/>
              <w:spacing w:beforeAutospacing="1" w:afterAutospacing="1"/>
              <w:jc w:val="left"/>
              <w:rPr>
                <w:rFonts w:ascii="仿宋_GB2312" w:hAnsi="Times New Roman" w:eastAsia="仿宋_GB2312"/>
                <w:sz w:val="20"/>
                <w:szCs w:val="20"/>
              </w:rPr>
            </w:pPr>
          </w:p>
        </w:tc>
      </w:tr>
      <w:tr w14:paraId="4041B1B4">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73BF270D">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9780966">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2B3EBF7">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（4）突发事件时，领导能否积极处理（2分）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8FAA6CB">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71FC90A">
            <w:pPr>
              <w:widowControl/>
              <w:spacing w:beforeAutospacing="1" w:afterAutospacing="1"/>
              <w:jc w:val="left"/>
              <w:rPr>
                <w:rFonts w:ascii="仿宋_GB2312" w:hAnsi="Times New Roman" w:eastAsia="仿宋_GB2312"/>
                <w:sz w:val="20"/>
                <w:szCs w:val="20"/>
              </w:rPr>
            </w:pPr>
          </w:p>
        </w:tc>
      </w:tr>
      <w:tr w14:paraId="561BBB32">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119F300">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0FA3F0E4">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4B6B8D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（5）与其他分包商的配合情况良好。（2分）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14D4D9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1BA12B1">
            <w:pPr>
              <w:widowControl/>
              <w:spacing w:beforeAutospacing="1" w:afterAutospacing="1"/>
              <w:jc w:val="left"/>
              <w:rPr>
                <w:rFonts w:ascii="仿宋_GB2312" w:hAnsi="Times New Roman" w:eastAsia="仿宋_GB2312"/>
                <w:sz w:val="20"/>
                <w:szCs w:val="20"/>
              </w:rPr>
            </w:pPr>
          </w:p>
        </w:tc>
      </w:tr>
      <w:tr w14:paraId="0B793AC7">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7BF47471">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12324CBC">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C0A1A4F">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总分10分，合计得分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070F438">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4471B55F">
            <w:pPr>
              <w:widowControl/>
              <w:spacing w:beforeAutospacing="1" w:afterAutospacing="1"/>
              <w:jc w:val="left"/>
              <w:rPr>
                <w:rFonts w:ascii="仿宋_GB2312" w:hAnsi="Times New Roman" w:eastAsia="仿宋_GB2312"/>
                <w:sz w:val="20"/>
                <w:szCs w:val="20"/>
              </w:rPr>
            </w:pPr>
          </w:p>
        </w:tc>
      </w:tr>
      <w:tr w14:paraId="47AA527F">
        <w:tblPrEx>
          <w:tblCellMar>
            <w:top w:w="0" w:type="dxa"/>
            <w:left w:w="30" w:type="dxa"/>
            <w:bottom w:w="0" w:type="dxa"/>
            <w:right w:w="30" w:type="dxa"/>
          </w:tblCellMar>
        </w:tblPrEx>
        <w:trPr>
          <w:cantSplit/>
          <w:trHeight w:val="306"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8B9CC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8</w:t>
            </w:r>
          </w:p>
        </w:tc>
        <w:tc>
          <w:tcPr>
            <w:tcW w:w="65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2605B9">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材料</w:t>
            </w:r>
          </w:p>
          <w:p w14:paraId="78E96BC1">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消耗</w:t>
            </w: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3126C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（1）材料使用有领料单，按要求节约，无浪费（2分）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3C1395">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50812D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 xml:space="preserve">物资主管部门负责人：        </w:t>
            </w:r>
          </w:p>
        </w:tc>
      </w:tr>
      <w:tr w14:paraId="5180D576">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55F2324A">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BD9EDCE">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60244B">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（2）有合同材料消耗目标，过程实施措施可行，满足损耗率要求（2分）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9D78E4">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single" w:color="auto" w:sz="4" w:space="0"/>
              <w:bottom w:val="single" w:color="auto" w:sz="4" w:space="0"/>
              <w:right w:val="single" w:color="auto" w:sz="4" w:space="0"/>
            </w:tcBorders>
          </w:tcPr>
          <w:p w14:paraId="11F99F7A">
            <w:pPr>
              <w:widowControl/>
              <w:spacing w:beforeAutospacing="1" w:afterAutospacing="1"/>
              <w:jc w:val="left"/>
              <w:rPr>
                <w:rFonts w:ascii="仿宋_GB2312" w:hAnsi="Times New Roman" w:eastAsia="仿宋_GB2312"/>
                <w:sz w:val="20"/>
                <w:szCs w:val="20"/>
              </w:rPr>
            </w:pPr>
          </w:p>
        </w:tc>
      </w:tr>
      <w:tr w14:paraId="1B468215">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39224FD0">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716491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911FD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（3）所供安全防护材料能满足合同、规范要求（1分）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7F4F25">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single" w:color="auto" w:sz="4" w:space="0"/>
              <w:bottom w:val="single" w:color="auto" w:sz="4" w:space="0"/>
              <w:right w:val="single" w:color="auto" w:sz="4" w:space="0"/>
            </w:tcBorders>
          </w:tcPr>
          <w:p w14:paraId="77391371">
            <w:pPr>
              <w:widowControl/>
              <w:spacing w:beforeAutospacing="1" w:afterAutospacing="1"/>
              <w:jc w:val="left"/>
              <w:rPr>
                <w:rFonts w:ascii="仿宋_GB2312" w:hAnsi="Times New Roman" w:eastAsia="仿宋_GB2312"/>
                <w:sz w:val="20"/>
                <w:szCs w:val="20"/>
              </w:rPr>
            </w:pPr>
          </w:p>
        </w:tc>
      </w:tr>
      <w:tr w14:paraId="25999FF4">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0DAE9705">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B5C7FB9">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5F46C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（4）能满足环保和职业安全健康管理的要求。（1分）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9B787D">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single" w:color="auto" w:sz="4" w:space="0"/>
              <w:bottom w:val="single" w:color="auto" w:sz="4" w:space="0"/>
              <w:right w:val="single" w:color="auto" w:sz="4" w:space="0"/>
            </w:tcBorders>
          </w:tcPr>
          <w:p w14:paraId="04C29EAB">
            <w:pPr>
              <w:widowControl/>
              <w:spacing w:beforeAutospacing="1" w:afterAutospacing="1"/>
              <w:jc w:val="left"/>
              <w:rPr>
                <w:rFonts w:ascii="仿宋_GB2312" w:hAnsi="Times New Roman" w:eastAsia="仿宋_GB2312"/>
                <w:sz w:val="20"/>
                <w:szCs w:val="20"/>
              </w:rPr>
            </w:pPr>
          </w:p>
        </w:tc>
      </w:tr>
      <w:tr w14:paraId="37EA12D6">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211DF32A">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85976F4">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328B98">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总分6分，合计得分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1A8253">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single" w:color="auto" w:sz="4" w:space="0"/>
              <w:bottom w:val="single" w:color="auto" w:sz="4" w:space="0"/>
              <w:right w:val="single" w:color="auto" w:sz="4" w:space="0"/>
            </w:tcBorders>
          </w:tcPr>
          <w:p w14:paraId="1790E05F">
            <w:pPr>
              <w:widowControl/>
              <w:spacing w:beforeAutospacing="1" w:afterAutospacing="1"/>
              <w:jc w:val="left"/>
              <w:rPr>
                <w:rFonts w:ascii="仿宋_GB2312" w:hAnsi="Times New Roman" w:eastAsia="仿宋_GB2312"/>
                <w:sz w:val="20"/>
                <w:szCs w:val="20"/>
              </w:rPr>
            </w:pPr>
          </w:p>
        </w:tc>
      </w:tr>
      <w:tr w14:paraId="0364D340">
        <w:tblPrEx>
          <w:tblCellMar>
            <w:top w:w="0" w:type="dxa"/>
            <w:left w:w="30" w:type="dxa"/>
            <w:bottom w:w="0" w:type="dxa"/>
            <w:right w:w="30" w:type="dxa"/>
          </w:tblCellMar>
        </w:tblPrEx>
        <w:trPr>
          <w:cantSplit/>
          <w:trHeight w:val="306" w:hRule="atLeast"/>
          <w:jc w:val="center"/>
        </w:trPr>
        <w:tc>
          <w:tcPr>
            <w:tcW w:w="710" w:type="dxa"/>
            <w:gridSpan w:val="2"/>
            <w:vMerge w:val="restart"/>
            <w:tcBorders>
              <w:top w:val="single" w:color="auto" w:sz="4" w:space="0"/>
              <w:left w:val="single" w:color="auto" w:sz="4" w:space="0"/>
              <w:right w:val="single" w:color="auto" w:sz="4" w:space="0"/>
            </w:tcBorders>
            <w:vAlign w:val="center"/>
          </w:tcPr>
          <w:p w14:paraId="1E841167">
            <w:pPr>
              <w:widowControl/>
              <w:spacing w:beforeAutospacing="1" w:afterAutospacing="1"/>
              <w:jc w:val="center"/>
              <w:rPr>
                <w:rFonts w:ascii="仿宋_GB2312" w:hAnsi="Times New Roman" w:eastAsia="仿宋_GB2312"/>
                <w:sz w:val="20"/>
                <w:szCs w:val="20"/>
              </w:rPr>
            </w:pPr>
            <w:r>
              <w:rPr>
                <w:rFonts w:hint="eastAsia" w:ascii="仿宋_GB2312" w:hAnsi="Times New Roman" w:eastAsia="仿宋_GB2312"/>
                <w:sz w:val="20"/>
                <w:szCs w:val="20"/>
              </w:rPr>
              <w:t>9</w:t>
            </w:r>
          </w:p>
        </w:tc>
        <w:tc>
          <w:tcPr>
            <w:tcW w:w="654" w:type="dxa"/>
            <w:vMerge w:val="restart"/>
            <w:tcBorders>
              <w:top w:val="single" w:color="auto" w:sz="4" w:space="0"/>
              <w:left w:val="nil"/>
              <w:right w:val="single" w:color="auto" w:sz="4" w:space="0"/>
            </w:tcBorders>
            <w:vAlign w:val="center"/>
          </w:tcPr>
          <w:p w14:paraId="3B4B5E48">
            <w:pPr>
              <w:widowControl/>
              <w:spacing w:beforeAutospacing="1" w:afterAutospacing="1"/>
              <w:jc w:val="center"/>
              <w:rPr>
                <w:rFonts w:ascii="仿宋_GB2312" w:hAnsi="Times New Roman" w:eastAsia="仿宋_GB2312"/>
                <w:sz w:val="20"/>
                <w:szCs w:val="20"/>
              </w:rPr>
            </w:pPr>
            <w:r>
              <w:rPr>
                <w:rFonts w:hint="eastAsia" w:ascii="仿宋_GB2312" w:hAnsi="Times New Roman" w:eastAsia="仿宋_GB2312"/>
                <w:sz w:val="20"/>
                <w:szCs w:val="20"/>
              </w:rPr>
              <w:t>后勤管理</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EF8CB1B">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（1）宿舍床铺利用率高于80%。（2分）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D5E0FD">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single" w:color="auto" w:sz="4" w:space="0"/>
              <w:left w:val="nil"/>
              <w:right w:val="single" w:color="auto" w:sz="4" w:space="0"/>
            </w:tcBorders>
          </w:tcPr>
          <w:p w14:paraId="61B386B7">
            <w:pPr>
              <w:widowControl/>
              <w:spacing w:beforeAutospacing="1" w:afterAutospacing="1"/>
              <w:jc w:val="left"/>
              <w:rPr>
                <w:rFonts w:ascii="仿宋_GB2312" w:hAnsi="Times New Roman" w:eastAsia="仿宋_GB2312"/>
                <w:sz w:val="20"/>
                <w:szCs w:val="20"/>
              </w:rPr>
            </w:pPr>
            <w:r>
              <w:rPr>
                <w:rFonts w:hint="eastAsia" w:ascii="仿宋_GB2312" w:hAnsi="Times New Roman" w:eastAsia="仿宋_GB2312"/>
                <w:sz w:val="20"/>
                <w:szCs w:val="20"/>
              </w:rPr>
              <w:t>综合主管部门负责人</w:t>
            </w:r>
          </w:p>
        </w:tc>
      </w:tr>
      <w:tr w14:paraId="03B707D3">
        <w:tblPrEx>
          <w:tblCellMar>
            <w:top w:w="0" w:type="dxa"/>
            <w:left w:w="30" w:type="dxa"/>
            <w:bottom w:w="0" w:type="dxa"/>
            <w:right w:w="30" w:type="dxa"/>
          </w:tblCellMar>
        </w:tblPrEx>
        <w:trPr>
          <w:cantSplit/>
          <w:trHeight w:val="306" w:hRule="atLeast"/>
          <w:jc w:val="center"/>
        </w:trPr>
        <w:tc>
          <w:tcPr>
            <w:tcW w:w="710" w:type="dxa"/>
            <w:gridSpan w:val="2"/>
            <w:vMerge w:val="continue"/>
            <w:tcBorders>
              <w:left w:val="single" w:color="auto" w:sz="4" w:space="0"/>
              <w:bottom w:val="single" w:color="auto" w:sz="4" w:space="0"/>
              <w:right w:val="single" w:color="auto" w:sz="4" w:space="0"/>
            </w:tcBorders>
            <w:vAlign w:val="center"/>
          </w:tcPr>
          <w:p w14:paraId="0FFC6C61">
            <w:pPr>
              <w:widowControl/>
              <w:spacing w:beforeAutospacing="1" w:afterAutospacing="1"/>
              <w:jc w:val="left"/>
              <w:rPr>
                <w:rFonts w:ascii="仿宋_GB2312" w:hAnsi="Times New Roman" w:eastAsia="仿宋_GB2312"/>
                <w:sz w:val="20"/>
                <w:szCs w:val="20"/>
              </w:rPr>
            </w:pPr>
          </w:p>
        </w:tc>
        <w:tc>
          <w:tcPr>
            <w:tcW w:w="654" w:type="dxa"/>
            <w:vMerge w:val="continue"/>
            <w:tcBorders>
              <w:left w:val="nil"/>
              <w:bottom w:val="single" w:color="auto" w:sz="4" w:space="0"/>
              <w:right w:val="single" w:color="auto" w:sz="4" w:space="0"/>
            </w:tcBorders>
            <w:vAlign w:val="center"/>
          </w:tcPr>
          <w:p w14:paraId="6F824476">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D4075EA">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（2）居住宿舍干净卫生，无男女混居情况。（2分）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3852BE5">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nil"/>
              <w:right w:val="single" w:color="auto" w:sz="4" w:space="0"/>
            </w:tcBorders>
            <w:vAlign w:val="center"/>
          </w:tcPr>
          <w:p w14:paraId="65295A54">
            <w:pPr>
              <w:widowControl/>
              <w:spacing w:beforeAutospacing="1" w:afterAutospacing="1"/>
              <w:jc w:val="left"/>
              <w:rPr>
                <w:rFonts w:ascii="仿宋_GB2312" w:hAnsi="Times New Roman" w:eastAsia="仿宋_GB2312"/>
                <w:sz w:val="20"/>
                <w:szCs w:val="20"/>
              </w:rPr>
            </w:pPr>
          </w:p>
        </w:tc>
      </w:tr>
      <w:tr w14:paraId="401310D7">
        <w:tblPrEx>
          <w:tblCellMar>
            <w:top w:w="0" w:type="dxa"/>
            <w:left w:w="30" w:type="dxa"/>
            <w:bottom w:w="0" w:type="dxa"/>
            <w:right w:w="30" w:type="dxa"/>
          </w:tblCellMar>
        </w:tblPrEx>
        <w:trPr>
          <w:cantSplit/>
          <w:trHeight w:val="306" w:hRule="atLeast"/>
          <w:jc w:val="center"/>
        </w:trPr>
        <w:tc>
          <w:tcPr>
            <w:tcW w:w="710" w:type="dxa"/>
            <w:gridSpan w:val="2"/>
            <w:tcBorders>
              <w:left w:val="single" w:color="auto" w:sz="4" w:space="0"/>
              <w:bottom w:val="single" w:color="auto" w:sz="4" w:space="0"/>
              <w:right w:val="single" w:color="auto" w:sz="4" w:space="0"/>
            </w:tcBorders>
            <w:vAlign w:val="center"/>
          </w:tcPr>
          <w:p w14:paraId="77545AE4">
            <w:pPr>
              <w:widowControl/>
              <w:spacing w:beforeAutospacing="1" w:afterAutospacing="1"/>
              <w:jc w:val="left"/>
              <w:rPr>
                <w:rFonts w:ascii="仿宋_GB2312" w:hAnsi="Times New Roman" w:eastAsia="仿宋_GB2312"/>
                <w:sz w:val="20"/>
                <w:szCs w:val="20"/>
              </w:rPr>
            </w:pPr>
          </w:p>
        </w:tc>
        <w:tc>
          <w:tcPr>
            <w:tcW w:w="654" w:type="dxa"/>
            <w:tcBorders>
              <w:left w:val="nil"/>
              <w:bottom w:val="single" w:color="auto" w:sz="4" w:space="0"/>
              <w:right w:val="single" w:color="auto" w:sz="4" w:space="0"/>
            </w:tcBorders>
            <w:vAlign w:val="center"/>
          </w:tcPr>
          <w:p w14:paraId="4ABF7471">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45708B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（3）生活区问题整改积极，损坏物品及时处理（2分）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B834208">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nil"/>
              <w:right w:val="single" w:color="auto" w:sz="4" w:space="0"/>
            </w:tcBorders>
            <w:vAlign w:val="center"/>
          </w:tcPr>
          <w:p w14:paraId="15096648">
            <w:pPr>
              <w:widowControl/>
              <w:spacing w:beforeAutospacing="1" w:afterAutospacing="1"/>
              <w:jc w:val="left"/>
              <w:rPr>
                <w:rFonts w:ascii="仿宋_GB2312" w:hAnsi="Times New Roman" w:eastAsia="仿宋_GB2312"/>
                <w:sz w:val="20"/>
                <w:szCs w:val="20"/>
              </w:rPr>
            </w:pPr>
          </w:p>
        </w:tc>
      </w:tr>
      <w:tr w14:paraId="72F5ADE0">
        <w:tblPrEx>
          <w:tblCellMar>
            <w:top w:w="0" w:type="dxa"/>
            <w:left w:w="30" w:type="dxa"/>
            <w:bottom w:w="0" w:type="dxa"/>
            <w:right w:w="30" w:type="dxa"/>
          </w:tblCellMar>
        </w:tblPrEx>
        <w:trPr>
          <w:cantSplit/>
          <w:trHeight w:val="306" w:hRule="atLeast"/>
          <w:jc w:val="center"/>
        </w:trPr>
        <w:tc>
          <w:tcPr>
            <w:tcW w:w="710" w:type="dxa"/>
            <w:gridSpan w:val="2"/>
            <w:tcBorders>
              <w:left w:val="single" w:color="auto" w:sz="4" w:space="0"/>
              <w:bottom w:val="single" w:color="auto" w:sz="4" w:space="0"/>
              <w:right w:val="single" w:color="auto" w:sz="4" w:space="0"/>
            </w:tcBorders>
            <w:vAlign w:val="center"/>
          </w:tcPr>
          <w:p w14:paraId="3ED9015C">
            <w:pPr>
              <w:widowControl/>
              <w:spacing w:beforeAutospacing="1" w:afterAutospacing="1"/>
              <w:jc w:val="left"/>
              <w:rPr>
                <w:rFonts w:ascii="仿宋_GB2312" w:hAnsi="Times New Roman" w:eastAsia="仿宋_GB2312"/>
                <w:sz w:val="20"/>
                <w:szCs w:val="20"/>
              </w:rPr>
            </w:pPr>
          </w:p>
        </w:tc>
        <w:tc>
          <w:tcPr>
            <w:tcW w:w="654" w:type="dxa"/>
            <w:tcBorders>
              <w:left w:val="nil"/>
              <w:bottom w:val="single" w:color="auto" w:sz="4" w:space="0"/>
              <w:right w:val="single" w:color="auto" w:sz="4" w:space="0"/>
            </w:tcBorders>
            <w:vAlign w:val="center"/>
          </w:tcPr>
          <w:p w14:paraId="0BBCD96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5168BA">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总分6分，合计得分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26B41B5">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nil"/>
              <w:bottom w:val="single" w:color="auto" w:sz="4" w:space="0"/>
              <w:right w:val="single" w:color="auto" w:sz="4" w:space="0"/>
            </w:tcBorders>
            <w:vAlign w:val="center"/>
          </w:tcPr>
          <w:p w14:paraId="0ECDD7A4">
            <w:pPr>
              <w:widowControl/>
              <w:spacing w:beforeAutospacing="1" w:afterAutospacing="1"/>
              <w:jc w:val="left"/>
              <w:rPr>
                <w:rFonts w:ascii="仿宋_GB2312" w:hAnsi="Times New Roman" w:eastAsia="仿宋_GB2312"/>
                <w:sz w:val="20"/>
                <w:szCs w:val="20"/>
              </w:rPr>
            </w:pPr>
          </w:p>
        </w:tc>
      </w:tr>
      <w:tr w14:paraId="215BFCA2">
        <w:tblPrEx>
          <w:tblCellMar>
            <w:top w:w="0" w:type="dxa"/>
            <w:left w:w="30" w:type="dxa"/>
            <w:bottom w:w="0" w:type="dxa"/>
            <w:right w:w="30" w:type="dxa"/>
          </w:tblCellMar>
        </w:tblPrEx>
        <w:trPr>
          <w:cantSplit/>
          <w:trHeight w:val="336" w:hRule="atLeast"/>
          <w:jc w:val="center"/>
        </w:trPr>
        <w:tc>
          <w:tcPr>
            <w:tcW w:w="7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38379B">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合计</w:t>
            </w:r>
          </w:p>
        </w:tc>
        <w:tc>
          <w:tcPr>
            <w:tcW w:w="5869" w:type="dxa"/>
            <w:gridSpan w:val="7"/>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738D552">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100分</w:t>
            </w:r>
          </w:p>
        </w:tc>
        <w:tc>
          <w:tcPr>
            <w:tcW w:w="300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A7FD8E8">
            <w:pPr>
              <w:adjustRightInd w:val="0"/>
              <w:snapToGrid w:val="0"/>
              <w:spacing w:line="360" w:lineRule="exact"/>
              <w:rPr>
                <w:rFonts w:ascii="仿宋_GB2312" w:hAnsi="Times New Roman" w:eastAsia="仿宋_GB2312"/>
                <w:sz w:val="20"/>
                <w:szCs w:val="20"/>
              </w:rPr>
            </w:pPr>
          </w:p>
        </w:tc>
      </w:tr>
      <w:tr w14:paraId="7A5D15A0">
        <w:tblPrEx>
          <w:tblCellMar>
            <w:top w:w="0" w:type="dxa"/>
            <w:left w:w="30" w:type="dxa"/>
            <w:bottom w:w="0" w:type="dxa"/>
            <w:right w:w="30" w:type="dxa"/>
          </w:tblCellMar>
        </w:tblPrEx>
        <w:trPr>
          <w:cantSplit/>
          <w:trHeight w:val="314" w:hRule="atLeast"/>
          <w:jc w:val="center"/>
        </w:trPr>
        <w:tc>
          <w:tcPr>
            <w:tcW w:w="9588"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A9C07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综合评价</w:t>
            </w:r>
          </w:p>
        </w:tc>
      </w:tr>
      <w:tr w14:paraId="21C77B92">
        <w:tblPrEx>
          <w:tblCellMar>
            <w:top w:w="0" w:type="dxa"/>
            <w:left w:w="30" w:type="dxa"/>
            <w:bottom w:w="0" w:type="dxa"/>
            <w:right w:w="30" w:type="dxa"/>
          </w:tblCellMar>
        </w:tblPrEx>
        <w:trPr>
          <w:cantSplit/>
          <w:trHeight w:val="497" w:hRule="atLeast"/>
          <w:jc w:val="center"/>
        </w:trPr>
        <w:tc>
          <w:tcPr>
            <w:tcW w:w="1364"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279C0A1">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生产主管部门负责人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6D115B0">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7E86F65">
            <w:pPr>
              <w:adjustRightInd w:val="0"/>
              <w:snapToGrid w:val="0"/>
              <w:spacing w:line="360" w:lineRule="exact"/>
              <w:jc w:val="center"/>
              <w:rPr>
                <w:rFonts w:ascii="仿宋_GB2312" w:hAnsi="Times New Roman" w:eastAsia="仿宋_GB2312"/>
                <w:sz w:val="20"/>
                <w:szCs w:val="20"/>
              </w:rPr>
            </w:pPr>
          </w:p>
        </w:tc>
      </w:tr>
      <w:tr w14:paraId="5876818B">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E02524D">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FD1BB56">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C4F8B78">
            <w:pPr>
              <w:adjustRightInd w:val="0"/>
              <w:snapToGrid w:val="0"/>
              <w:spacing w:line="360" w:lineRule="exact"/>
              <w:jc w:val="center"/>
              <w:rPr>
                <w:rFonts w:ascii="仿宋_GB2312" w:hAnsi="Times New Roman" w:eastAsia="仿宋_GB2312"/>
                <w:sz w:val="20"/>
                <w:szCs w:val="20"/>
              </w:rPr>
            </w:pPr>
          </w:p>
        </w:tc>
      </w:tr>
      <w:tr w14:paraId="0CF3E203">
        <w:tblPrEx>
          <w:tblCellMar>
            <w:top w:w="0" w:type="dxa"/>
            <w:left w:w="30" w:type="dxa"/>
            <w:bottom w:w="0" w:type="dxa"/>
            <w:right w:w="30" w:type="dxa"/>
          </w:tblCellMar>
        </w:tblPrEx>
        <w:trPr>
          <w:cantSplit/>
          <w:trHeight w:val="497" w:hRule="atLeast"/>
          <w:jc w:val="center"/>
        </w:trPr>
        <w:tc>
          <w:tcPr>
            <w:tcW w:w="1364"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7136FEE">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商务主管部门负责人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F71245">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F1F53E0">
            <w:pPr>
              <w:adjustRightInd w:val="0"/>
              <w:snapToGrid w:val="0"/>
              <w:spacing w:line="360" w:lineRule="exact"/>
              <w:jc w:val="center"/>
              <w:rPr>
                <w:rFonts w:ascii="仿宋_GB2312" w:hAnsi="Times New Roman" w:eastAsia="仿宋_GB2312"/>
                <w:sz w:val="20"/>
                <w:szCs w:val="20"/>
              </w:rPr>
            </w:pPr>
          </w:p>
        </w:tc>
      </w:tr>
      <w:tr w14:paraId="21291750">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BCA4A6D">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0DEA135">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4A96191">
            <w:pPr>
              <w:adjustRightInd w:val="0"/>
              <w:snapToGrid w:val="0"/>
              <w:spacing w:line="360" w:lineRule="exact"/>
              <w:jc w:val="center"/>
              <w:rPr>
                <w:rFonts w:ascii="仿宋_GB2312" w:hAnsi="Times New Roman" w:eastAsia="仿宋_GB2312"/>
                <w:sz w:val="20"/>
                <w:szCs w:val="20"/>
              </w:rPr>
            </w:pPr>
          </w:p>
        </w:tc>
      </w:tr>
      <w:tr w14:paraId="725AE2E1">
        <w:tblPrEx>
          <w:tblCellMar>
            <w:top w:w="0" w:type="dxa"/>
            <w:left w:w="30" w:type="dxa"/>
            <w:bottom w:w="0" w:type="dxa"/>
            <w:right w:w="30" w:type="dxa"/>
          </w:tblCellMar>
        </w:tblPrEx>
        <w:trPr>
          <w:cantSplit/>
          <w:trHeight w:val="497" w:hRule="atLeast"/>
          <w:jc w:val="center"/>
        </w:trPr>
        <w:tc>
          <w:tcPr>
            <w:tcW w:w="1364"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09242D8B">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技术主管部门负责人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A77BF2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1982E17">
            <w:pPr>
              <w:adjustRightInd w:val="0"/>
              <w:snapToGrid w:val="0"/>
              <w:spacing w:line="360" w:lineRule="exact"/>
              <w:jc w:val="center"/>
              <w:rPr>
                <w:rFonts w:ascii="仿宋_GB2312" w:hAnsi="Times New Roman" w:eastAsia="仿宋_GB2312"/>
                <w:color w:val="FF0000"/>
                <w:sz w:val="20"/>
                <w:szCs w:val="20"/>
              </w:rPr>
            </w:pPr>
          </w:p>
        </w:tc>
      </w:tr>
      <w:tr w14:paraId="4207E300">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04106C6">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14E10A">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E3438BE">
            <w:pPr>
              <w:adjustRightInd w:val="0"/>
              <w:snapToGrid w:val="0"/>
              <w:spacing w:line="360" w:lineRule="exact"/>
              <w:jc w:val="center"/>
              <w:rPr>
                <w:rFonts w:ascii="仿宋_GB2312" w:hAnsi="Times New Roman" w:eastAsia="仿宋_GB2312"/>
                <w:sz w:val="20"/>
                <w:szCs w:val="20"/>
              </w:rPr>
            </w:pPr>
          </w:p>
        </w:tc>
      </w:tr>
      <w:tr w14:paraId="1B82DB12">
        <w:tblPrEx>
          <w:tblCellMar>
            <w:top w:w="0" w:type="dxa"/>
            <w:left w:w="30" w:type="dxa"/>
            <w:bottom w:w="0" w:type="dxa"/>
            <w:right w:w="30" w:type="dxa"/>
          </w:tblCellMar>
        </w:tblPrEx>
        <w:trPr>
          <w:cantSplit/>
          <w:trHeight w:val="497" w:hRule="atLeast"/>
          <w:jc w:val="center"/>
        </w:trPr>
        <w:tc>
          <w:tcPr>
            <w:tcW w:w="1364"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1C8DD354">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质量主管部门负责人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1E747BB">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4FD7AF">
            <w:pPr>
              <w:adjustRightInd w:val="0"/>
              <w:snapToGrid w:val="0"/>
              <w:spacing w:line="360" w:lineRule="exact"/>
              <w:jc w:val="center"/>
              <w:rPr>
                <w:rFonts w:ascii="仿宋_GB2312" w:hAnsi="Times New Roman" w:eastAsia="仿宋_GB2312"/>
                <w:sz w:val="20"/>
                <w:szCs w:val="20"/>
              </w:rPr>
            </w:pPr>
          </w:p>
        </w:tc>
      </w:tr>
      <w:tr w14:paraId="4382F716">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D61E451">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79F0BCE">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2AF1A49">
            <w:pPr>
              <w:adjustRightInd w:val="0"/>
              <w:snapToGrid w:val="0"/>
              <w:spacing w:line="360" w:lineRule="exact"/>
              <w:jc w:val="center"/>
              <w:rPr>
                <w:rFonts w:ascii="仿宋_GB2312" w:hAnsi="Times New Roman" w:eastAsia="仿宋_GB2312"/>
                <w:sz w:val="20"/>
                <w:szCs w:val="20"/>
              </w:rPr>
            </w:pPr>
          </w:p>
        </w:tc>
      </w:tr>
      <w:tr w14:paraId="38B3DCF5">
        <w:tblPrEx>
          <w:tblCellMar>
            <w:top w:w="0" w:type="dxa"/>
            <w:left w:w="30" w:type="dxa"/>
            <w:bottom w:w="0" w:type="dxa"/>
            <w:right w:w="30" w:type="dxa"/>
          </w:tblCellMar>
        </w:tblPrEx>
        <w:trPr>
          <w:cantSplit/>
          <w:trHeight w:val="497" w:hRule="atLeast"/>
          <w:jc w:val="center"/>
        </w:trPr>
        <w:tc>
          <w:tcPr>
            <w:tcW w:w="1364"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35E11BF7">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安全主管部门负责人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795732E">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563EE94">
            <w:pPr>
              <w:adjustRightInd w:val="0"/>
              <w:snapToGrid w:val="0"/>
              <w:spacing w:line="360" w:lineRule="exact"/>
              <w:jc w:val="center"/>
              <w:rPr>
                <w:rFonts w:ascii="仿宋_GB2312" w:hAnsi="Times New Roman" w:eastAsia="仿宋_GB2312"/>
                <w:sz w:val="20"/>
                <w:szCs w:val="20"/>
              </w:rPr>
            </w:pPr>
          </w:p>
        </w:tc>
      </w:tr>
      <w:tr w14:paraId="2CA7500A">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4E06D40">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05F59B9">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8178EE">
            <w:pPr>
              <w:adjustRightInd w:val="0"/>
              <w:snapToGrid w:val="0"/>
              <w:spacing w:line="360" w:lineRule="exact"/>
              <w:jc w:val="center"/>
              <w:rPr>
                <w:rFonts w:ascii="仿宋_GB2312" w:hAnsi="Times New Roman" w:eastAsia="仿宋_GB2312"/>
                <w:sz w:val="20"/>
                <w:szCs w:val="20"/>
              </w:rPr>
            </w:pPr>
          </w:p>
        </w:tc>
      </w:tr>
      <w:tr w14:paraId="74B0B4A6">
        <w:tblPrEx>
          <w:tblCellMar>
            <w:top w:w="0" w:type="dxa"/>
            <w:left w:w="30" w:type="dxa"/>
            <w:bottom w:w="0" w:type="dxa"/>
            <w:right w:w="30" w:type="dxa"/>
          </w:tblCellMar>
        </w:tblPrEx>
        <w:trPr>
          <w:cantSplit/>
          <w:trHeight w:val="497" w:hRule="atLeast"/>
          <w:jc w:val="center"/>
        </w:trPr>
        <w:tc>
          <w:tcPr>
            <w:tcW w:w="1364"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0D720543">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综合主管部门负责人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7C9C53">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ECB2262">
            <w:pPr>
              <w:adjustRightInd w:val="0"/>
              <w:snapToGrid w:val="0"/>
              <w:spacing w:line="360" w:lineRule="exact"/>
              <w:jc w:val="center"/>
              <w:rPr>
                <w:rFonts w:ascii="仿宋_GB2312" w:hAnsi="Times New Roman" w:eastAsia="仿宋_GB2312"/>
                <w:sz w:val="20"/>
                <w:szCs w:val="20"/>
              </w:rPr>
            </w:pPr>
          </w:p>
        </w:tc>
      </w:tr>
      <w:tr w14:paraId="0BB3410A">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81AC2F4">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A4435B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943B52F">
            <w:pPr>
              <w:adjustRightInd w:val="0"/>
              <w:snapToGrid w:val="0"/>
              <w:spacing w:line="360" w:lineRule="exact"/>
              <w:jc w:val="center"/>
              <w:rPr>
                <w:rFonts w:ascii="仿宋_GB2312" w:hAnsi="Times New Roman" w:eastAsia="仿宋_GB2312"/>
                <w:sz w:val="20"/>
                <w:szCs w:val="20"/>
              </w:rPr>
            </w:pPr>
          </w:p>
        </w:tc>
      </w:tr>
      <w:tr w14:paraId="7F99E773">
        <w:tblPrEx>
          <w:tblCellMar>
            <w:top w:w="0" w:type="dxa"/>
            <w:left w:w="30" w:type="dxa"/>
            <w:bottom w:w="0" w:type="dxa"/>
            <w:right w:w="30" w:type="dxa"/>
          </w:tblCellMar>
        </w:tblPrEx>
        <w:trPr>
          <w:trHeight w:val="852" w:hRule="atLeast"/>
          <w:jc w:val="center"/>
        </w:trPr>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21376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项目负责人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4642A5E">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整体评价</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D60A4A2">
            <w:pPr>
              <w:adjustRightInd w:val="0"/>
              <w:snapToGrid w:val="0"/>
              <w:spacing w:line="360" w:lineRule="exact"/>
              <w:jc w:val="center"/>
              <w:rPr>
                <w:rFonts w:ascii="仿宋_GB2312" w:hAnsi="Times New Roman" w:eastAsia="仿宋_GB2312"/>
                <w:sz w:val="20"/>
                <w:szCs w:val="20"/>
              </w:rPr>
            </w:pPr>
          </w:p>
        </w:tc>
      </w:tr>
    </w:tbl>
    <w:p w14:paraId="7E7DDA74">
      <w:pPr>
        <w:jc w:val="center"/>
        <w:rPr>
          <w:rFonts w:ascii="方正小标宋简体" w:hAnsi="仿宋" w:eastAsia="方正小标宋简体"/>
        </w:rPr>
      </w:pPr>
      <w:r>
        <w:rPr>
          <w:rFonts w:hint="eastAsia" w:ascii="方正小标宋简体" w:hAnsi="仿宋" w:eastAsia="方正小标宋简体"/>
        </w:rPr>
        <w:t>分包单位安全生产履约评价表</w:t>
      </w:r>
    </w:p>
    <w:tbl>
      <w:tblPr>
        <w:tblStyle w:val="41"/>
        <w:tblpPr w:leftFromText="180" w:rightFromText="180" w:vertAnchor="text" w:tblpXSpec="center" w:tblpY="1"/>
        <w:tblOverlap w:val="never"/>
        <w:tblW w:w="9389" w:type="dxa"/>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92"/>
        <w:gridCol w:w="709"/>
        <w:gridCol w:w="3891"/>
        <w:gridCol w:w="1920"/>
        <w:gridCol w:w="709"/>
        <w:gridCol w:w="634"/>
      </w:tblGrid>
      <w:tr w14:paraId="7691D5B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2235" w:type="dxa"/>
            <w:gridSpan w:val="3"/>
            <w:tcBorders>
              <w:tl2br w:val="nil"/>
              <w:tr2bl w:val="nil"/>
            </w:tcBorders>
            <w:vAlign w:val="center"/>
          </w:tcPr>
          <w:p w14:paraId="48D601F4">
            <w:pPr>
              <w:jc w:val="center"/>
              <w:rPr>
                <w:rFonts w:ascii="华文仿宋" w:hAnsi="华文仿宋" w:eastAsia="华文仿宋"/>
                <w:b/>
                <w:color w:val="000000"/>
                <w:sz w:val="20"/>
                <w:szCs w:val="20"/>
              </w:rPr>
            </w:pPr>
            <w:r>
              <w:rPr>
                <w:rFonts w:hint="eastAsia" w:ascii="华文仿宋" w:hAnsi="华文仿宋" w:eastAsia="华文仿宋"/>
                <w:b/>
                <w:color w:val="000000"/>
                <w:sz w:val="20"/>
                <w:szCs w:val="20"/>
              </w:rPr>
              <w:t>项目名称</w:t>
            </w:r>
          </w:p>
        </w:tc>
        <w:tc>
          <w:tcPr>
            <w:tcW w:w="3891" w:type="dxa"/>
            <w:tcBorders>
              <w:right w:val="single" w:color="auto" w:sz="4" w:space="0"/>
              <w:tl2br w:val="nil"/>
              <w:tr2bl w:val="nil"/>
            </w:tcBorders>
            <w:vAlign w:val="center"/>
          </w:tcPr>
          <w:p w14:paraId="0AB6C74B">
            <w:pPr>
              <w:jc w:val="center"/>
              <w:rPr>
                <w:rFonts w:ascii="华文仿宋" w:hAnsi="华文仿宋" w:eastAsia="华文仿宋"/>
                <w:b/>
                <w:color w:val="000000"/>
                <w:sz w:val="20"/>
                <w:szCs w:val="20"/>
              </w:rPr>
            </w:pPr>
          </w:p>
        </w:tc>
        <w:tc>
          <w:tcPr>
            <w:tcW w:w="1920" w:type="dxa"/>
            <w:tcBorders>
              <w:left w:val="single" w:color="auto" w:sz="4" w:space="0"/>
              <w:tl2br w:val="nil"/>
              <w:tr2bl w:val="nil"/>
            </w:tcBorders>
            <w:vAlign w:val="center"/>
          </w:tcPr>
          <w:p w14:paraId="694E4ED4">
            <w:pPr>
              <w:jc w:val="center"/>
              <w:rPr>
                <w:rFonts w:ascii="华文仿宋" w:hAnsi="华文仿宋" w:eastAsia="华文仿宋"/>
                <w:b/>
                <w:color w:val="000000"/>
                <w:sz w:val="20"/>
                <w:szCs w:val="20"/>
              </w:rPr>
            </w:pPr>
            <w:r>
              <w:rPr>
                <w:rFonts w:hint="eastAsia" w:ascii="华文仿宋" w:hAnsi="华文仿宋" w:eastAsia="华文仿宋"/>
                <w:b/>
                <w:color w:val="000000"/>
                <w:sz w:val="20"/>
                <w:szCs w:val="20"/>
              </w:rPr>
              <w:t>评价周期</w:t>
            </w:r>
          </w:p>
        </w:tc>
        <w:tc>
          <w:tcPr>
            <w:tcW w:w="1343" w:type="dxa"/>
            <w:gridSpan w:val="2"/>
            <w:tcBorders>
              <w:top w:val="single" w:color="000000" w:sz="18" w:space="0"/>
              <w:bottom w:val="single" w:color="000000" w:sz="4" w:space="0"/>
              <w:right w:val="single" w:color="000000" w:sz="18" w:space="0"/>
              <w:tl2br w:val="nil"/>
              <w:tr2bl w:val="nil"/>
            </w:tcBorders>
            <w:vAlign w:val="center"/>
          </w:tcPr>
          <w:p w14:paraId="62F2A52E">
            <w:pPr>
              <w:jc w:val="center"/>
              <w:rPr>
                <w:rFonts w:ascii="华文仿宋" w:hAnsi="华文仿宋" w:eastAsia="华文仿宋"/>
                <w:b/>
                <w:color w:val="000000"/>
                <w:sz w:val="20"/>
                <w:szCs w:val="20"/>
              </w:rPr>
            </w:pPr>
            <w:r>
              <w:rPr>
                <w:rFonts w:hint="eastAsia" w:ascii="华文仿宋" w:hAnsi="华文仿宋" w:eastAsia="华文仿宋"/>
                <w:b/>
                <w:color w:val="000000"/>
                <w:sz w:val="20"/>
                <w:szCs w:val="20"/>
              </w:rPr>
              <w:t>月</w:t>
            </w:r>
          </w:p>
        </w:tc>
      </w:tr>
      <w:tr w14:paraId="5AA59C6E">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235" w:type="dxa"/>
            <w:gridSpan w:val="3"/>
            <w:tcBorders>
              <w:tl2br w:val="nil"/>
              <w:tr2bl w:val="nil"/>
            </w:tcBorders>
            <w:vAlign w:val="center"/>
          </w:tcPr>
          <w:p w14:paraId="1E20CC32">
            <w:pPr>
              <w:jc w:val="center"/>
              <w:rPr>
                <w:rFonts w:ascii="华文仿宋" w:hAnsi="华文仿宋" w:eastAsia="华文仿宋"/>
                <w:b/>
                <w:color w:val="000000"/>
                <w:sz w:val="20"/>
                <w:szCs w:val="20"/>
              </w:rPr>
            </w:pPr>
            <w:r>
              <w:rPr>
                <w:rFonts w:hint="eastAsia" w:ascii="华文仿宋" w:hAnsi="华文仿宋" w:eastAsia="华文仿宋"/>
                <w:b/>
                <w:color w:val="000000"/>
                <w:sz w:val="20"/>
                <w:szCs w:val="20"/>
              </w:rPr>
              <w:t>分包单位名称</w:t>
            </w:r>
          </w:p>
        </w:tc>
        <w:tc>
          <w:tcPr>
            <w:tcW w:w="3891" w:type="dxa"/>
            <w:tcBorders>
              <w:right w:val="single" w:color="auto" w:sz="4" w:space="0"/>
              <w:tl2br w:val="nil"/>
              <w:tr2bl w:val="nil"/>
            </w:tcBorders>
            <w:vAlign w:val="center"/>
          </w:tcPr>
          <w:p w14:paraId="50F3AF1F">
            <w:pPr>
              <w:jc w:val="center"/>
              <w:rPr>
                <w:rFonts w:ascii="华文仿宋" w:hAnsi="华文仿宋" w:eastAsia="华文仿宋"/>
                <w:b/>
                <w:color w:val="000000"/>
                <w:sz w:val="20"/>
                <w:szCs w:val="20"/>
              </w:rPr>
            </w:pPr>
          </w:p>
        </w:tc>
        <w:tc>
          <w:tcPr>
            <w:tcW w:w="1920" w:type="dxa"/>
            <w:tcBorders>
              <w:left w:val="single" w:color="auto" w:sz="4" w:space="0"/>
              <w:tl2br w:val="nil"/>
              <w:tr2bl w:val="nil"/>
            </w:tcBorders>
            <w:vAlign w:val="center"/>
          </w:tcPr>
          <w:p w14:paraId="23318366">
            <w:pPr>
              <w:jc w:val="center"/>
              <w:rPr>
                <w:rFonts w:ascii="华文仿宋" w:hAnsi="华文仿宋" w:eastAsia="华文仿宋"/>
                <w:b/>
                <w:color w:val="000000"/>
                <w:sz w:val="20"/>
                <w:szCs w:val="20"/>
              </w:rPr>
            </w:pPr>
            <w:r>
              <w:rPr>
                <w:rFonts w:hint="eastAsia" w:ascii="华文仿宋" w:hAnsi="华文仿宋" w:eastAsia="华文仿宋"/>
                <w:b/>
                <w:color w:val="000000"/>
                <w:sz w:val="20"/>
                <w:szCs w:val="20"/>
              </w:rPr>
              <w:t>评价部门或人员</w:t>
            </w:r>
          </w:p>
        </w:tc>
        <w:tc>
          <w:tcPr>
            <w:tcW w:w="1343" w:type="dxa"/>
            <w:gridSpan w:val="2"/>
            <w:tcBorders>
              <w:top w:val="single" w:color="000000" w:sz="4" w:space="0"/>
              <w:bottom w:val="single" w:color="000000" w:sz="4" w:space="0"/>
              <w:right w:val="single" w:color="000000" w:sz="18" w:space="0"/>
              <w:tl2br w:val="nil"/>
              <w:tr2bl w:val="nil"/>
            </w:tcBorders>
            <w:vAlign w:val="center"/>
          </w:tcPr>
          <w:p w14:paraId="51302EC8">
            <w:pPr>
              <w:jc w:val="center"/>
              <w:rPr>
                <w:rFonts w:ascii="华文仿宋" w:hAnsi="华文仿宋" w:eastAsia="华文仿宋"/>
                <w:b/>
                <w:color w:val="000000"/>
                <w:sz w:val="20"/>
                <w:szCs w:val="20"/>
              </w:rPr>
            </w:pPr>
          </w:p>
        </w:tc>
      </w:tr>
      <w:tr w14:paraId="5C40BB2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34" w:type="dxa"/>
            <w:tcBorders>
              <w:tl2br w:val="nil"/>
              <w:tr2bl w:val="nil"/>
            </w:tcBorders>
            <w:vAlign w:val="center"/>
          </w:tcPr>
          <w:p w14:paraId="5EDB8D4E">
            <w:pPr>
              <w:spacing w:line="400" w:lineRule="exact"/>
              <w:jc w:val="center"/>
              <w:rPr>
                <w:rFonts w:ascii="华文仿宋" w:hAnsi="华文仿宋" w:eastAsia="华文仿宋"/>
                <w:b/>
                <w:color w:val="000000"/>
                <w:sz w:val="18"/>
                <w:szCs w:val="18"/>
              </w:rPr>
            </w:pPr>
            <w:r>
              <w:rPr>
                <w:rFonts w:hint="eastAsia" w:ascii="华文仿宋" w:hAnsi="华文仿宋" w:eastAsia="华文仿宋"/>
                <w:b/>
                <w:color w:val="000000"/>
                <w:sz w:val="18"/>
                <w:szCs w:val="18"/>
              </w:rPr>
              <w:t>序</w:t>
            </w:r>
          </w:p>
        </w:tc>
        <w:tc>
          <w:tcPr>
            <w:tcW w:w="992" w:type="dxa"/>
            <w:tcBorders>
              <w:right w:val="single" w:color="auto" w:sz="4" w:space="0"/>
              <w:tl2br w:val="nil"/>
              <w:tr2bl w:val="nil"/>
            </w:tcBorders>
            <w:vAlign w:val="center"/>
          </w:tcPr>
          <w:p w14:paraId="0D67BB67">
            <w:pPr>
              <w:spacing w:line="400" w:lineRule="exact"/>
              <w:jc w:val="center"/>
              <w:rPr>
                <w:rFonts w:ascii="华文仿宋" w:hAnsi="华文仿宋" w:eastAsia="华文仿宋"/>
                <w:b/>
                <w:color w:val="000000"/>
                <w:sz w:val="18"/>
                <w:szCs w:val="18"/>
              </w:rPr>
            </w:pPr>
            <w:r>
              <w:rPr>
                <w:rFonts w:hint="eastAsia" w:ascii="华文仿宋" w:hAnsi="华文仿宋" w:eastAsia="华文仿宋"/>
                <w:b/>
                <w:color w:val="000000"/>
                <w:sz w:val="18"/>
                <w:szCs w:val="18"/>
              </w:rPr>
              <w:t>评价内容</w:t>
            </w:r>
          </w:p>
        </w:tc>
        <w:tc>
          <w:tcPr>
            <w:tcW w:w="709" w:type="dxa"/>
            <w:tcBorders>
              <w:right w:val="single" w:color="auto" w:sz="4" w:space="0"/>
              <w:tl2br w:val="nil"/>
              <w:tr2bl w:val="nil"/>
            </w:tcBorders>
            <w:vAlign w:val="center"/>
          </w:tcPr>
          <w:p w14:paraId="74C5DDAB">
            <w:pPr>
              <w:spacing w:line="400" w:lineRule="exact"/>
              <w:jc w:val="center"/>
              <w:rPr>
                <w:rFonts w:ascii="华文仿宋" w:hAnsi="华文仿宋" w:eastAsia="华文仿宋"/>
                <w:b/>
                <w:color w:val="000000"/>
                <w:sz w:val="18"/>
                <w:szCs w:val="18"/>
              </w:rPr>
            </w:pPr>
            <w:r>
              <w:rPr>
                <w:rFonts w:hint="eastAsia" w:ascii="华文仿宋" w:hAnsi="华文仿宋" w:eastAsia="华文仿宋"/>
                <w:b/>
                <w:color w:val="000000"/>
                <w:sz w:val="18"/>
                <w:szCs w:val="18"/>
              </w:rPr>
              <w:t>权重</w:t>
            </w:r>
          </w:p>
        </w:tc>
        <w:tc>
          <w:tcPr>
            <w:tcW w:w="5811" w:type="dxa"/>
            <w:gridSpan w:val="2"/>
            <w:tcBorders>
              <w:left w:val="single" w:color="auto" w:sz="4" w:space="0"/>
              <w:tl2br w:val="nil"/>
              <w:tr2bl w:val="nil"/>
            </w:tcBorders>
            <w:vAlign w:val="center"/>
          </w:tcPr>
          <w:p w14:paraId="37B5BC36">
            <w:pPr>
              <w:spacing w:line="400" w:lineRule="exact"/>
              <w:jc w:val="center"/>
              <w:rPr>
                <w:rFonts w:ascii="华文仿宋" w:hAnsi="华文仿宋" w:eastAsia="华文仿宋"/>
                <w:b/>
                <w:color w:val="000000"/>
                <w:sz w:val="18"/>
                <w:szCs w:val="18"/>
              </w:rPr>
            </w:pPr>
            <w:r>
              <w:rPr>
                <w:rFonts w:hint="eastAsia" w:ascii="华文仿宋" w:hAnsi="华文仿宋" w:eastAsia="华文仿宋"/>
                <w:b/>
                <w:color w:val="000000"/>
                <w:sz w:val="18"/>
                <w:szCs w:val="18"/>
              </w:rPr>
              <w:t>评价标准</w:t>
            </w:r>
          </w:p>
        </w:tc>
        <w:tc>
          <w:tcPr>
            <w:tcW w:w="709" w:type="dxa"/>
            <w:tcBorders>
              <w:top w:val="single" w:color="000000" w:sz="4" w:space="0"/>
              <w:tl2br w:val="nil"/>
              <w:tr2bl w:val="nil"/>
            </w:tcBorders>
            <w:vAlign w:val="center"/>
          </w:tcPr>
          <w:p w14:paraId="474C3BFD">
            <w:pPr>
              <w:spacing w:line="400" w:lineRule="exact"/>
              <w:jc w:val="center"/>
              <w:rPr>
                <w:rFonts w:ascii="华文仿宋" w:hAnsi="华文仿宋" w:eastAsia="华文仿宋"/>
                <w:b/>
                <w:color w:val="000000"/>
                <w:sz w:val="18"/>
                <w:szCs w:val="18"/>
              </w:rPr>
            </w:pPr>
            <w:r>
              <w:rPr>
                <w:rFonts w:ascii="华文仿宋" w:hAnsi="华文仿宋" w:eastAsia="华文仿宋"/>
                <w:b/>
                <w:color w:val="000000"/>
                <w:sz w:val="18"/>
                <w:szCs w:val="18"/>
              </w:rPr>
              <w:t>得分</w:t>
            </w:r>
          </w:p>
        </w:tc>
        <w:tc>
          <w:tcPr>
            <w:tcW w:w="634" w:type="dxa"/>
            <w:tcBorders>
              <w:top w:val="single" w:color="000000" w:sz="4" w:space="0"/>
              <w:tl2br w:val="nil"/>
              <w:tr2bl w:val="nil"/>
            </w:tcBorders>
          </w:tcPr>
          <w:p w14:paraId="2A682551">
            <w:pPr>
              <w:spacing w:line="400" w:lineRule="exact"/>
              <w:jc w:val="center"/>
              <w:rPr>
                <w:rFonts w:ascii="华文仿宋" w:hAnsi="华文仿宋" w:eastAsia="华文仿宋"/>
                <w:b/>
                <w:color w:val="000000"/>
                <w:sz w:val="18"/>
                <w:szCs w:val="18"/>
              </w:rPr>
            </w:pPr>
            <w:r>
              <w:rPr>
                <w:rFonts w:ascii="华文仿宋" w:hAnsi="华文仿宋" w:eastAsia="华文仿宋"/>
                <w:b/>
                <w:color w:val="000000"/>
                <w:sz w:val="18"/>
                <w:szCs w:val="18"/>
              </w:rPr>
              <w:t>备注</w:t>
            </w:r>
          </w:p>
        </w:tc>
      </w:tr>
      <w:tr w14:paraId="2094BF6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34" w:type="dxa"/>
            <w:tcBorders>
              <w:tl2br w:val="nil"/>
              <w:tr2bl w:val="nil"/>
            </w:tcBorders>
            <w:vAlign w:val="center"/>
          </w:tcPr>
          <w:p w14:paraId="66D735D2">
            <w:pPr>
              <w:spacing w:line="400" w:lineRule="exact"/>
              <w:jc w:val="center"/>
              <w:rPr>
                <w:rFonts w:ascii="华文仿宋" w:hAnsi="华文仿宋" w:eastAsia="华文仿宋"/>
                <w:b/>
                <w:color w:val="000000"/>
                <w:sz w:val="18"/>
                <w:szCs w:val="18"/>
              </w:rPr>
            </w:pPr>
            <w:r>
              <w:rPr>
                <w:rFonts w:hint="eastAsia" w:ascii="华文仿宋" w:hAnsi="华文仿宋" w:eastAsia="华文仿宋"/>
                <w:b/>
                <w:color w:val="000000"/>
                <w:sz w:val="18"/>
                <w:szCs w:val="18"/>
              </w:rPr>
              <w:t>1</w:t>
            </w:r>
          </w:p>
        </w:tc>
        <w:tc>
          <w:tcPr>
            <w:tcW w:w="992" w:type="dxa"/>
            <w:tcBorders>
              <w:right w:val="single" w:color="auto" w:sz="4" w:space="0"/>
              <w:tl2br w:val="nil"/>
              <w:tr2bl w:val="nil"/>
            </w:tcBorders>
            <w:vAlign w:val="center"/>
          </w:tcPr>
          <w:p w14:paraId="739BCDC8">
            <w:pPr>
              <w:spacing w:line="400" w:lineRule="exact"/>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事故及不良事件控制</w:t>
            </w:r>
          </w:p>
        </w:tc>
        <w:tc>
          <w:tcPr>
            <w:tcW w:w="709" w:type="dxa"/>
            <w:tcBorders>
              <w:right w:val="single" w:color="auto" w:sz="4" w:space="0"/>
              <w:tl2br w:val="nil"/>
              <w:tr2bl w:val="nil"/>
            </w:tcBorders>
            <w:vAlign w:val="center"/>
          </w:tcPr>
          <w:p w14:paraId="03332EBB">
            <w:pPr>
              <w:spacing w:line="400" w:lineRule="exact"/>
              <w:jc w:val="center"/>
              <w:rPr>
                <w:rFonts w:ascii="宋体" w:hAnsi="宋体"/>
                <w:b/>
                <w:color w:val="000000"/>
                <w:szCs w:val="21"/>
              </w:rPr>
            </w:pPr>
            <w:r>
              <w:rPr>
                <w:rFonts w:hint="eastAsia" w:ascii="宋体" w:hAnsi="宋体"/>
                <w:b/>
                <w:color w:val="000000"/>
                <w:szCs w:val="21"/>
              </w:rPr>
              <w:t>/</w:t>
            </w:r>
          </w:p>
        </w:tc>
        <w:tc>
          <w:tcPr>
            <w:tcW w:w="5811" w:type="dxa"/>
            <w:gridSpan w:val="2"/>
            <w:tcBorders>
              <w:left w:val="single" w:color="auto" w:sz="4" w:space="0"/>
              <w:tl2br w:val="nil"/>
              <w:tr2bl w:val="nil"/>
            </w:tcBorders>
            <w:vAlign w:val="center"/>
          </w:tcPr>
          <w:p w14:paraId="7B6F6EB0">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当期发生一般及以上安全事故，直接评价为不合格；</w:t>
            </w:r>
          </w:p>
          <w:p w14:paraId="664A226F">
            <w:pPr>
              <w:spacing w:line="400" w:lineRule="exact"/>
              <w:rPr>
                <w:rFonts w:ascii="华文仿宋" w:hAnsi="华文仿宋" w:eastAsia="华文仿宋"/>
                <w:color w:val="000000"/>
                <w:sz w:val="18"/>
                <w:szCs w:val="18"/>
              </w:rPr>
            </w:pPr>
            <w:r>
              <w:rPr>
                <w:rFonts w:ascii="华文仿宋" w:hAnsi="华文仿宋" w:eastAsia="华文仿宋"/>
                <w:color w:val="000000"/>
                <w:sz w:val="18"/>
                <w:szCs w:val="18"/>
              </w:rPr>
              <w:t>2.当期发生重伤及以下安全事故，每次扣</w:t>
            </w:r>
            <w:r>
              <w:rPr>
                <w:rFonts w:hint="eastAsia" w:ascii="华文仿宋" w:hAnsi="华文仿宋" w:eastAsia="华文仿宋"/>
                <w:color w:val="000000"/>
                <w:sz w:val="18"/>
                <w:szCs w:val="18"/>
              </w:rPr>
              <w:t>1</w:t>
            </w:r>
            <w:r>
              <w:rPr>
                <w:rFonts w:ascii="华文仿宋" w:hAnsi="华文仿宋" w:eastAsia="华文仿宋"/>
                <w:color w:val="000000"/>
                <w:sz w:val="18"/>
                <w:szCs w:val="18"/>
              </w:rPr>
              <w:t>0分；</w:t>
            </w:r>
          </w:p>
          <w:p w14:paraId="289B01BD">
            <w:pPr>
              <w:spacing w:line="400" w:lineRule="exact"/>
              <w:rPr>
                <w:rFonts w:ascii="华文仿宋" w:hAnsi="华文仿宋" w:eastAsia="华文仿宋"/>
                <w:color w:val="000000"/>
                <w:sz w:val="18"/>
                <w:szCs w:val="18"/>
              </w:rPr>
            </w:pPr>
            <w:r>
              <w:rPr>
                <w:rFonts w:hint="eastAsia" w:ascii="华文仿宋" w:hAnsi="华文仿宋" w:eastAsia="华文仿宋"/>
                <w:color w:val="000000"/>
                <w:sz w:val="18"/>
                <w:szCs w:val="18"/>
              </w:rPr>
              <w:t>3</w:t>
            </w:r>
            <w:r>
              <w:rPr>
                <w:rFonts w:ascii="华文仿宋" w:hAnsi="华文仿宋" w:eastAsia="华文仿宋"/>
                <w:color w:val="000000"/>
                <w:sz w:val="18"/>
                <w:szCs w:val="18"/>
              </w:rPr>
              <w:t>.当期发生影响总包被政府部门扣分、扣牌或不良记录的事件，每次扣</w:t>
            </w:r>
            <w:r>
              <w:rPr>
                <w:rFonts w:hint="eastAsia" w:ascii="华文仿宋" w:hAnsi="华文仿宋" w:eastAsia="华文仿宋"/>
                <w:color w:val="000000"/>
                <w:sz w:val="18"/>
                <w:szCs w:val="18"/>
              </w:rPr>
              <w:t>5分；</w:t>
            </w:r>
          </w:p>
          <w:p w14:paraId="0C9B177B">
            <w:pPr>
              <w:spacing w:line="400" w:lineRule="exact"/>
              <w:rPr>
                <w:rFonts w:ascii="华文仿宋" w:hAnsi="华文仿宋" w:eastAsia="华文仿宋"/>
                <w:color w:val="000000"/>
                <w:sz w:val="18"/>
                <w:szCs w:val="18"/>
              </w:rPr>
            </w:pPr>
            <w:r>
              <w:rPr>
                <w:rFonts w:hint="eastAsia" w:ascii="华文仿宋" w:hAnsi="华文仿宋" w:eastAsia="华文仿宋"/>
                <w:color w:val="000000"/>
                <w:sz w:val="18"/>
                <w:szCs w:val="18"/>
              </w:rPr>
              <w:t>4</w:t>
            </w:r>
            <w:r>
              <w:rPr>
                <w:rFonts w:ascii="华文仿宋" w:hAnsi="华文仿宋" w:eastAsia="华文仿宋"/>
                <w:color w:val="000000"/>
                <w:sz w:val="18"/>
                <w:szCs w:val="18"/>
              </w:rPr>
              <w:t>.当期发生一般火警或冒烟事件，每次扣</w:t>
            </w:r>
            <w:r>
              <w:rPr>
                <w:rFonts w:hint="eastAsia" w:ascii="华文仿宋" w:hAnsi="华文仿宋" w:eastAsia="华文仿宋"/>
                <w:color w:val="000000"/>
                <w:sz w:val="18"/>
                <w:szCs w:val="18"/>
              </w:rPr>
              <w:t>3分；</w:t>
            </w:r>
          </w:p>
          <w:p w14:paraId="18B1F609">
            <w:pPr>
              <w:spacing w:line="400" w:lineRule="exact"/>
              <w:rPr>
                <w:rFonts w:ascii="华文仿宋" w:hAnsi="华文仿宋" w:eastAsia="华文仿宋"/>
                <w:color w:val="000000"/>
                <w:sz w:val="18"/>
                <w:szCs w:val="18"/>
              </w:rPr>
            </w:pPr>
            <w:r>
              <w:rPr>
                <w:rFonts w:hint="eastAsia" w:ascii="华文仿宋" w:hAnsi="华文仿宋" w:eastAsia="华文仿宋"/>
                <w:color w:val="000000"/>
                <w:sz w:val="18"/>
                <w:szCs w:val="18"/>
              </w:rPr>
              <w:t>5</w:t>
            </w:r>
            <w:r>
              <w:rPr>
                <w:rFonts w:ascii="华文仿宋" w:hAnsi="华文仿宋" w:eastAsia="华文仿宋"/>
                <w:color w:val="000000"/>
                <w:sz w:val="18"/>
                <w:szCs w:val="18"/>
              </w:rPr>
              <w:t>.当期发生</w:t>
            </w:r>
            <w:r>
              <w:rPr>
                <w:rFonts w:hint="eastAsia" w:ascii="华文仿宋" w:hAnsi="华文仿宋" w:eastAsia="华文仿宋"/>
                <w:color w:val="000000"/>
                <w:sz w:val="18"/>
                <w:szCs w:val="18"/>
              </w:rPr>
              <w:t>未遂事件</w:t>
            </w:r>
            <w:r>
              <w:rPr>
                <w:rFonts w:ascii="华文仿宋" w:hAnsi="华文仿宋" w:eastAsia="华文仿宋"/>
                <w:color w:val="000000"/>
                <w:sz w:val="18"/>
                <w:szCs w:val="18"/>
              </w:rPr>
              <w:t>，负主要责任的每次扣</w:t>
            </w:r>
            <w:r>
              <w:rPr>
                <w:rFonts w:hint="eastAsia" w:ascii="华文仿宋" w:hAnsi="华文仿宋" w:eastAsia="华文仿宋"/>
                <w:color w:val="000000"/>
                <w:sz w:val="18"/>
                <w:szCs w:val="18"/>
              </w:rPr>
              <w:t>3分，负连带责任的每次扣1分；</w:t>
            </w:r>
          </w:p>
          <w:p w14:paraId="6D083D66">
            <w:pPr>
              <w:spacing w:line="400" w:lineRule="exact"/>
              <w:rPr>
                <w:rFonts w:ascii="华文仿宋" w:hAnsi="华文仿宋" w:eastAsia="华文仿宋"/>
                <w:b/>
                <w:color w:val="000000"/>
                <w:sz w:val="18"/>
                <w:szCs w:val="18"/>
              </w:rPr>
            </w:pPr>
            <w:r>
              <w:rPr>
                <w:rFonts w:hint="eastAsia" w:ascii="华文仿宋" w:hAnsi="华文仿宋" w:eastAsia="华文仿宋"/>
                <w:color w:val="000000"/>
                <w:sz w:val="18"/>
                <w:szCs w:val="18"/>
              </w:rPr>
              <w:t>6.当期发生欠薪引发政府部门投诉事件的扣3分，发生打架斗殴事件每次扣1分。</w:t>
            </w:r>
          </w:p>
        </w:tc>
        <w:tc>
          <w:tcPr>
            <w:tcW w:w="709" w:type="dxa"/>
            <w:tcBorders>
              <w:tl2br w:val="nil"/>
              <w:tr2bl w:val="nil"/>
            </w:tcBorders>
            <w:vAlign w:val="center"/>
          </w:tcPr>
          <w:p w14:paraId="52713076">
            <w:pPr>
              <w:spacing w:line="400" w:lineRule="exact"/>
              <w:jc w:val="center"/>
              <w:rPr>
                <w:rFonts w:ascii="华文仿宋" w:hAnsi="华文仿宋" w:eastAsia="华文仿宋"/>
                <w:b/>
                <w:color w:val="000000"/>
                <w:sz w:val="18"/>
                <w:szCs w:val="18"/>
              </w:rPr>
            </w:pPr>
          </w:p>
        </w:tc>
        <w:tc>
          <w:tcPr>
            <w:tcW w:w="634" w:type="dxa"/>
            <w:tcBorders>
              <w:tl2br w:val="nil"/>
              <w:tr2bl w:val="nil"/>
            </w:tcBorders>
          </w:tcPr>
          <w:p w14:paraId="2502DD15">
            <w:pPr>
              <w:spacing w:line="400" w:lineRule="exact"/>
              <w:jc w:val="center"/>
              <w:rPr>
                <w:rFonts w:ascii="华文仿宋" w:hAnsi="华文仿宋" w:eastAsia="华文仿宋"/>
                <w:b/>
                <w:color w:val="000000"/>
                <w:sz w:val="18"/>
                <w:szCs w:val="18"/>
              </w:rPr>
            </w:pPr>
          </w:p>
        </w:tc>
      </w:tr>
      <w:tr w14:paraId="39584BE7">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14:paraId="726BB1AD">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2</w:t>
            </w:r>
          </w:p>
        </w:tc>
        <w:tc>
          <w:tcPr>
            <w:tcW w:w="992" w:type="dxa"/>
            <w:tcBorders>
              <w:right w:val="single" w:color="auto" w:sz="4" w:space="0"/>
              <w:tl2br w:val="nil"/>
              <w:tr2bl w:val="nil"/>
            </w:tcBorders>
            <w:vAlign w:val="center"/>
          </w:tcPr>
          <w:p w14:paraId="0B10EF55">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安全组织管理</w:t>
            </w:r>
          </w:p>
        </w:tc>
        <w:tc>
          <w:tcPr>
            <w:tcW w:w="709" w:type="dxa"/>
            <w:tcBorders>
              <w:left w:val="single" w:color="auto" w:sz="4" w:space="0"/>
              <w:tl2br w:val="nil"/>
              <w:tr2bl w:val="nil"/>
            </w:tcBorders>
            <w:vAlign w:val="center"/>
          </w:tcPr>
          <w:p w14:paraId="517CA1F0">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5478F879">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.项目负责人和安全负责人无企业任命文件的扣1</w:t>
            </w:r>
            <w:r>
              <w:rPr>
                <w:rFonts w:hint="eastAsia" w:ascii="华文仿宋" w:hAnsi="华文仿宋" w:eastAsia="华文仿宋" w:cs="仿宋_GB2312"/>
                <w:color w:val="000000"/>
                <w:kern w:val="0"/>
                <w:sz w:val="18"/>
                <w:szCs w:val="18"/>
              </w:rPr>
              <w:t>分；</w:t>
            </w:r>
          </w:p>
          <w:p w14:paraId="5245AD9E">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.项目负责人和安全负责人无安全</w:t>
            </w:r>
            <w:r>
              <w:rPr>
                <w:rFonts w:hint="eastAsia" w:ascii="华文仿宋" w:hAnsi="华文仿宋" w:eastAsia="华文仿宋" w:cs="仿宋_GB2312"/>
                <w:color w:val="000000"/>
                <w:kern w:val="0"/>
                <w:sz w:val="18"/>
                <w:szCs w:val="18"/>
              </w:rPr>
              <w:t>B</w:t>
            </w:r>
            <w:r>
              <w:rPr>
                <w:rFonts w:ascii="华文仿宋" w:hAnsi="华文仿宋" w:eastAsia="华文仿宋" w:cs="仿宋_GB2312"/>
                <w:color w:val="000000"/>
                <w:kern w:val="0"/>
                <w:sz w:val="18"/>
                <w:szCs w:val="18"/>
              </w:rPr>
              <w:t>/C证的每个扣</w:t>
            </w:r>
            <w:r>
              <w:rPr>
                <w:rFonts w:hint="eastAsia" w:ascii="华文仿宋" w:hAnsi="华文仿宋" w:eastAsia="华文仿宋" w:cs="仿宋_GB2312"/>
                <w:color w:val="000000"/>
                <w:kern w:val="0"/>
                <w:sz w:val="18"/>
                <w:szCs w:val="18"/>
              </w:rPr>
              <w:t>1分；</w:t>
            </w:r>
          </w:p>
          <w:p w14:paraId="401AE4D2">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项目未按法规要求配足专职安监人员，每缺1人扣</w:t>
            </w:r>
            <w:r>
              <w:rPr>
                <w:rFonts w:ascii="华文仿宋" w:hAnsi="华文仿宋" w:eastAsia="华文仿宋" w:cs="仿宋_GB2312"/>
                <w:color w:val="000000"/>
                <w:kern w:val="0"/>
                <w:sz w:val="18"/>
                <w:szCs w:val="18"/>
              </w:rPr>
              <w:t>2</w:t>
            </w:r>
            <w:r>
              <w:rPr>
                <w:rFonts w:hint="eastAsia" w:ascii="华文仿宋" w:hAnsi="华文仿宋" w:eastAsia="华文仿宋" w:cs="仿宋_GB2312"/>
                <w:color w:val="000000"/>
                <w:kern w:val="0"/>
                <w:sz w:val="18"/>
                <w:szCs w:val="18"/>
              </w:rPr>
              <w:t>分，安全员未持</w:t>
            </w:r>
            <w:r>
              <w:rPr>
                <w:rFonts w:ascii="华文仿宋" w:hAnsi="华文仿宋" w:eastAsia="华文仿宋" w:cs="仿宋_GB2312"/>
                <w:color w:val="000000"/>
                <w:kern w:val="0"/>
                <w:sz w:val="18"/>
                <w:szCs w:val="18"/>
              </w:rPr>
              <w:t>C</w:t>
            </w:r>
            <w:r>
              <w:rPr>
                <w:rFonts w:hint="eastAsia" w:ascii="华文仿宋" w:hAnsi="华文仿宋" w:eastAsia="华文仿宋" w:cs="仿宋_GB2312"/>
                <w:color w:val="000000"/>
                <w:kern w:val="0"/>
                <w:sz w:val="18"/>
                <w:szCs w:val="18"/>
              </w:rPr>
              <w:t>证上岗的每1人扣1分。</w:t>
            </w:r>
          </w:p>
          <w:p w14:paraId="73D50027">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4</w:t>
            </w:r>
            <w:r>
              <w:rPr>
                <w:rFonts w:ascii="华文仿宋" w:hAnsi="华文仿宋" w:eastAsia="华文仿宋" w:cs="仿宋_GB2312"/>
                <w:color w:val="000000"/>
                <w:kern w:val="0"/>
                <w:sz w:val="18"/>
                <w:szCs w:val="18"/>
              </w:rPr>
              <w:t>.项目负责</w:t>
            </w:r>
            <w:r>
              <w:rPr>
                <w:rFonts w:hint="eastAsia" w:ascii="华文仿宋" w:hAnsi="华文仿宋" w:eastAsia="华文仿宋" w:cs="仿宋_GB2312"/>
                <w:color w:val="000000"/>
                <w:kern w:val="0"/>
                <w:sz w:val="18"/>
                <w:szCs w:val="18"/>
              </w:rPr>
              <w:t>人</w:t>
            </w:r>
            <w:r>
              <w:rPr>
                <w:rFonts w:ascii="华文仿宋" w:hAnsi="华文仿宋" w:eastAsia="华文仿宋" w:cs="仿宋_GB2312"/>
                <w:color w:val="000000"/>
                <w:kern w:val="0"/>
                <w:sz w:val="18"/>
                <w:szCs w:val="18"/>
              </w:rPr>
              <w:t>或安全负责人未及时参加总包各类会议或检查，每</w:t>
            </w:r>
            <w:r>
              <w:rPr>
                <w:rFonts w:hint="eastAsia" w:ascii="华文仿宋" w:hAnsi="华文仿宋" w:eastAsia="华文仿宋" w:cs="仿宋_GB2312"/>
                <w:color w:val="000000"/>
                <w:kern w:val="0"/>
                <w:sz w:val="18"/>
                <w:szCs w:val="18"/>
              </w:rPr>
              <w:t>次扣1分；</w:t>
            </w:r>
          </w:p>
          <w:p w14:paraId="4FA60D7A">
            <w:pPr>
              <w:spacing w:line="400" w:lineRule="exact"/>
              <w:jc w:val="left"/>
            </w:pPr>
            <w:r>
              <w:rPr>
                <w:rFonts w:hint="eastAsia" w:ascii="华文仿宋" w:hAnsi="华文仿宋" w:eastAsia="华文仿宋" w:cs="仿宋_GB2312"/>
                <w:color w:val="000000"/>
                <w:kern w:val="0"/>
                <w:sz w:val="18"/>
                <w:szCs w:val="18"/>
              </w:rPr>
              <w:t>5</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项目管理人员不服从总包管理，发生顶撞等恶劣行为，每次扣</w:t>
            </w:r>
            <w:r>
              <w:rPr>
                <w:rFonts w:ascii="华文仿宋" w:hAnsi="华文仿宋" w:eastAsia="华文仿宋" w:cs="仿宋_GB2312"/>
                <w:color w:val="000000"/>
                <w:kern w:val="0"/>
                <w:sz w:val="18"/>
                <w:szCs w:val="18"/>
              </w:rPr>
              <w:t>2</w:t>
            </w:r>
            <w:r>
              <w:rPr>
                <w:rFonts w:hint="eastAsia" w:ascii="华文仿宋" w:hAnsi="华文仿宋" w:eastAsia="华文仿宋" w:cs="仿宋_GB2312"/>
                <w:color w:val="000000"/>
                <w:kern w:val="0"/>
                <w:sz w:val="18"/>
                <w:szCs w:val="18"/>
              </w:rPr>
              <w:t>分。</w:t>
            </w:r>
          </w:p>
        </w:tc>
        <w:tc>
          <w:tcPr>
            <w:tcW w:w="709" w:type="dxa"/>
            <w:tcBorders>
              <w:tl2br w:val="nil"/>
              <w:tr2bl w:val="nil"/>
            </w:tcBorders>
            <w:vAlign w:val="center"/>
          </w:tcPr>
          <w:p w14:paraId="78354E10">
            <w:pPr>
              <w:spacing w:line="400" w:lineRule="exact"/>
              <w:jc w:val="center"/>
              <w:rPr>
                <w:rFonts w:ascii="华文仿宋" w:hAnsi="华文仿宋" w:eastAsia="华文仿宋" w:cs="仿宋_GB2312"/>
                <w:kern w:val="0"/>
                <w:sz w:val="18"/>
                <w:szCs w:val="18"/>
              </w:rPr>
            </w:pPr>
          </w:p>
        </w:tc>
        <w:tc>
          <w:tcPr>
            <w:tcW w:w="634" w:type="dxa"/>
            <w:tcBorders>
              <w:tl2br w:val="nil"/>
              <w:tr2bl w:val="nil"/>
            </w:tcBorders>
          </w:tcPr>
          <w:p w14:paraId="45368575">
            <w:pPr>
              <w:spacing w:line="400" w:lineRule="exact"/>
              <w:jc w:val="center"/>
              <w:rPr>
                <w:rFonts w:ascii="华文仿宋" w:hAnsi="华文仿宋" w:eastAsia="华文仿宋" w:cs="仿宋_GB2312"/>
                <w:kern w:val="0"/>
                <w:sz w:val="18"/>
                <w:szCs w:val="18"/>
              </w:rPr>
            </w:pPr>
          </w:p>
        </w:tc>
      </w:tr>
      <w:tr w14:paraId="00195F2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534" w:type="dxa"/>
            <w:tcBorders>
              <w:tl2br w:val="nil"/>
              <w:tr2bl w:val="nil"/>
            </w:tcBorders>
            <w:vAlign w:val="center"/>
          </w:tcPr>
          <w:p w14:paraId="63E623F5">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3</w:t>
            </w:r>
          </w:p>
        </w:tc>
        <w:tc>
          <w:tcPr>
            <w:tcW w:w="992" w:type="dxa"/>
            <w:tcBorders>
              <w:right w:val="single" w:color="auto" w:sz="4" w:space="0"/>
              <w:tl2br w:val="nil"/>
              <w:tr2bl w:val="nil"/>
            </w:tcBorders>
            <w:vAlign w:val="center"/>
          </w:tcPr>
          <w:p w14:paraId="5F41CA8E">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人员、物资进出场管理</w:t>
            </w:r>
          </w:p>
        </w:tc>
        <w:tc>
          <w:tcPr>
            <w:tcW w:w="709" w:type="dxa"/>
            <w:tcBorders>
              <w:left w:val="single" w:color="auto" w:sz="4" w:space="0"/>
              <w:tl2br w:val="nil"/>
              <w:tr2bl w:val="nil"/>
            </w:tcBorders>
            <w:vAlign w:val="center"/>
          </w:tcPr>
          <w:p w14:paraId="2CC391AE">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15%</w:t>
            </w:r>
          </w:p>
        </w:tc>
        <w:tc>
          <w:tcPr>
            <w:tcW w:w="5811" w:type="dxa"/>
            <w:gridSpan w:val="2"/>
            <w:tcBorders>
              <w:tl2br w:val="nil"/>
              <w:tr2bl w:val="nil"/>
            </w:tcBorders>
            <w:vAlign w:val="center"/>
          </w:tcPr>
          <w:p w14:paraId="335116CC">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.未按要求对进场人员安全教育的，每发现一例扣5</w:t>
            </w:r>
            <w:r>
              <w:rPr>
                <w:rFonts w:hint="eastAsia" w:ascii="华文仿宋" w:hAnsi="华文仿宋" w:eastAsia="华文仿宋" w:cs="仿宋_GB2312"/>
                <w:color w:val="000000"/>
                <w:kern w:val="0"/>
                <w:sz w:val="18"/>
                <w:szCs w:val="18"/>
              </w:rPr>
              <w:t>分；未及时与进场作业人员签订劳动合同的每例扣</w:t>
            </w:r>
            <w:r>
              <w:rPr>
                <w:rFonts w:ascii="华文仿宋" w:hAnsi="华文仿宋" w:eastAsia="华文仿宋" w:cs="仿宋_GB2312"/>
                <w:color w:val="000000"/>
                <w:kern w:val="0"/>
                <w:sz w:val="18"/>
                <w:szCs w:val="18"/>
              </w:rPr>
              <w:t>2</w:t>
            </w:r>
            <w:r>
              <w:rPr>
                <w:rFonts w:hint="eastAsia" w:ascii="华文仿宋" w:hAnsi="华文仿宋" w:eastAsia="华文仿宋" w:cs="仿宋_GB2312"/>
                <w:color w:val="000000"/>
                <w:kern w:val="0"/>
                <w:sz w:val="18"/>
                <w:szCs w:val="18"/>
              </w:rPr>
              <w:t>分，未进行健康体检的每例扣1分；</w:t>
            </w:r>
          </w:p>
          <w:p w14:paraId="6232FCBF">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.未及时向总包报备人员或物资信息安排人员或物资进场的，每发现一例扣</w:t>
            </w:r>
            <w:r>
              <w:rPr>
                <w:rFonts w:hint="eastAsia" w:ascii="华文仿宋" w:hAnsi="华文仿宋" w:eastAsia="华文仿宋" w:cs="仿宋_GB2312"/>
                <w:color w:val="000000"/>
                <w:kern w:val="0"/>
                <w:sz w:val="18"/>
                <w:szCs w:val="18"/>
              </w:rPr>
              <w:t>1分；</w:t>
            </w:r>
          </w:p>
          <w:p w14:paraId="57E86F79">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.进入现场的安防物资、设施、机械设备未经总包验收擅自使用，每发现一例扣</w:t>
            </w:r>
            <w:r>
              <w:rPr>
                <w:rFonts w:hint="eastAsia" w:ascii="华文仿宋" w:hAnsi="华文仿宋" w:eastAsia="华文仿宋" w:cs="仿宋_GB2312"/>
                <w:color w:val="000000"/>
                <w:kern w:val="0"/>
                <w:sz w:val="18"/>
                <w:szCs w:val="18"/>
              </w:rPr>
              <w:t>3分。</w:t>
            </w:r>
          </w:p>
        </w:tc>
        <w:tc>
          <w:tcPr>
            <w:tcW w:w="709" w:type="dxa"/>
            <w:tcBorders>
              <w:tl2br w:val="nil"/>
              <w:tr2bl w:val="nil"/>
            </w:tcBorders>
            <w:vAlign w:val="center"/>
          </w:tcPr>
          <w:p w14:paraId="23497F6D">
            <w:pPr>
              <w:spacing w:line="400" w:lineRule="exact"/>
              <w:jc w:val="left"/>
              <w:rPr>
                <w:rFonts w:ascii="华文仿宋" w:hAnsi="华文仿宋" w:eastAsia="华文仿宋" w:cs="仿宋_GB2312"/>
                <w:color w:val="000000"/>
                <w:kern w:val="0"/>
                <w:sz w:val="18"/>
                <w:szCs w:val="18"/>
              </w:rPr>
            </w:pPr>
          </w:p>
        </w:tc>
        <w:tc>
          <w:tcPr>
            <w:tcW w:w="634" w:type="dxa"/>
            <w:tcBorders>
              <w:tl2br w:val="nil"/>
              <w:tr2bl w:val="nil"/>
            </w:tcBorders>
          </w:tcPr>
          <w:p w14:paraId="39C267AC">
            <w:pPr>
              <w:spacing w:line="400" w:lineRule="exact"/>
              <w:jc w:val="left"/>
              <w:rPr>
                <w:rFonts w:ascii="华文仿宋" w:hAnsi="华文仿宋" w:eastAsia="华文仿宋" w:cs="仿宋_GB2312"/>
                <w:color w:val="000000"/>
                <w:kern w:val="0"/>
                <w:sz w:val="18"/>
                <w:szCs w:val="18"/>
              </w:rPr>
            </w:pPr>
          </w:p>
        </w:tc>
      </w:tr>
      <w:tr w14:paraId="067B36F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1BD3D4BC">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4</w:t>
            </w:r>
          </w:p>
        </w:tc>
        <w:tc>
          <w:tcPr>
            <w:tcW w:w="992" w:type="dxa"/>
            <w:tcBorders>
              <w:right w:val="single" w:color="auto" w:sz="4" w:space="0"/>
              <w:tl2br w:val="nil"/>
              <w:tr2bl w:val="nil"/>
            </w:tcBorders>
            <w:vAlign w:val="center"/>
          </w:tcPr>
          <w:p w14:paraId="450E0BF1">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安全教育培训管理</w:t>
            </w:r>
          </w:p>
        </w:tc>
        <w:tc>
          <w:tcPr>
            <w:tcW w:w="709" w:type="dxa"/>
            <w:tcBorders>
              <w:left w:val="single" w:color="auto" w:sz="4" w:space="0"/>
              <w:tl2br w:val="nil"/>
              <w:tr2bl w:val="nil"/>
            </w:tcBorders>
            <w:vAlign w:val="center"/>
          </w:tcPr>
          <w:p w14:paraId="6A188E0A">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70EBF9E4">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项目负责人</w:t>
            </w:r>
            <w:r>
              <w:rPr>
                <w:rFonts w:ascii="华文仿宋" w:hAnsi="华文仿宋" w:eastAsia="华文仿宋" w:cs="仿宋_GB2312"/>
                <w:color w:val="000000"/>
                <w:kern w:val="0"/>
                <w:sz w:val="18"/>
                <w:szCs w:val="18"/>
              </w:rPr>
              <w:t>、安全负责人未组织工人按时参加总包每周安全教育会、月安全教育主题会的，每次扣</w:t>
            </w:r>
            <w:r>
              <w:rPr>
                <w:rFonts w:hint="eastAsia" w:ascii="华文仿宋" w:hAnsi="华文仿宋" w:eastAsia="华文仿宋" w:cs="仿宋_GB2312"/>
                <w:color w:val="000000"/>
                <w:kern w:val="0"/>
                <w:sz w:val="18"/>
                <w:szCs w:val="18"/>
              </w:rPr>
              <w:t>1分；</w:t>
            </w:r>
          </w:p>
          <w:p w14:paraId="36E3F899">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.未落实开展单位或班组每日班前安全会的，每次扣</w:t>
            </w:r>
            <w:r>
              <w:rPr>
                <w:rFonts w:hint="eastAsia" w:ascii="华文仿宋" w:hAnsi="华文仿宋" w:eastAsia="华文仿宋" w:cs="仿宋_GB2312"/>
                <w:color w:val="000000"/>
                <w:kern w:val="0"/>
                <w:sz w:val="18"/>
                <w:szCs w:val="18"/>
              </w:rPr>
              <w:t>1分；</w:t>
            </w:r>
          </w:p>
          <w:p w14:paraId="71DF3F4F">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未对班组或作业人员进行安全交底的，每次扣1分。</w:t>
            </w:r>
          </w:p>
        </w:tc>
        <w:tc>
          <w:tcPr>
            <w:tcW w:w="709" w:type="dxa"/>
            <w:tcBorders>
              <w:tl2br w:val="nil"/>
              <w:tr2bl w:val="nil"/>
            </w:tcBorders>
            <w:vAlign w:val="center"/>
          </w:tcPr>
          <w:p w14:paraId="57C367B7">
            <w:pPr>
              <w:spacing w:line="400" w:lineRule="exact"/>
              <w:jc w:val="center"/>
              <w:rPr>
                <w:rFonts w:ascii="华文仿宋" w:hAnsi="华文仿宋" w:eastAsia="华文仿宋" w:cs="仿宋_GB2312"/>
                <w:kern w:val="0"/>
                <w:sz w:val="18"/>
                <w:szCs w:val="18"/>
              </w:rPr>
            </w:pPr>
          </w:p>
        </w:tc>
        <w:tc>
          <w:tcPr>
            <w:tcW w:w="634" w:type="dxa"/>
            <w:tcBorders>
              <w:tl2br w:val="nil"/>
              <w:tr2bl w:val="nil"/>
            </w:tcBorders>
          </w:tcPr>
          <w:p w14:paraId="0CC6DB12">
            <w:pPr>
              <w:spacing w:line="400" w:lineRule="exact"/>
              <w:jc w:val="center"/>
              <w:rPr>
                <w:rFonts w:ascii="华文仿宋" w:hAnsi="华文仿宋" w:eastAsia="华文仿宋" w:cs="仿宋_GB2312"/>
                <w:kern w:val="0"/>
                <w:sz w:val="18"/>
                <w:szCs w:val="18"/>
              </w:rPr>
            </w:pPr>
          </w:p>
        </w:tc>
      </w:tr>
      <w:tr w14:paraId="05FDFC3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52B33807">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5</w:t>
            </w:r>
          </w:p>
        </w:tc>
        <w:tc>
          <w:tcPr>
            <w:tcW w:w="992" w:type="dxa"/>
            <w:tcBorders>
              <w:right w:val="single" w:color="auto" w:sz="4" w:space="0"/>
              <w:tl2br w:val="nil"/>
              <w:tr2bl w:val="nil"/>
            </w:tcBorders>
            <w:vAlign w:val="center"/>
          </w:tcPr>
          <w:p w14:paraId="53A8978A">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安全技术方案管理</w:t>
            </w:r>
          </w:p>
        </w:tc>
        <w:tc>
          <w:tcPr>
            <w:tcW w:w="709" w:type="dxa"/>
            <w:tcBorders>
              <w:left w:val="single" w:color="auto" w:sz="4" w:space="0"/>
              <w:tl2br w:val="nil"/>
              <w:tr2bl w:val="nil"/>
            </w:tcBorders>
            <w:vAlign w:val="center"/>
          </w:tcPr>
          <w:p w14:paraId="63899506">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163829DF">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.未按要求编制专项施工方案或方案未经总包、监理批准擅自施工的每发现一例扣</w:t>
            </w:r>
            <w:r>
              <w:rPr>
                <w:rFonts w:hint="eastAsia" w:ascii="华文仿宋" w:hAnsi="华文仿宋" w:eastAsia="华文仿宋" w:cs="仿宋_GB2312"/>
                <w:color w:val="000000"/>
                <w:kern w:val="0"/>
                <w:sz w:val="18"/>
                <w:szCs w:val="18"/>
              </w:rPr>
              <w:t>5分；</w:t>
            </w:r>
          </w:p>
          <w:p w14:paraId="048DCF86">
            <w:pPr>
              <w:spacing w:line="400" w:lineRule="exact"/>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2.未严格按批准的施工方案施工每发现一例扣</w:t>
            </w:r>
            <w:r>
              <w:rPr>
                <w:rFonts w:hint="eastAsia" w:ascii="华文仿宋" w:hAnsi="华文仿宋" w:eastAsia="华文仿宋" w:cs="仿宋_GB2312"/>
                <w:color w:val="000000"/>
                <w:kern w:val="0"/>
                <w:sz w:val="18"/>
                <w:szCs w:val="18"/>
              </w:rPr>
              <w:t>5分。</w:t>
            </w:r>
          </w:p>
        </w:tc>
        <w:tc>
          <w:tcPr>
            <w:tcW w:w="709" w:type="dxa"/>
            <w:tcBorders>
              <w:tl2br w:val="nil"/>
              <w:tr2bl w:val="nil"/>
            </w:tcBorders>
            <w:vAlign w:val="center"/>
          </w:tcPr>
          <w:p w14:paraId="0F96C8A1">
            <w:pPr>
              <w:spacing w:line="400" w:lineRule="exact"/>
              <w:rPr>
                <w:rFonts w:ascii="华文仿宋" w:hAnsi="华文仿宋" w:eastAsia="华文仿宋" w:cs="仿宋_GB2312"/>
                <w:color w:val="000000"/>
                <w:kern w:val="0"/>
                <w:sz w:val="18"/>
                <w:szCs w:val="18"/>
              </w:rPr>
            </w:pPr>
          </w:p>
        </w:tc>
        <w:tc>
          <w:tcPr>
            <w:tcW w:w="634" w:type="dxa"/>
            <w:tcBorders>
              <w:tl2br w:val="nil"/>
              <w:tr2bl w:val="nil"/>
            </w:tcBorders>
          </w:tcPr>
          <w:p w14:paraId="46C0E2D9">
            <w:pPr>
              <w:spacing w:line="400" w:lineRule="exact"/>
              <w:rPr>
                <w:rFonts w:ascii="华文仿宋" w:hAnsi="华文仿宋" w:eastAsia="华文仿宋" w:cs="仿宋_GB2312"/>
                <w:color w:val="000000"/>
                <w:kern w:val="0"/>
                <w:sz w:val="18"/>
                <w:szCs w:val="18"/>
              </w:rPr>
            </w:pPr>
          </w:p>
        </w:tc>
      </w:tr>
      <w:tr w14:paraId="45403691">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3E8CC9AC">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6</w:t>
            </w:r>
          </w:p>
        </w:tc>
        <w:tc>
          <w:tcPr>
            <w:tcW w:w="992" w:type="dxa"/>
            <w:tcBorders>
              <w:right w:val="single" w:color="auto" w:sz="4" w:space="0"/>
              <w:tl2br w:val="nil"/>
              <w:tr2bl w:val="nil"/>
            </w:tcBorders>
            <w:vAlign w:val="center"/>
          </w:tcPr>
          <w:p w14:paraId="3880FA43">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特种作业管理</w:t>
            </w:r>
          </w:p>
        </w:tc>
        <w:tc>
          <w:tcPr>
            <w:tcW w:w="709" w:type="dxa"/>
            <w:tcBorders>
              <w:left w:val="single" w:color="auto" w:sz="4" w:space="0"/>
              <w:tl2br w:val="nil"/>
              <w:tr2bl w:val="nil"/>
            </w:tcBorders>
            <w:vAlign w:val="center"/>
          </w:tcPr>
          <w:p w14:paraId="36104001">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17A0FFB9">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.特证作业人员相关信息、证件未及</w:t>
            </w:r>
            <w:r>
              <w:rPr>
                <w:rFonts w:hint="eastAsia" w:ascii="华文仿宋" w:hAnsi="华文仿宋" w:eastAsia="华文仿宋" w:cs="仿宋_GB2312"/>
                <w:color w:val="000000"/>
                <w:kern w:val="0"/>
                <w:sz w:val="18"/>
                <w:szCs w:val="18"/>
              </w:rPr>
              <w:t>时</w:t>
            </w:r>
            <w:r>
              <w:rPr>
                <w:rFonts w:ascii="华文仿宋" w:hAnsi="华文仿宋" w:eastAsia="华文仿宋" w:cs="仿宋_GB2312"/>
                <w:color w:val="000000"/>
                <w:kern w:val="0"/>
                <w:sz w:val="18"/>
                <w:szCs w:val="18"/>
              </w:rPr>
              <w:t>报备总包的，每例扣</w:t>
            </w:r>
            <w:r>
              <w:rPr>
                <w:rFonts w:hint="eastAsia" w:ascii="华文仿宋" w:hAnsi="华文仿宋" w:eastAsia="华文仿宋" w:cs="仿宋_GB2312"/>
                <w:color w:val="000000"/>
                <w:kern w:val="0"/>
                <w:sz w:val="18"/>
                <w:szCs w:val="18"/>
              </w:rPr>
              <w:t>1分；</w:t>
            </w:r>
          </w:p>
          <w:p w14:paraId="1625E497">
            <w:pPr>
              <w:spacing w:line="400" w:lineRule="exact"/>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2.安排无特种作业资格证（或假证）人员从事特种作业的，每例扣</w:t>
            </w:r>
            <w:r>
              <w:rPr>
                <w:rFonts w:hint="eastAsia" w:ascii="华文仿宋" w:hAnsi="华文仿宋" w:eastAsia="华文仿宋" w:cs="仿宋_GB2312"/>
                <w:color w:val="000000"/>
                <w:kern w:val="0"/>
                <w:sz w:val="18"/>
                <w:szCs w:val="18"/>
              </w:rPr>
              <w:t>5分。</w:t>
            </w:r>
          </w:p>
          <w:p w14:paraId="30BBB5BC">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.每月未对特种作业人员进行安全交底或培训的，每次扣</w:t>
            </w:r>
            <w:r>
              <w:rPr>
                <w:rFonts w:hint="eastAsia" w:ascii="华文仿宋" w:hAnsi="华文仿宋" w:eastAsia="华文仿宋" w:cs="仿宋_GB2312"/>
                <w:color w:val="000000"/>
                <w:kern w:val="0"/>
                <w:sz w:val="18"/>
                <w:szCs w:val="18"/>
              </w:rPr>
              <w:t>1分。</w:t>
            </w:r>
          </w:p>
        </w:tc>
        <w:tc>
          <w:tcPr>
            <w:tcW w:w="709" w:type="dxa"/>
            <w:tcBorders>
              <w:tl2br w:val="nil"/>
              <w:tr2bl w:val="nil"/>
            </w:tcBorders>
            <w:vAlign w:val="center"/>
          </w:tcPr>
          <w:p w14:paraId="3E0F186F">
            <w:pPr>
              <w:spacing w:line="400" w:lineRule="exact"/>
              <w:rPr>
                <w:rFonts w:ascii="华文仿宋" w:hAnsi="华文仿宋" w:eastAsia="华文仿宋" w:cs="仿宋_GB2312"/>
                <w:color w:val="000000"/>
                <w:kern w:val="0"/>
                <w:sz w:val="18"/>
                <w:szCs w:val="18"/>
              </w:rPr>
            </w:pPr>
          </w:p>
        </w:tc>
        <w:tc>
          <w:tcPr>
            <w:tcW w:w="634" w:type="dxa"/>
            <w:tcBorders>
              <w:tl2br w:val="nil"/>
              <w:tr2bl w:val="nil"/>
            </w:tcBorders>
          </w:tcPr>
          <w:p w14:paraId="7724A993">
            <w:pPr>
              <w:spacing w:line="400" w:lineRule="exact"/>
              <w:rPr>
                <w:rFonts w:ascii="华文仿宋" w:hAnsi="华文仿宋" w:eastAsia="华文仿宋" w:cs="仿宋_GB2312"/>
                <w:color w:val="000000"/>
                <w:kern w:val="0"/>
                <w:sz w:val="18"/>
                <w:szCs w:val="18"/>
              </w:rPr>
            </w:pPr>
          </w:p>
        </w:tc>
      </w:tr>
      <w:tr w14:paraId="3B223528">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4620FA23">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7</w:t>
            </w:r>
          </w:p>
        </w:tc>
        <w:tc>
          <w:tcPr>
            <w:tcW w:w="992" w:type="dxa"/>
            <w:tcBorders>
              <w:right w:val="single" w:color="auto" w:sz="4" w:space="0"/>
              <w:tl2br w:val="nil"/>
              <w:tr2bl w:val="nil"/>
            </w:tcBorders>
            <w:vAlign w:val="center"/>
          </w:tcPr>
          <w:p w14:paraId="64FC16AD">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施工作业申请制管理</w:t>
            </w:r>
          </w:p>
        </w:tc>
        <w:tc>
          <w:tcPr>
            <w:tcW w:w="709" w:type="dxa"/>
            <w:tcBorders>
              <w:left w:val="single" w:color="auto" w:sz="4" w:space="0"/>
              <w:tl2br w:val="nil"/>
              <w:tr2bl w:val="nil"/>
            </w:tcBorders>
            <w:vAlign w:val="center"/>
          </w:tcPr>
          <w:p w14:paraId="2F8982BD">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5%</w:t>
            </w:r>
          </w:p>
        </w:tc>
        <w:tc>
          <w:tcPr>
            <w:tcW w:w="5811" w:type="dxa"/>
            <w:gridSpan w:val="2"/>
            <w:tcBorders>
              <w:tl2br w:val="nil"/>
              <w:tr2bl w:val="nil"/>
            </w:tcBorders>
            <w:vAlign w:val="center"/>
          </w:tcPr>
          <w:p w14:paraId="77092C5B">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.危大及以上工程作业前向总包申请许可后方可施工作业，违例每次扣</w:t>
            </w:r>
            <w:r>
              <w:rPr>
                <w:rFonts w:hint="eastAsia" w:ascii="华文仿宋" w:hAnsi="华文仿宋" w:eastAsia="华文仿宋" w:cs="仿宋_GB2312"/>
                <w:color w:val="000000"/>
                <w:kern w:val="0"/>
                <w:sz w:val="18"/>
                <w:szCs w:val="18"/>
              </w:rPr>
              <w:t>5分；</w:t>
            </w:r>
          </w:p>
          <w:p w14:paraId="54BC01E2">
            <w:pPr>
              <w:spacing w:line="400" w:lineRule="exact"/>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2..危大及以上工程作业过程中未经总包分段验收合格擅自施工作业的，违例每次扣</w:t>
            </w:r>
            <w:r>
              <w:rPr>
                <w:rFonts w:hint="eastAsia" w:ascii="华文仿宋" w:hAnsi="华文仿宋" w:eastAsia="华文仿宋" w:cs="仿宋_GB2312"/>
                <w:color w:val="000000"/>
                <w:kern w:val="0"/>
                <w:sz w:val="18"/>
                <w:szCs w:val="18"/>
              </w:rPr>
              <w:t>5分；</w:t>
            </w:r>
          </w:p>
          <w:p w14:paraId="5D01C9BE">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.未向总包申请，擅自拆除现场安全防护设施的，违例每次扣</w:t>
            </w:r>
            <w:r>
              <w:rPr>
                <w:rFonts w:hint="eastAsia" w:ascii="华文仿宋" w:hAnsi="华文仿宋" w:eastAsia="华文仿宋" w:cs="仿宋_GB2312"/>
                <w:color w:val="000000"/>
                <w:kern w:val="0"/>
                <w:sz w:val="18"/>
                <w:szCs w:val="18"/>
              </w:rPr>
              <w:t>2分；</w:t>
            </w:r>
          </w:p>
          <w:p w14:paraId="363138E0">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.各类平台、架体未及</w:t>
            </w:r>
            <w:r>
              <w:rPr>
                <w:rFonts w:hint="eastAsia" w:ascii="华文仿宋" w:hAnsi="华文仿宋" w:eastAsia="华文仿宋" w:cs="仿宋_GB2312"/>
                <w:color w:val="000000"/>
                <w:kern w:val="0"/>
                <w:sz w:val="18"/>
                <w:szCs w:val="18"/>
              </w:rPr>
              <w:t>时</w:t>
            </w:r>
            <w:r>
              <w:rPr>
                <w:rFonts w:ascii="华文仿宋" w:hAnsi="华文仿宋" w:eastAsia="华文仿宋" w:cs="仿宋_GB2312"/>
                <w:color w:val="000000"/>
                <w:kern w:val="0"/>
                <w:sz w:val="18"/>
                <w:szCs w:val="18"/>
              </w:rPr>
              <w:t>向总包申请报备验收擅自使用的，违例每次扣</w:t>
            </w:r>
            <w:r>
              <w:rPr>
                <w:rFonts w:hint="eastAsia" w:ascii="华文仿宋" w:hAnsi="华文仿宋" w:eastAsia="华文仿宋" w:cs="仿宋_GB2312"/>
                <w:color w:val="000000"/>
                <w:kern w:val="0"/>
                <w:sz w:val="18"/>
                <w:szCs w:val="18"/>
              </w:rPr>
              <w:t>3分；</w:t>
            </w:r>
          </w:p>
          <w:p w14:paraId="1FA3644E">
            <w:pPr>
              <w:spacing w:line="400" w:lineRule="exac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4</w:t>
            </w:r>
            <w:r>
              <w:rPr>
                <w:rFonts w:ascii="华文仿宋" w:hAnsi="华文仿宋" w:eastAsia="华文仿宋" w:cs="仿宋_GB2312"/>
                <w:color w:val="000000"/>
                <w:kern w:val="0"/>
                <w:sz w:val="18"/>
                <w:szCs w:val="18"/>
              </w:rPr>
              <w:t>.现场动火作业未办理动火申请手续的，每发现一例扣</w:t>
            </w:r>
            <w:r>
              <w:rPr>
                <w:rFonts w:hint="eastAsia" w:ascii="华文仿宋" w:hAnsi="华文仿宋" w:eastAsia="华文仿宋" w:cs="仿宋_GB2312"/>
                <w:color w:val="000000"/>
                <w:kern w:val="0"/>
                <w:sz w:val="18"/>
                <w:szCs w:val="18"/>
              </w:rPr>
              <w:t>2分。</w:t>
            </w:r>
          </w:p>
        </w:tc>
        <w:tc>
          <w:tcPr>
            <w:tcW w:w="709" w:type="dxa"/>
            <w:tcBorders>
              <w:tl2br w:val="nil"/>
              <w:tr2bl w:val="nil"/>
            </w:tcBorders>
            <w:vAlign w:val="center"/>
          </w:tcPr>
          <w:p w14:paraId="477A2A69">
            <w:pPr>
              <w:spacing w:line="400" w:lineRule="exact"/>
              <w:rPr>
                <w:rFonts w:ascii="华文仿宋" w:hAnsi="华文仿宋" w:eastAsia="华文仿宋" w:cs="仿宋_GB2312"/>
                <w:color w:val="000000"/>
                <w:kern w:val="0"/>
                <w:sz w:val="18"/>
                <w:szCs w:val="18"/>
              </w:rPr>
            </w:pPr>
          </w:p>
        </w:tc>
        <w:tc>
          <w:tcPr>
            <w:tcW w:w="634" w:type="dxa"/>
            <w:tcBorders>
              <w:tl2br w:val="nil"/>
              <w:tr2bl w:val="nil"/>
            </w:tcBorders>
          </w:tcPr>
          <w:p w14:paraId="530E0920">
            <w:pPr>
              <w:spacing w:line="400" w:lineRule="exact"/>
              <w:rPr>
                <w:rFonts w:ascii="华文仿宋" w:hAnsi="华文仿宋" w:eastAsia="华文仿宋" w:cs="仿宋_GB2312"/>
                <w:color w:val="000000"/>
                <w:kern w:val="0"/>
                <w:sz w:val="18"/>
                <w:szCs w:val="18"/>
              </w:rPr>
            </w:pPr>
          </w:p>
        </w:tc>
      </w:tr>
      <w:tr w14:paraId="61612EA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190FC24E">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8</w:t>
            </w:r>
          </w:p>
        </w:tc>
        <w:tc>
          <w:tcPr>
            <w:tcW w:w="992" w:type="dxa"/>
            <w:tcBorders>
              <w:right w:val="single" w:color="auto" w:sz="4" w:space="0"/>
              <w:tl2br w:val="nil"/>
              <w:tr2bl w:val="nil"/>
            </w:tcBorders>
            <w:vAlign w:val="center"/>
          </w:tcPr>
          <w:p w14:paraId="47075FA8">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安全标准化措施及防护</w:t>
            </w:r>
          </w:p>
        </w:tc>
        <w:tc>
          <w:tcPr>
            <w:tcW w:w="709" w:type="dxa"/>
            <w:tcBorders>
              <w:left w:val="single" w:color="auto" w:sz="4" w:space="0"/>
              <w:tl2br w:val="nil"/>
              <w:tr2bl w:val="nil"/>
            </w:tcBorders>
            <w:vAlign w:val="center"/>
          </w:tcPr>
          <w:p w14:paraId="75C54D76">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6F4CB03B">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.单位人员未按总包要求统一配置</w:t>
            </w:r>
            <w:r>
              <w:rPr>
                <w:rFonts w:hint="eastAsia" w:ascii="华文仿宋" w:hAnsi="华文仿宋" w:eastAsia="华文仿宋" w:cs="仿宋_GB2312"/>
                <w:color w:val="000000"/>
                <w:kern w:val="0"/>
                <w:sz w:val="18"/>
                <w:szCs w:val="18"/>
              </w:rPr>
              <w:t>安全帽、安全带、反光衣或统一C</w:t>
            </w:r>
            <w:r>
              <w:rPr>
                <w:rFonts w:ascii="华文仿宋" w:hAnsi="华文仿宋" w:eastAsia="华文仿宋" w:cs="仿宋_GB2312"/>
                <w:color w:val="000000"/>
                <w:kern w:val="0"/>
                <w:sz w:val="18"/>
                <w:szCs w:val="18"/>
              </w:rPr>
              <w:t>I标准的，每例扣</w:t>
            </w:r>
            <w:r>
              <w:rPr>
                <w:rFonts w:hint="eastAsia" w:ascii="华文仿宋" w:hAnsi="华文仿宋" w:eastAsia="华文仿宋" w:cs="仿宋_GB2312"/>
                <w:color w:val="000000"/>
                <w:kern w:val="0"/>
                <w:sz w:val="18"/>
                <w:szCs w:val="18"/>
              </w:rPr>
              <w:t>1分；</w:t>
            </w:r>
          </w:p>
          <w:p w14:paraId="5F6278DD">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当期收到业主、监理或总包关于安全防护的安全隐患通知书的，每次扣1分。</w:t>
            </w:r>
          </w:p>
        </w:tc>
        <w:tc>
          <w:tcPr>
            <w:tcW w:w="709" w:type="dxa"/>
            <w:tcBorders>
              <w:tl2br w:val="nil"/>
              <w:tr2bl w:val="nil"/>
            </w:tcBorders>
            <w:vAlign w:val="center"/>
          </w:tcPr>
          <w:p w14:paraId="55082A29">
            <w:pPr>
              <w:spacing w:line="400" w:lineRule="exact"/>
              <w:rPr>
                <w:rFonts w:ascii="华文仿宋" w:hAnsi="华文仿宋" w:eastAsia="华文仿宋" w:cs="仿宋_GB2312"/>
                <w:color w:val="000000"/>
                <w:kern w:val="0"/>
                <w:sz w:val="18"/>
                <w:szCs w:val="18"/>
              </w:rPr>
            </w:pPr>
          </w:p>
        </w:tc>
        <w:tc>
          <w:tcPr>
            <w:tcW w:w="634" w:type="dxa"/>
            <w:tcBorders>
              <w:tl2br w:val="nil"/>
              <w:tr2bl w:val="nil"/>
            </w:tcBorders>
          </w:tcPr>
          <w:p w14:paraId="0213D282">
            <w:pPr>
              <w:spacing w:line="400" w:lineRule="exact"/>
              <w:rPr>
                <w:rFonts w:ascii="华文仿宋" w:hAnsi="华文仿宋" w:eastAsia="华文仿宋" w:cs="仿宋_GB2312"/>
                <w:color w:val="000000"/>
                <w:kern w:val="0"/>
                <w:sz w:val="18"/>
                <w:szCs w:val="18"/>
              </w:rPr>
            </w:pPr>
          </w:p>
        </w:tc>
      </w:tr>
      <w:tr w14:paraId="597AC3C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11C4E481">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9</w:t>
            </w:r>
          </w:p>
        </w:tc>
        <w:tc>
          <w:tcPr>
            <w:tcW w:w="992" w:type="dxa"/>
            <w:tcBorders>
              <w:right w:val="single" w:color="auto" w:sz="4" w:space="0"/>
              <w:tl2br w:val="nil"/>
              <w:tr2bl w:val="nil"/>
            </w:tcBorders>
            <w:vAlign w:val="center"/>
          </w:tcPr>
          <w:p w14:paraId="67B9FC12">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文明施工及临时用电</w:t>
            </w:r>
          </w:p>
        </w:tc>
        <w:tc>
          <w:tcPr>
            <w:tcW w:w="709" w:type="dxa"/>
            <w:tcBorders>
              <w:left w:val="single" w:color="auto" w:sz="4" w:space="0"/>
              <w:tl2br w:val="nil"/>
              <w:tr2bl w:val="nil"/>
            </w:tcBorders>
            <w:vAlign w:val="center"/>
          </w:tcPr>
          <w:p w14:paraId="2A2897CD">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793AE686">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.单位是否配备专职安全文明施工队伍，未配扣</w:t>
            </w:r>
            <w:r>
              <w:rPr>
                <w:rFonts w:hint="eastAsia" w:ascii="华文仿宋" w:hAnsi="华文仿宋" w:eastAsia="华文仿宋" w:cs="仿宋_GB2312"/>
                <w:color w:val="000000"/>
                <w:kern w:val="0"/>
                <w:sz w:val="18"/>
                <w:szCs w:val="18"/>
              </w:rPr>
              <w:t>3分，人数未满足总包要求的扣</w:t>
            </w:r>
            <w:r>
              <w:rPr>
                <w:rFonts w:ascii="华文仿宋" w:hAnsi="华文仿宋" w:eastAsia="华文仿宋" w:cs="仿宋_GB2312"/>
                <w:color w:val="000000"/>
                <w:kern w:val="0"/>
                <w:sz w:val="18"/>
                <w:szCs w:val="18"/>
              </w:rPr>
              <w:t>1分；</w:t>
            </w:r>
          </w:p>
          <w:p w14:paraId="35112BF9">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当期收到业主、监理或总包关于文明施工隐患整改书面指令的，每次扣1分。</w:t>
            </w:r>
          </w:p>
          <w:p w14:paraId="08652270">
            <w:pPr>
              <w:spacing w:line="400" w:lineRule="exact"/>
              <w:jc w:val="left"/>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3.</w:t>
            </w:r>
            <w:r>
              <w:rPr>
                <w:rFonts w:hint="eastAsia" w:ascii="华文仿宋" w:hAnsi="华文仿宋" w:eastAsia="华文仿宋" w:cs="仿宋_GB2312"/>
                <w:color w:val="000000"/>
                <w:kern w:val="0"/>
                <w:sz w:val="18"/>
                <w:szCs w:val="18"/>
              </w:rPr>
              <w:t>是否设置分配电箱，按总包指定接驳点接电，临电系统是否满足“一机一闸一漏一箱”要求，每违一处扣</w:t>
            </w:r>
            <w:r>
              <w:rPr>
                <w:rFonts w:ascii="华文仿宋" w:hAnsi="华文仿宋" w:eastAsia="华文仿宋" w:cs="仿宋_GB2312"/>
                <w:color w:val="000000"/>
                <w:kern w:val="0"/>
                <w:sz w:val="18"/>
                <w:szCs w:val="18"/>
              </w:rPr>
              <w:t>1</w:t>
            </w:r>
            <w:r>
              <w:rPr>
                <w:rFonts w:hint="eastAsia" w:ascii="华文仿宋" w:hAnsi="华文仿宋" w:eastAsia="华文仿宋" w:cs="仿宋_GB2312"/>
                <w:color w:val="000000"/>
                <w:kern w:val="0"/>
                <w:sz w:val="18"/>
                <w:szCs w:val="18"/>
              </w:rPr>
              <w:t>分</w:t>
            </w:r>
          </w:p>
          <w:p w14:paraId="316CD7DA">
            <w:pPr>
              <w:spacing w:line="400" w:lineRule="exact"/>
              <w:jc w:val="left"/>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4.</w:t>
            </w:r>
            <w:r>
              <w:rPr>
                <w:rFonts w:hint="eastAsia" w:ascii="华文仿宋" w:hAnsi="华文仿宋" w:eastAsia="华文仿宋" w:cs="仿宋_GB2312"/>
                <w:color w:val="000000"/>
                <w:kern w:val="0"/>
                <w:sz w:val="18"/>
                <w:szCs w:val="18"/>
              </w:rPr>
              <w:t>当期收到业主、监理或总包关于临时用电安全隐患整改通知书的，每次扣1分。</w:t>
            </w:r>
          </w:p>
        </w:tc>
        <w:tc>
          <w:tcPr>
            <w:tcW w:w="709" w:type="dxa"/>
            <w:tcBorders>
              <w:tl2br w:val="nil"/>
              <w:tr2bl w:val="nil"/>
            </w:tcBorders>
            <w:vAlign w:val="center"/>
          </w:tcPr>
          <w:p w14:paraId="55195AD8">
            <w:pPr>
              <w:spacing w:line="400" w:lineRule="exact"/>
              <w:rPr>
                <w:rFonts w:ascii="华文仿宋" w:hAnsi="华文仿宋" w:eastAsia="华文仿宋" w:cs="仿宋_GB2312"/>
                <w:color w:val="000000"/>
                <w:kern w:val="0"/>
                <w:sz w:val="18"/>
                <w:szCs w:val="18"/>
              </w:rPr>
            </w:pPr>
          </w:p>
        </w:tc>
        <w:tc>
          <w:tcPr>
            <w:tcW w:w="634" w:type="dxa"/>
            <w:tcBorders>
              <w:tl2br w:val="nil"/>
              <w:tr2bl w:val="nil"/>
            </w:tcBorders>
          </w:tcPr>
          <w:p w14:paraId="06B4ECB4">
            <w:pPr>
              <w:spacing w:line="400" w:lineRule="exact"/>
              <w:rPr>
                <w:rFonts w:ascii="华文仿宋" w:hAnsi="华文仿宋" w:eastAsia="华文仿宋" w:cs="仿宋_GB2312"/>
                <w:color w:val="000000"/>
                <w:kern w:val="0"/>
                <w:sz w:val="18"/>
                <w:szCs w:val="18"/>
              </w:rPr>
            </w:pPr>
          </w:p>
        </w:tc>
      </w:tr>
      <w:tr w14:paraId="09E51E9E">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34" w:type="dxa"/>
            <w:tcBorders>
              <w:tl2br w:val="nil"/>
              <w:tr2bl w:val="nil"/>
            </w:tcBorders>
            <w:vAlign w:val="center"/>
          </w:tcPr>
          <w:p w14:paraId="21AFFFE2">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10</w:t>
            </w:r>
          </w:p>
        </w:tc>
        <w:tc>
          <w:tcPr>
            <w:tcW w:w="992" w:type="dxa"/>
            <w:tcBorders>
              <w:right w:val="single" w:color="auto" w:sz="4" w:space="0"/>
              <w:tl2br w:val="nil"/>
              <w:tr2bl w:val="nil"/>
            </w:tcBorders>
            <w:vAlign w:val="center"/>
          </w:tcPr>
          <w:p w14:paraId="584C51CE">
            <w:pPr>
              <w:spacing w:line="400" w:lineRule="exact"/>
              <w:jc w:val="center"/>
              <w:rPr>
                <w:rFonts w:ascii="华文仿宋" w:hAnsi="华文仿宋" w:eastAsia="华文仿宋" w:cs="仿宋_GB2312"/>
                <w:color w:val="000000"/>
                <w:kern w:val="0"/>
                <w:sz w:val="18"/>
                <w:szCs w:val="18"/>
              </w:rPr>
            </w:pPr>
          </w:p>
          <w:p w14:paraId="0E903AFE">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隐患整改及</w:t>
            </w:r>
          </w:p>
          <w:p w14:paraId="6D451767">
            <w:pPr>
              <w:spacing w:line="400" w:lineRule="exact"/>
              <w:jc w:val="center"/>
              <w:rPr>
                <w:rFonts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违章行为管理</w:t>
            </w:r>
          </w:p>
        </w:tc>
        <w:tc>
          <w:tcPr>
            <w:tcW w:w="709" w:type="dxa"/>
            <w:tcBorders>
              <w:left w:val="single" w:color="auto" w:sz="4" w:space="0"/>
              <w:tl2br w:val="nil"/>
              <w:tr2bl w:val="nil"/>
            </w:tcBorders>
            <w:vAlign w:val="center"/>
          </w:tcPr>
          <w:p w14:paraId="07FF50B1">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0E58D405">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1.当期收到业主、监理或总包安全整改指令未及时整改的每次扣2分，未及时书面回复的每次扣1分；</w:t>
            </w:r>
          </w:p>
          <w:p w14:paraId="707A9A53">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.当期收到</w:t>
            </w:r>
            <w:r>
              <w:rPr>
                <w:rFonts w:hint="eastAsia" w:ascii="华文仿宋" w:hAnsi="华文仿宋" w:eastAsia="华文仿宋" w:cs="仿宋_GB2312"/>
                <w:color w:val="000000"/>
                <w:kern w:val="0"/>
                <w:sz w:val="18"/>
                <w:szCs w:val="18"/>
              </w:rPr>
              <w:t>业主、监理或总包安全罚款的，每次扣1分；</w:t>
            </w:r>
          </w:p>
          <w:p w14:paraId="550B154D">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总包上级单位检查时发现隐患书面下达的每项扣1分，下发罚款单每项扣2分；</w:t>
            </w:r>
          </w:p>
          <w:p w14:paraId="7DE5D03D">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4</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当期安全罚款未缴纳扣1分。</w:t>
            </w:r>
          </w:p>
        </w:tc>
        <w:tc>
          <w:tcPr>
            <w:tcW w:w="709" w:type="dxa"/>
            <w:tcBorders>
              <w:tl2br w:val="nil"/>
              <w:tr2bl w:val="nil"/>
            </w:tcBorders>
            <w:vAlign w:val="center"/>
          </w:tcPr>
          <w:p w14:paraId="03A56B46">
            <w:pPr>
              <w:spacing w:line="400" w:lineRule="exact"/>
              <w:jc w:val="center"/>
              <w:rPr>
                <w:rFonts w:ascii="华文仿宋" w:hAnsi="华文仿宋" w:eastAsia="华文仿宋" w:cs="仿宋_GB2312"/>
                <w:kern w:val="0"/>
                <w:sz w:val="18"/>
                <w:szCs w:val="18"/>
              </w:rPr>
            </w:pPr>
          </w:p>
        </w:tc>
        <w:tc>
          <w:tcPr>
            <w:tcW w:w="634" w:type="dxa"/>
            <w:tcBorders>
              <w:tl2br w:val="nil"/>
              <w:tr2bl w:val="nil"/>
            </w:tcBorders>
          </w:tcPr>
          <w:p w14:paraId="06987FF1">
            <w:pPr>
              <w:spacing w:line="400" w:lineRule="exact"/>
              <w:jc w:val="center"/>
              <w:rPr>
                <w:rFonts w:ascii="华文仿宋" w:hAnsi="华文仿宋" w:eastAsia="华文仿宋" w:cs="仿宋_GB2312"/>
                <w:kern w:val="0"/>
                <w:sz w:val="18"/>
                <w:szCs w:val="18"/>
              </w:rPr>
            </w:pPr>
          </w:p>
        </w:tc>
      </w:tr>
      <w:tr w14:paraId="466F53B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34" w:type="dxa"/>
            <w:vMerge w:val="restart"/>
            <w:tcBorders>
              <w:tl2br w:val="nil"/>
              <w:tr2bl w:val="nil"/>
            </w:tcBorders>
            <w:vAlign w:val="center"/>
          </w:tcPr>
          <w:p w14:paraId="761199CF">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1</w:t>
            </w:r>
          </w:p>
        </w:tc>
        <w:tc>
          <w:tcPr>
            <w:tcW w:w="992" w:type="dxa"/>
            <w:vMerge w:val="restart"/>
            <w:tcBorders>
              <w:right w:val="single" w:color="auto" w:sz="4" w:space="0"/>
              <w:tl2br w:val="nil"/>
              <w:tr2bl w:val="nil"/>
            </w:tcBorders>
            <w:vAlign w:val="center"/>
          </w:tcPr>
          <w:p w14:paraId="5057ECE3">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加分项</w:t>
            </w:r>
          </w:p>
        </w:tc>
        <w:tc>
          <w:tcPr>
            <w:tcW w:w="709" w:type="dxa"/>
            <w:vMerge w:val="restart"/>
            <w:tcBorders>
              <w:left w:val="single" w:color="auto" w:sz="4" w:space="0"/>
              <w:tl2br w:val="nil"/>
              <w:tr2bl w:val="nil"/>
            </w:tcBorders>
            <w:vAlign w:val="center"/>
          </w:tcPr>
          <w:p w14:paraId="5C3CCB7A">
            <w:pPr>
              <w:spacing w:line="400" w:lineRule="exact"/>
              <w:jc w:val="center"/>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5分</w:t>
            </w:r>
          </w:p>
        </w:tc>
        <w:tc>
          <w:tcPr>
            <w:tcW w:w="5811" w:type="dxa"/>
            <w:gridSpan w:val="2"/>
            <w:tcBorders>
              <w:tl2br w:val="nil"/>
              <w:tr2bl w:val="nil"/>
            </w:tcBorders>
            <w:vAlign w:val="center"/>
          </w:tcPr>
          <w:p w14:paraId="7CFC3C63">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发现重大隐患、未遂事件及时上报总包，并采取紧急措施，受到总包采纳的，每次加</w:t>
            </w:r>
            <w:r>
              <w:rPr>
                <w:rFonts w:ascii="华文仿宋" w:hAnsi="华文仿宋" w:eastAsia="华文仿宋" w:cs="仿宋_GB2312"/>
                <w:color w:val="000000"/>
                <w:kern w:val="0"/>
                <w:sz w:val="18"/>
                <w:szCs w:val="18"/>
              </w:rPr>
              <w:t>2</w:t>
            </w:r>
            <w:r>
              <w:rPr>
                <w:rFonts w:hint="eastAsia" w:ascii="华文仿宋" w:hAnsi="华文仿宋" w:eastAsia="华文仿宋" w:cs="仿宋_GB2312"/>
                <w:color w:val="000000"/>
                <w:kern w:val="0"/>
                <w:sz w:val="18"/>
                <w:szCs w:val="18"/>
              </w:rPr>
              <w:t>分</w:t>
            </w:r>
          </w:p>
        </w:tc>
        <w:tc>
          <w:tcPr>
            <w:tcW w:w="709" w:type="dxa"/>
            <w:tcBorders>
              <w:tl2br w:val="nil"/>
              <w:tr2bl w:val="nil"/>
            </w:tcBorders>
            <w:vAlign w:val="center"/>
          </w:tcPr>
          <w:p w14:paraId="692D70BD">
            <w:pPr>
              <w:spacing w:line="400" w:lineRule="exact"/>
              <w:jc w:val="center"/>
              <w:rPr>
                <w:rFonts w:ascii="华文仿宋" w:hAnsi="华文仿宋" w:eastAsia="华文仿宋" w:cs="仿宋_GB2312"/>
                <w:kern w:val="0"/>
                <w:sz w:val="18"/>
                <w:szCs w:val="18"/>
              </w:rPr>
            </w:pPr>
          </w:p>
        </w:tc>
        <w:tc>
          <w:tcPr>
            <w:tcW w:w="634" w:type="dxa"/>
            <w:tcBorders>
              <w:tl2br w:val="nil"/>
              <w:tr2bl w:val="nil"/>
            </w:tcBorders>
          </w:tcPr>
          <w:p w14:paraId="6C19D7B7">
            <w:pPr>
              <w:spacing w:line="400" w:lineRule="exact"/>
              <w:jc w:val="center"/>
              <w:rPr>
                <w:rFonts w:ascii="华文仿宋" w:hAnsi="华文仿宋" w:eastAsia="华文仿宋" w:cs="仿宋_GB2312"/>
                <w:kern w:val="0"/>
                <w:sz w:val="18"/>
                <w:szCs w:val="18"/>
              </w:rPr>
            </w:pPr>
          </w:p>
        </w:tc>
      </w:tr>
      <w:tr w14:paraId="2C790BB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34" w:type="dxa"/>
            <w:vMerge w:val="continue"/>
            <w:tcBorders>
              <w:tl2br w:val="nil"/>
              <w:tr2bl w:val="nil"/>
            </w:tcBorders>
            <w:vAlign w:val="center"/>
          </w:tcPr>
          <w:p w14:paraId="6695872B">
            <w:pPr>
              <w:spacing w:line="400" w:lineRule="exact"/>
              <w:jc w:val="center"/>
              <w:rPr>
                <w:rFonts w:ascii="华文仿宋" w:hAnsi="华文仿宋" w:eastAsia="华文仿宋" w:cs="仿宋_GB2312"/>
                <w:color w:val="000000"/>
                <w:kern w:val="0"/>
                <w:sz w:val="18"/>
                <w:szCs w:val="18"/>
              </w:rPr>
            </w:pPr>
          </w:p>
        </w:tc>
        <w:tc>
          <w:tcPr>
            <w:tcW w:w="992" w:type="dxa"/>
            <w:vMerge w:val="continue"/>
            <w:tcBorders>
              <w:right w:val="single" w:color="auto" w:sz="4" w:space="0"/>
              <w:tl2br w:val="nil"/>
              <w:tr2bl w:val="nil"/>
            </w:tcBorders>
            <w:vAlign w:val="center"/>
          </w:tcPr>
          <w:p w14:paraId="7689CDB9">
            <w:pPr>
              <w:spacing w:line="400" w:lineRule="exact"/>
              <w:jc w:val="center"/>
              <w:rPr>
                <w:rFonts w:ascii="华文仿宋" w:hAnsi="华文仿宋" w:eastAsia="华文仿宋" w:cs="仿宋_GB2312"/>
                <w:color w:val="000000"/>
                <w:kern w:val="0"/>
                <w:sz w:val="18"/>
                <w:szCs w:val="18"/>
              </w:rPr>
            </w:pPr>
          </w:p>
        </w:tc>
        <w:tc>
          <w:tcPr>
            <w:tcW w:w="709" w:type="dxa"/>
            <w:vMerge w:val="continue"/>
            <w:tcBorders>
              <w:left w:val="single" w:color="auto" w:sz="4" w:space="0"/>
              <w:tl2br w:val="nil"/>
              <w:tr2bl w:val="nil"/>
            </w:tcBorders>
            <w:vAlign w:val="center"/>
          </w:tcPr>
          <w:p w14:paraId="3F57C4FE">
            <w:pPr>
              <w:spacing w:line="400" w:lineRule="exact"/>
              <w:jc w:val="center"/>
              <w:rPr>
                <w:rFonts w:ascii="华文仿宋" w:hAnsi="华文仿宋" w:eastAsia="华文仿宋" w:cs="仿宋_GB2312"/>
                <w:color w:val="000000"/>
                <w:kern w:val="0"/>
                <w:sz w:val="18"/>
                <w:szCs w:val="18"/>
              </w:rPr>
            </w:pPr>
          </w:p>
        </w:tc>
        <w:tc>
          <w:tcPr>
            <w:tcW w:w="5811" w:type="dxa"/>
            <w:gridSpan w:val="2"/>
            <w:tcBorders>
              <w:tl2br w:val="nil"/>
              <w:tr2bl w:val="nil"/>
            </w:tcBorders>
            <w:vAlign w:val="center"/>
          </w:tcPr>
          <w:p w14:paraId="26FCA8A2">
            <w:pPr>
              <w:spacing w:line="400" w:lineRule="exact"/>
              <w:jc w:val="left"/>
              <w:rPr>
                <w:rFonts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作业人员获“行为安全之星”表彰的，加0</w:t>
            </w:r>
            <w:r>
              <w:rPr>
                <w:rFonts w:ascii="华文仿宋" w:hAnsi="华文仿宋" w:eastAsia="华文仿宋" w:cs="仿宋_GB2312"/>
                <w:color w:val="000000"/>
                <w:kern w:val="0"/>
                <w:sz w:val="18"/>
                <w:szCs w:val="18"/>
              </w:rPr>
              <w:t>.5</w:t>
            </w:r>
            <w:r>
              <w:rPr>
                <w:rFonts w:hint="eastAsia" w:ascii="华文仿宋" w:hAnsi="华文仿宋" w:eastAsia="华文仿宋" w:cs="仿宋_GB2312"/>
                <w:color w:val="000000"/>
                <w:kern w:val="0"/>
                <w:sz w:val="18"/>
                <w:szCs w:val="18"/>
              </w:rPr>
              <w:t>分/人/次</w:t>
            </w:r>
          </w:p>
        </w:tc>
        <w:tc>
          <w:tcPr>
            <w:tcW w:w="709" w:type="dxa"/>
            <w:tcBorders>
              <w:tl2br w:val="nil"/>
              <w:tr2bl w:val="nil"/>
            </w:tcBorders>
            <w:vAlign w:val="center"/>
          </w:tcPr>
          <w:p w14:paraId="0E94AD66">
            <w:pPr>
              <w:spacing w:line="400" w:lineRule="exact"/>
              <w:jc w:val="center"/>
              <w:rPr>
                <w:rFonts w:ascii="华文仿宋" w:hAnsi="华文仿宋" w:eastAsia="华文仿宋" w:cs="仿宋_GB2312"/>
                <w:kern w:val="0"/>
                <w:sz w:val="18"/>
                <w:szCs w:val="18"/>
              </w:rPr>
            </w:pPr>
          </w:p>
        </w:tc>
        <w:tc>
          <w:tcPr>
            <w:tcW w:w="634" w:type="dxa"/>
            <w:tcBorders>
              <w:tl2br w:val="nil"/>
              <w:tr2bl w:val="nil"/>
            </w:tcBorders>
          </w:tcPr>
          <w:p w14:paraId="515D9904">
            <w:pPr>
              <w:spacing w:line="400" w:lineRule="exact"/>
              <w:jc w:val="center"/>
              <w:rPr>
                <w:rFonts w:ascii="华文仿宋" w:hAnsi="华文仿宋" w:eastAsia="华文仿宋" w:cs="仿宋_GB2312"/>
                <w:kern w:val="0"/>
                <w:sz w:val="18"/>
                <w:szCs w:val="18"/>
              </w:rPr>
            </w:pPr>
          </w:p>
        </w:tc>
      </w:tr>
    </w:tbl>
    <w:p w14:paraId="65EA6B75"/>
    <w:p w14:paraId="54762E98"/>
    <w:p w14:paraId="50B8B797"/>
    <w:p w14:paraId="6F784408">
      <w:pPr>
        <w:rPr>
          <w:rFonts w:ascii="Cambria" w:hAnsi="Cambria"/>
          <w:b/>
          <w:bCs/>
          <w:color w:val="000000" w:themeColor="text1"/>
          <w:sz w:val="30"/>
          <w:szCs w:val="30"/>
          <w14:textFill>
            <w14:solidFill>
              <w14:schemeClr w14:val="tx1"/>
            </w14:solidFill>
          </w14:textFill>
        </w:rPr>
      </w:pPr>
      <w:bookmarkStart w:id="1230" w:name="_Toc28802"/>
      <w:r>
        <w:rPr>
          <w:rFonts w:ascii="Cambria" w:hAnsi="Cambria"/>
          <w:b/>
          <w:bCs/>
          <w:color w:val="000000" w:themeColor="text1"/>
          <w:sz w:val="30"/>
          <w:szCs w:val="30"/>
          <w14:textFill>
            <w14:solidFill>
              <w14:schemeClr w14:val="tx1"/>
            </w14:solidFill>
          </w14:textFill>
        </w:rPr>
        <w:br w:type="page"/>
      </w:r>
    </w:p>
    <w:p w14:paraId="763D760A">
      <w:pPr>
        <w:spacing w:line="520" w:lineRule="exact"/>
        <w:outlineLvl w:val="0"/>
        <w:rPr>
          <w:rFonts w:ascii="Cambria" w:hAnsi="Cambria"/>
          <w:b/>
          <w:bCs/>
          <w:color w:val="000000" w:themeColor="text1"/>
          <w:sz w:val="30"/>
          <w:szCs w:val="30"/>
          <w14:textFill>
            <w14:solidFill>
              <w14:schemeClr w14:val="tx1"/>
            </w14:solidFill>
          </w14:textFill>
        </w:rPr>
      </w:pPr>
      <w:bookmarkStart w:id="1231" w:name="_Toc12485"/>
      <w:r>
        <w:rPr>
          <w:rFonts w:ascii="Cambria" w:hAnsi="Cambria"/>
          <w:b/>
          <w:bCs/>
          <w:color w:val="000000" w:themeColor="text1"/>
          <w:sz w:val="30"/>
          <w:szCs w:val="30"/>
          <w14:textFill>
            <w14:solidFill>
              <w14:schemeClr w14:val="tx1"/>
            </w14:solidFill>
          </w14:textFill>
        </w:rPr>
        <w:t>附件</w:t>
      </w:r>
      <w:r>
        <w:rPr>
          <w:rFonts w:hint="eastAsia" w:ascii="Cambria" w:hAnsi="Cambria"/>
          <w:b/>
          <w:bCs/>
          <w:color w:val="000000" w:themeColor="text1"/>
          <w:sz w:val="30"/>
          <w:szCs w:val="30"/>
          <w14:textFill>
            <w14:solidFill>
              <w14:schemeClr w14:val="tx1"/>
            </w14:solidFill>
          </w14:textFill>
        </w:rPr>
        <w:t>1</w:t>
      </w:r>
      <w:r>
        <w:rPr>
          <w:rFonts w:ascii="Cambria" w:hAnsi="Cambria"/>
          <w:b/>
          <w:bCs/>
          <w:color w:val="000000" w:themeColor="text1"/>
          <w:sz w:val="30"/>
          <w:szCs w:val="30"/>
          <w14:textFill>
            <w14:solidFill>
              <w14:schemeClr w14:val="tx1"/>
            </w14:solidFill>
          </w14:textFill>
        </w:rPr>
        <w:t>1 答疑补遗纪要</w:t>
      </w:r>
      <w:bookmarkEnd w:id="1230"/>
      <w:bookmarkEnd w:id="1231"/>
    </w:p>
    <w:p w14:paraId="76E941B9">
      <w:pPr>
        <w:rPr>
          <w:color w:val="000000" w:themeColor="text1"/>
          <w14:textFill>
            <w14:solidFill>
              <w14:schemeClr w14:val="tx1"/>
            </w14:solidFill>
          </w14:textFill>
        </w:rPr>
      </w:pPr>
    </w:p>
    <w:p w14:paraId="04F3734A">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0FBF339">
      <w:pPr>
        <w:rPr>
          <w:color w:val="000000" w:themeColor="text1"/>
          <w14:textFill>
            <w14:solidFill>
              <w14:schemeClr w14:val="tx1"/>
            </w14:solidFill>
          </w14:textFill>
        </w:rPr>
      </w:pPr>
    </w:p>
    <w:p w14:paraId="75B98F4A">
      <w:pPr>
        <w:spacing w:line="520" w:lineRule="exact"/>
        <w:outlineLvl w:val="0"/>
        <w:rPr>
          <w:rFonts w:ascii="Cambria" w:hAnsi="Cambria"/>
          <w:b/>
          <w:bCs/>
          <w:color w:val="000000" w:themeColor="text1"/>
          <w:sz w:val="30"/>
          <w:szCs w:val="30"/>
          <w14:textFill>
            <w14:solidFill>
              <w14:schemeClr w14:val="tx1"/>
            </w14:solidFill>
          </w14:textFill>
        </w:rPr>
      </w:pPr>
      <w:bookmarkStart w:id="1232" w:name="_Toc4307"/>
      <w:bookmarkStart w:id="1233" w:name="_Toc7804"/>
      <w:r>
        <w:rPr>
          <w:rFonts w:ascii="Cambria" w:hAnsi="Cambria"/>
          <w:b/>
          <w:bCs/>
          <w:color w:val="000000" w:themeColor="text1"/>
          <w:sz w:val="30"/>
          <w:szCs w:val="30"/>
          <w14:textFill>
            <w14:solidFill>
              <w14:schemeClr w14:val="tx1"/>
            </w14:solidFill>
          </w14:textFill>
        </w:rPr>
        <w:t>附件</w:t>
      </w:r>
      <w:r>
        <w:rPr>
          <w:rFonts w:hint="eastAsia" w:ascii="Cambria" w:hAnsi="Cambria"/>
          <w:b/>
          <w:bCs/>
          <w:color w:val="000000" w:themeColor="text1"/>
          <w:sz w:val="30"/>
          <w:szCs w:val="30"/>
          <w14:textFill>
            <w14:solidFill>
              <w14:schemeClr w14:val="tx1"/>
            </w14:solidFill>
          </w14:textFill>
        </w:rPr>
        <w:t>1</w:t>
      </w:r>
      <w:r>
        <w:rPr>
          <w:rFonts w:ascii="Cambria" w:hAnsi="Cambria"/>
          <w:b/>
          <w:bCs/>
          <w:color w:val="000000" w:themeColor="text1"/>
          <w:sz w:val="30"/>
          <w:szCs w:val="30"/>
          <w14:textFill>
            <w14:solidFill>
              <w14:schemeClr w14:val="tx1"/>
            </w14:solidFill>
          </w14:textFill>
        </w:rPr>
        <w:t xml:space="preserve">2 </w:t>
      </w:r>
      <w:r>
        <w:rPr>
          <w:rFonts w:hint="eastAsia" w:ascii="Cambria" w:hAnsi="Cambria"/>
          <w:b/>
          <w:bCs/>
          <w:color w:val="000000" w:themeColor="text1"/>
          <w:sz w:val="30"/>
          <w:szCs w:val="30"/>
          <w14:textFill>
            <w14:solidFill>
              <w14:schemeClr w14:val="tx1"/>
            </w14:solidFill>
          </w14:textFill>
        </w:rPr>
        <w:t>保密</w:t>
      </w:r>
      <w:r>
        <w:rPr>
          <w:rFonts w:ascii="Cambria" w:hAnsi="Cambria"/>
          <w:b/>
          <w:bCs/>
          <w:color w:val="000000" w:themeColor="text1"/>
          <w:sz w:val="30"/>
          <w:szCs w:val="30"/>
          <w14:textFill>
            <w14:solidFill>
              <w14:schemeClr w14:val="tx1"/>
            </w14:solidFill>
          </w14:textFill>
        </w:rPr>
        <w:t>协议</w:t>
      </w:r>
      <w:bookmarkEnd w:id="1232"/>
      <w:bookmarkEnd w:id="1233"/>
    </w:p>
    <w:p w14:paraId="390FB85B">
      <w:pPr>
        <w:rPr>
          <w:color w:val="000000" w:themeColor="text1"/>
          <w14:textFill>
            <w14:solidFill>
              <w14:schemeClr w14:val="tx1"/>
            </w14:solidFill>
          </w14:textFill>
        </w:rPr>
      </w:pPr>
    </w:p>
    <w:p w14:paraId="0B0E5AFF">
      <w:pPr>
        <w:pStyle w:val="165"/>
        <w:adjustRightInd w:val="0"/>
        <w:snapToGrid w:val="0"/>
        <w:ind w:firstLine="602"/>
        <w:jc w:val="center"/>
        <w:rPr>
          <w:rFonts w:ascii="宋体" w:hAnsi="宋体"/>
          <w:b/>
          <w:sz w:val="30"/>
          <w:szCs w:val="30"/>
        </w:rPr>
      </w:pPr>
      <w:r>
        <w:rPr>
          <w:rFonts w:hint="eastAsia" w:ascii="宋体" w:hAnsi="宋体"/>
          <w:b/>
          <w:sz w:val="30"/>
          <w:szCs w:val="30"/>
        </w:rPr>
        <w:t>保 密 协 议</w:t>
      </w:r>
    </w:p>
    <w:p w14:paraId="168B6B87">
      <w:pPr>
        <w:pStyle w:val="165"/>
        <w:adjustRightInd w:val="0"/>
        <w:snapToGrid w:val="0"/>
        <w:ind w:firstLine="482"/>
        <w:rPr>
          <w:rFonts w:ascii="宋体" w:hAnsi="宋体"/>
          <w:b/>
          <w:sz w:val="24"/>
          <w:szCs w:val="22"/>
        </w:rPr>
      </w:pPr>
      <w:r>
        <w:rPr>
          <w:rFonts w:hint="eastAsia" w:ascii="宋体" w:hAnsi="宋体"/>
          <w:b/>
          <w:sz w:val="24"/>
          <w:szCs w:val="22"/>
        </w:rPr>
        <w:t>发包人：</w:t>
      </w:r>
      <w:r>
        <w:rPr>
          <w:rFonts w:hint="eastAsia" w:ascii="宋体" w:hAnsi="宋体"/>
          <w:sz w:val="24"/>
          <w:szCs w:val="22"/>
          <w:u w:val="single"/>
        </w:rPr>
        <w:t>深圳湾区城市建设发展有限公司</w:t>
      </w:r>
      <w:r>
        <w:rPr>
          <w:rFonts w:ascii="宋体" w:hAnsi="宋体"/>
          <w:sz w:val="24"/>
          <w:szCs w:val="22"/>
        </w:rPr>
        <w:t xml:space="preserve"> </w:t>
      </w:r>
    </w:p>
    <w:p w14:paraId="7ACBE09B">
      <w:pPr>
        <w:pStyle w:val="165"/>
        <w:adjustRightInd w:val="0"/>
        <w:snapToGrid w:val="0"/>
        <w:ind w:firstLine="482"/>
        <w:rPr>
          <w:rFonts w:ascii="宋体" w:hAnsi="宋体"/>
          <w:sz w:val="24"/>
          <w:szCs w:val="22"/>
        </w:rPr>
      </w:pPr>
      <w:r>
        <w:rPr>
          <w:rFonts w:hint="eastAsia" w:ascii="宋体" w:hAnsi="宋体"/>
          <w:b/>
          <w:sz w:val="24"/>
          <w:szCs w:val="22"/>
        </w:rPr>
        <w:t>承包人：</w:t>
      </w:r>
      <w:r>
        <w:rPr>
          <w:rFonts w:hint="eastAsia" w:ascii="宋体" w:hAnsi="宋体"/>
          <w:sz w:val="24"/>
          <w:szCs w:val="22"/>
          <w:u w:val="single"/>
        </w:rPr>
        <w:t xml:space="preserve">  中建科工集团有限公司  </w:t>
      </w:r>
      <w:r>
        <w:rPr>
          <w:rFonts w:hint="eastAsia" w:ascii="宋体" w:hAnsi="宋体"/>
          <w:sz w:val="24"/>
          <w:szCs w:val="22"/>
        </w:rPr>
        <w:t xml:space="preserve"> </w:t>
      </w:r>
    </w:p>
    <w:p w14:paraId="5C58C01D">
      <w:pPr>
        <w:pStyle w:val="165"/>
        <w:adjustRightInd w:val="0"/>
        <w:snapToGrid w:val="0"/>
        <w:ind w:firstLine="482"/>
        <w:rPr>
          <w:rFonts w:ascii="宋体" w:hAnsi="宋体"/>
          <w:b/>
          <w:sz w:val="24"/>
          <w:szCs w:val="22"/>
        </w:rPr>
      </w:pPr>
      <w:r>
        <w:rPr>
          <w:rFonts w:hint="eastAsia" w:ascii="宋体" w:hAnsi="宋体"/>
          <w:b/>
          <w:sz w:val="24"/>
          <w:szCs w:val="22"/>
        </w:rPr>
        <w:t>分包人：</w:t>
      </w:r>
      <w:r>
        <w:rPr>
          <w:rFonts w:hint="eastAsia" w:ascii="宋体" w:hAnsi="宋体"/>
          <w:sz w:val="24"/>
          <w:szCs w:val="22"/>
          <w:u w:val="single"/>
        </w:rPr>
        <w:t xml:space="preserve">   </w:t>
      </w:r>
      <w:r>
        <w:rPr>
          <w:rFonts w:ascii="宋体" w:hAnsi="宋体"/>
          <w:sz w:val="24"/>
          <w:szCs w:val="22"/>
          <w:u w:val="single"/>
        </w:rPr>
        <w:t xml:space="preserve">                    </w:t>
      </w:r>
      <w:r>
        <w:rPr>
          <w:rFonts w:hint="eastAsia" w:ascii="宋体" w:hAnsi="宋体"/>
          <w:sz w:val="24"/>
          <w:szCs w:val="22"/>
          <w:u w:val="single"/>
        </w:rPr>
        <w:t xml:space="preserve"> </w:t>
      </w:r>
    </w:p>
    <w:p w14:paraId="122430E0">
      <w:pPr>
        <w:spacing w:line="560" w:lineRule="exact"/>
        <w:ind w:firstLine="480" w:firstLineChars="200"/>
        <w:jc w:val="left"/>
        <w:rPr>
          <w:rFonts w:ascii="宋体" w:hAnsi="宋体"/>
        </w:rPr>
      </w:pPr>
      <w:r>
        <w:rPr>
          <w:rFonts w:hint="eastAsia" w:ascii="宋体" w:hAnsi="宋体"/>
        </w:rPr>
        <w:t>鉴于分包人在</w:t>
      </w:r>
      <w:r>
        <w:rPr>
          <w:rFonts w:hint="eastAsia" w:ascii="宋体" w:hAnsi="宋体"/>
          <w:b/>
          <w:u w:val="single"/>
        </w:rPr>
        <w:t xml:space="preserve"> </w:t>
      </w:r>
      <w:r>
        <w:rPr>
          <w:rFonts w:hint="eastAsia" w:ascii="宋体" w:hAnsi="宋体"/>
          <w:u w:val="single"/>
        </w:rPr>
        <w:t xml:space="preserve">广州市天河区珠江新城A3-3 (B) 地块项目幕墙工程 </w:t>
      </w:r>
      <w:r>
        <w:rPr>
          <w:rFonts w:hint="eastAsia" w:ascii="宋体" w:hAnsi="宋体"/>
        </w:rPr>
        <w:t>（以下简称本项目）合同履行过程中，已经或将要接触或获得涉及发包人的保密资料及将在该项目实施过程中形成的资料，经各方友好协商，发包人愿意向分包人披露相关保密资料，分包人承诺按照本协议的约定对发包人的保密资料予以保密。承包人相关保密要求详见发包人与承包人之</w:t>
      </w:r>
      <w:r>
        <w:rPr>
          <w:rFonts w:hint="eastAsia" w:ascii="宋体" w:hAnsi="宋体"/>
          <w:u w:val="single"/>
        </w:rPr>
        <w:t>广州市天河区珠江新城A3-3 (B) 地块项目主体施工总承包工程合同要求</w:t>
      </w:r>
      <w:r>
        <w:rPr>
          <w:rFonts w:hint="eastAsia" w:ascii="宋体" w:hAnsi="宋体"/>
        </w:rPr>
        <w:t>。</w:t>
      </w:r>
    </w:p>
    <w:p w14:paraId="4D5A61E0">
      <w:pPr>
        <w:pStyle w:val="165"/>
        <w:spacing w:after="0" w:line="560" w:lineRule="exact"/>
        <w:ind w:firstLine="480"/>
        <w:rPr>
          <w:rFonts w:ascii="宋体" w:hAnsi="宋体"/>
          <w:sz w:val="24"/>
          <w:szCs w:val="22"/>
        </w:rPr>
      </w:pPr>
      <w:r>
        <w:rPr>
          <w:rFonts w:hint="eastAsia" w:ascii="宋体" w:hAnsi="宋体"/>
          <w:sz w:val="24"/>
          <w:szCs w:val="22"/>
        </w:rPr>
        <w:t>一、“保密资料”包括：</w:t>
      </w:r>
    </w:p>
    <w:p w14:paraId="4685EF1F">
      <w:pPr>
        <w:pStyle w:val="165"/>
        <w:spacing w:after="0" w:line="560" w:lineRule="exact"/>
        <w:ind w:firstLine="480"/>
        <w:rPr>
          <w:rFonts w:ascii="宋体" w:hAnsi="宋体"/>
          <w:sz w:val="24"/>
          <w:szCs w:val="22"/>
        </w:rPr>
      </w:pPr>
      <w:r>
        <w:rPr>
          <w:rFonts w:hint="eastAsia" w:ascii="宋体" w:hAnsi="宋体"/>
          <w:sz w:val="24"/>
          <w:szCs w:val="22"/>
        </w:rPr>
        <w:t>分包人应对本次合作项目在接触、签约及履行等任一过程中自发包人（或下属企业、关联单位、合作伙伴、政府部门单位及工作人员）获得的涉密商业信息、资料、数据、规章制度等（“保密信息”），承担保密责任。分包人应本着谨慎、诚信的态度，采取任何必要、合理的措施，对发包人信息予以保密，不得对信息进行未经授权的披露、复制或使用。</w:t>
      </w:r>
    </w:p>
    <w:p w14:paraId="586BD536">
      <w:pPr>
        <w:pStyle w:val="165"/>
        <w:spacing w:after="0" w:line="560" w:lineRule="exact"/>
        <w:ind w:firstLine="480"/>
        <w:rPr>
          <w:rFonts w:ascii="宋体" w:hAnsi="宋体"/>
          <w:sz w:val="24"/>
          <w:szCs w:val="22"/>
        </w:rPr>
      </w:pPr>
      <w:r>
        <w:rPr>
          <w:rFonts w:hint="eastAsia" w:ascii="宋体" w:hAnsi="宋体"/>
          <w:sz w:val="24"/>
          <w:szCs w:val="22"/>
        </w:rPr>
        <w:t xml:space="preserve">保密信息包括但不限于下述内容： </w:t>
      </w:r>
    </w:p>
    <w:p w14:paraId="7497EB1A">
      <w:pPr>
        <w:pStyle w:val="165"/>
        <w:spacing w:after="0" w:line="560" w:lineRule="exact"/>
        <w:ind w:firstLine="480"/>
        <w:rPr>
          <w:rFonts w:ascii="宋体" w:hAnsi="宋体"/>
          <w:sz w:val="24"/>
          <w:szCs w:val="22"/>
        </w:rPr>
      </w:pPr>
      <w:r>
        <w:rPr>
          <w:rFonts w:hint="eastAsia" w:ascii="宋体" w:hAnsi="宋体"/>
          <w:sz w:val="24"/>
          <w:szCs w:val="22"/>
        </w:rPr>
        <w:t>(1分包人通过发包人渠道获得的任何不被公众所知的信息；</w:t>
      </w:r>
    </w:p>
    <w:p w14:paraId="556D9FFC">
      <w:pPr>
        <w:pStyle w:val="165"/>
        <w:spacing w:after="0" w:line="560" w:lineRule="exact"/>
        <w:ind w:firstLine="475" w:firstLineChars="198"/>
        <w:rPr>
          <w:rFonts w:ascii="宋体" w:hAnsi="宋体"/>
          <w:sz w:val="24"/>
          <w:szCs w:val="22"/>
        </w:rPr>
      </w:pPr>
      <w:r>
        <w:rPr>
          <w:rFonts w:hint="eastAsia" w:ascii="宋体" w:hAnsi="宋体"/>
          <w:sz w:val="24"/>
          <w:szCs w:val="22"/>
        </w:rPr>
        <w:t>(2)涉及发包人及发包人下属企业的相关资料和信息（价值评估、产品技术、市场营销、发展计划和内部经营管理情况等信息）；</w:t>
      </w:r>
    </w:p>
    <w:p w14:paraId="314DAD94">
      <w:pPr>
        <w:pStyle w:val="165"/>
        <w:spacing w:after="0" w:line="560" w:lineRule="exact"/>
        <w:ind w:firstLine="475" w:firstLineChars="198"/>
        <w:rPr>
          <w:rFonts w:ascii="宋体" w:hAnsi="宋体"/>
          <w:sz w:val="24"/>
          <w:szCs w:val="22"/>
        </w:rPr>
      </w:pPr>
      <w:r>
        <w:rPr>
          <w:rFonts w:hint="eastAsia" w:ascii="宋体" w:hAnsi="宋体"/>
          <w:sz w:val="24"/>
          <w:szCs w:val="22"/>
        </w:rPr>
        <w:t>包括但不限于如下内容：</w:t>
      </w:r>
    </w:p>
    <w:p w14:paraId="27BDB0BD">
      <w:pPr>
        <w:pStyle w:val="165"/>
        <w:spacing w:after="0" w:line="560" w:lineRule="exact"/>
        <w:ind w:firstLine="679" w:firstLineChars="283"/>
        <w:rPr>
          <w:rFonts w:ascii="宋体" w:hAnsi="宋体"/>
          <w:sz w:val="24"/>
          <w:szCs w:val="22"/>
        </w:rPr>
      </w:pPr>
      <w:r>
        <w:rPr>
          <w:rFonts w:hint="eastAsia" w:ascii="宋体" w:hAnsi="宋体"/>
          <w:sz w:val="24"/>
          <w:szCs w:val="22"/>
        </w:rPr>
        <w:t>a.技术信息：技术方案、计算机软件、数据库、技术数据、技术指标、专有技术、软件、技术文档、涉及商业秘密的业务函电等；</w:t>
      </w:r>
    </w:p>
    <w:p w14:paraId="03A7722D">
      <w:pPr>
        <w:pStyle w:val="165"/>
        <w:spacing w:after="0" w:line="560" w:lineRule="exact"/>
        <w:ind w:firstLine="679" w:firstLineChars="283"/>
        <w:rPr>
          <w:rFonts w:ascii="宋体" w:hAnsi="宋体"/>
          <w:sz w:val="24"/>
          <w:szCs w:val="22"/>
        </w:rPr>
      </w:pPr>
      <w:r>
        <w:rPr>
          <w:rFonts w:hint="eastAsia" w:ascii="宋体" w:hAnsi="宋体"/>
          <w:sz w:val="24"/>
          <w:szCs w:val="22"/>
        </w:rPr>
        <w:t>b.经营信息：人员组织架构信息、薪酬制度、绩效制度、股权方案、财务制度、管理制度、不公开的财务资料、公司战略策略、公司客户及项目信息等；</w:t>
      </w:r>
    </w:p>
    <w:p w14:paraId="16C50AD9">
      <w:pPr>
        <w:pStyle w:val="165"/>
        <w:spacing w:after="0" w:line="560" w:lineRule="exact"/>
        <w:ind w:firstLine="715" w:firstLineChars="298"/>
        <w:rPr>
          <w:rFonts w:ascii="宋体" w:hAnsi="宋体"/>
          <w:sz w:val="24"/>
          <w:szCs w:val="22"/>
        </w:rPr>
      </w:pPr>
      <w:r>
        <w:rPr>
          <w:rFonts w:hint="eastAsia" w:ascii="宋体" w:hAnsi="宋体"/>
          <w:sz w:val="24"/>
          <w:szCs w:val="22"/>
        </w:rPr>
        <w:t>c.运营数据、研究报告、预测和估计、商业计划、商业秘密、商业模式等任何或所有的商业信息、技术资料；</w:t>
      </w:r>
    </w:p>
    <w:p w14:paraId="489ECA5C">
      <w:pPr>
        <w:pStyle w:val="165"/>
        <w:spacing w:after="0" w:line="560" w:lineRule="exact"/>
        <w:ind w:firstLine="475" w:firstLineChars="198"/>
        <w:rPr>
          <w:rFonts w:ascii="宋体" w:hAnsi="宋体"/>
          <w:bCs/>
          <w:sz w:val="24"/>
          <w:szCs w:val="22"/>
        </w:rPr>
      </w:pPr>
      <w:r>
        <w:rPr>
          <w:rFonts w:hint="eastAsia" w:ascii="宋体" w:hAnsi="宋体"/>
          <w:bCs/>
          <w:sz w:val="24"/>
          <w:szCs w:val="22"/>
        </w:rPr>
        <w:t>(3)分包人通过发包人渠道获得的发包人承诺有保密义务的第三方（含关联单位、政府部门单位及其工作人员）的商业信息、资料和数据。</w:t>
      </w:r>
    </w:p>
    <w:p w14:paraId="2602FBD8">
      <w:pPr>
        <w:pStyle w:val="165"/>
        <w:spacing w:after="0" w:line="560" w:lineRule="exact"/>
        <w:ind w:firstLine="480"/>
        <w:rPr>
          <w:rFonts w:ascii="宋体" w:hAnsi="宋体"/>
          <w:sz w:val="24"/>
          <w:szCs w:val="22"/>
        </w:rPr>
      </w:pPr>
      <w:r>
        <w:rPr>
          <w:rFonts w:hint="eastAsia" w:ascii="宋体" w:hAnsi="宋体"/>
          <w:sz w:val="24"/>
          <w:szCs w:val="22"/>
        </w:rPr>
        <w:t>(4)由发包人制作的、与下属企业情况相关的任何原始资料、记录、文件、报告、分析、编辑研究、法律意见以及其他材料或文件；</w:t>
      </w:r>
    </w:p>
    <w:p w14:paraId="36E902B0">
      <w:pPr>
        <w:pStyle w:val="165"/>
        <w:spacing w:after="0" w:line="560" w:lineRule="exact"/>
        <w:ind w:firstLine="480"/>
        <w:rPr>
          <w:rFonts w:ascii="宋体" w:hAnsi="宋体"/>
          <w:sz w:val="24"/>
          <w:szCs w:val="22"/>
        </w:rPr>
      </w:pPr>
      <w:r>
        <w:rPr>
          <w:rFonts w:hint="eastAsia" w:ascii="宋体" w:hAnsi="宋体"/>
          <w:sz w:val="24"/>
          <w:szCs w:val="22"/>
        </w:rPr>
        <w:t>(5)发包人及发包人下属企业的各项规章制度；</w:t>
      </w:r>
    </w:p>
    <w:p w14:paraId="2518C546">
      <w:pPr>
        <w:pStyle w:val="165"/>
        <w:spacing w:after="0" w:line="560" w:lineRule="exact"/>
        <w:ind w:firstLine="480"/>
        <w:rPr>
          <w:rFonts w:ascii="宋体" w:hAnsi="宋体"/>
          <w:sz w:val="24"/>
          <w:szCs w:val="22"/>
        </w:rPr>
      </w:pPr>
      <w:r>
        <w:rPr>
          <w:rFonts w:hint="eastAsia" w:ascii="宋体" w:hAnsi="宋体"/>
          <w:sz w:val="24"/>
          <w:szCs w:val="22"/>
        </w:rPr>
        <w:t>(6)发包人本身及发包人与承包人、分包人为本次合作项目而达成的任何合同、协议、约定或在本次合作过程中产生的任何会议纪要、会谈记录等；</w:t>
      </w:r>
    </w:p>
    <w:p w14:paraId="6557284B">
      <w:pPr>
        <w:pStyle w:val="165"/>
        <w:spacing w:after="0" w:line="560" w:lineRule="exact"/>
        <w:ind w:firstLine="480"/>
        <w:rPr>
          <w:rFonts w:ascii="宋体" w:hAnsi="宋体"/>
          <w:sz w:val="24"/>
          <w:szCs w:val="22"/>
        </w:rPr>
      </w:pPr>
      <w:r>
        <w:rPr>
          <w:rFonts w:hint="eastAsia" w:ascii="宋体" w:hAnsi="宋体"/>
          <w:sz w:val="24"/>
          <w:szCs w:val="22"/>
        </w:rPr>
        <w:t>(7)发包人向承包人、分包人及其雇员提供的不被公众所知的任何资料或信息。</w:t>
      </w:r>
    </w:p>
    <w:p w14:paraId="61B3E9B0">
      <w:pPr>
        <w:pStyle w:val="165"/>
        <w:spacing w:after="0" w:line="560" w:lineRule="exact"/>
        <w:ind w:firstLine="480"/>
        <w:rPr>
          <w:rFonts w:ascii="宋体" w:hAnsi="宋体"/>
          <w:sz w:val="24"/>
          <w:szCs w:val="22"/>
        </w:rPr>
      </w:pPr>
      <w:r>
        <w:rPr>
          <w:rFonts w:hint="eastAsia" w:ascii="宋体" w:hAnsi="宋体"/>
          <w:sz w:val="24"/>
          <w:szCs w:val="22"/>
        </w:rPr>
        <w:t>2、除上述文件外，保密信息还包括本保密协议签署日之前或之后来自三方及三方的任何管理人员、职员及代理人的书面或口头的往来资料，及依据该等往来资料由双方或其代理人、顾问所作的分析及撰写的文件。</w:t>
      </w:r>
    </w:p>
    <w:p w14:paraId="7FD0EEAC">
      <w:pPr>
        <w:pStyle w:val="165"/>
        <w:spacing w:after="0" w:line="560" w:lineRule="exact"/>
        <w:ind w:firstLine="480"/>
        <w:rPr>
          <w:rFonts w:ascii="宋体" w:hAnsi="宋体"/>
          <w:sz w:val="24"/>
          <w:szCs w:val="22"/>
        </w:rPr>
      </w:pPr>
      <w:r>
        <w:rPr>
          <w:rFonts w:hint="eastAsia" w:ascii="宋体" w:hAnsi="宋体"/>
          <w:sz w:val="24"/>
          <w:szCs w:val="22"/>
        </w:rPr>
        <w:t>3、如因合作需要，分包人需要进入发包人的生产现场参观考察的，分包人须严格遵守发包人的相关现场管理规定及保密责任，且只能让与合作有密切相关的人员进入，不得夹杂其他人员。在生产现场所获取的一切信息只供双方的该次合作使用，不可用作其他用途。</w:t>
      </w:r>
    </w:p>
    <w:p w14:paraId="72AEE227">
      <w:pPr>
        <w:pStyle w:val="165"/>
        <w:spacing w:after="0" w:line="560" w:lineRule="exact"/>
        <w:ind w:firstLine="720" w:firstLineChars="300"/>
        <w:rPr>
          <w:rFonts w:ascii="宋体" w:hAnsi="宋体"/>
          <w:sz w:val="24"/>
          <w:szCs w:val="22"/>
        </w:rPr>
      </w:pPr>
      <w:r>
        <w:rPr>
          <w:rFonts w:hint="eastAsia" w:ascii="宋体" w:hAnsi="宋体"/>
          <w:sz w:val="24"/>
          <w:szCs w:val="22"/>
        </w:rPr>
        <w:t>上述保密信息无论以何种形式存在（包括但不限于数据、图表、胶片、光盘、文件、计算机媒介和网络），也无论是否以口头、文件、演示或其他形式提供，也无论是否记载或标注为保密信息，均不影响其在本协议项下的保密性质。</w:t>
      </w:r>
    </w:p>
    <w:p w14:paraId="301FE037">
      <w:pPr>
        <w:pStyle w:val="165"/>
        <w:spacing w:after="0" w:line="560" w:lineRule="exact"/>
        <w:ind w:firstLine="480"/>
        <w:rPr>
          <w:rFonts w:ascii="宋体" w:hAnsi="宋体"/>
          <w:sz w:val="24"/>
          <w:szCs w:val="22"/>
        </w:rPr>
      </w:pPr>
      <w:r>
        <w:rPr>
          <w:rFonts w:hint="eastAsia" w:ascii="宋体" w:hAnsi="宋体"/>
          <w:sz w:val="24"/>
          <w:szCs w:val="22"/>
        </w:rPr>
        <w:t>二、保密义务：</w:t>
      </w:r>
    </w:p>
    <w:p w14:paraId="07C58A45">
      <w:pPr>
        <w:pStyle w:val="165"/>
        <w:spacing w:after="0" w:line="560" w:lineRule="exact"/>
        <w:ind w:firstLine="480"/>
        <w:rPr>
          <w:rFonts w:ascii="宋体" w:hAnsi="宋体" w:cs="Tahoma"/>
          <w:sz w:val="24"/>
          <w:szCs w:val="22"/>
        </w:rPr>
      </w:pPr>
      <w:r>
        <w:rPr>
          <w:rFonts w:hint="eastAsia" w:ascii="宋体" w:hAnsi="宋体"/>
          <w:sz w:val="24"/>
          <w:szCs w:val="22"/>
        </w:rPr>
        <w:t>1.</w:t>
      </w:r>
      <w:r>
        <w:rPr>
          <w:rFonts w:hint="eastAsia" w:ascii="宋体" w:hAnsi="宋体" w:cs="Tahoma"/>
          <w:sz w:val="24"/>
          <w:szCs w:val="22"/>
        </w:rPr>
        <w:t>分包人保证遵守国家法律和国家有关部门制定的保密法规，严格控制发包人所披露的保密资料，保护的程度不能低于分包人保护自己的保密资料。无论如何，分包人对该保密资料的保护程度不能低于一个管理良好的技术企业保护自己的保密资料的保护程度；</w:t>
      </w:r>
    </w:p>
    <w:p w14:paraId="408FEA86">
      <w:pPr>
        <w:pStyle w:val="165"/>
        <w:spacing w:after="0" w:line="560" w:lineRule="exact"/>
        <w:ind w:firstLine="480"/>
        <w:rPr>
          <w:rFonts w:ascii="宋体" w:hAnsi="宋体" w:cs="Tahoma"/>
          <w:sz w:val="24"/>
          <w:szCs w:val="22"/>
        </w:rPr>
      </w:pPr>
      <w:r>
        <w:rPr>
          <w:rFonts w:hint="eastAsia" w:ascii="宋体" w:hAnsi="宋体"/>
          <w:sz w:val="24"/>
          <w:szCs w:val="22"/>
        </w:rPr>
        <w:t>2.</w:t>
      </w:r>
      <w:r>
        <w:rPr>
          <w:rFonts w:hint="eastAsia" w:ascii="宋体" w:hAnsi="宋体" w:cs="Tahoma"/>
          <w:sz w:val="24"/>
          <w:szCs w:val="22"/>
        </w:rPr>
        <w:t xml:space="preserve"> 分包人保证采取所有必要的方法对发包人提供的保密资料进行保密，包括但不限于执行和坚持适当的作业程序来避免非授权透露、使用或复制保密资料；</w:t>
      </w:r>
    </w:p>
    <w:p w14:paraId="6EC162F9">
      <w:pPr>
        <w:pStyle w:val="165"/>
        <w:spacing w:after="0" w:line="560" w:lineRule="exact"/>
        <w:ind w:firstLine="480"/>
        <w:rPr>
          <w:rFonts w:ascii="宋体" w:hAnsi="宋体" w:cs="Tahoma"/>
          <w:sz w:val="24"/>
          <w:szCs w:val="22"/>
        </w:rPr>
      </w:pPr>
      <w:r>
        <w:rPr>
          <w:rFonts w:hint="eastAsia" w:ascii="宋体" w:hAnsi="宋体"/>
          <w:sz w:val="24"/>
          <w:szCs w:val="22"/>
        </w:rPr>
        <w:t>3.</w:t>
      </w:r>
      <w:r>
        <w:rPr>
          <w:rFonts w:hint="eastAsia" w:ascii="宋体" w:hAnsi="宋体" w:cs="Tahoma"/>
          <w:sz w:val="24"/>
          <w:szCs w:val="22"/>
        </w:rPr>
        <w:t xml:space="preserve"> 分包人保证在任何情况下，除经发包人同意下或依照法律强制性的要求外，不向任何第三方透露或披露发包人的保密资料以及本协议的存在或本协议的任何内容；</w:t>
      </w:r>
    </w:p>
    <w:p w14:paraId="7908417C">
      <w:pPr>
        <w:pStyle w:val="165"/>
        <w:spacing w:after="0" w:line="560" w:lineRule="exact"/>
        <w:ind w:firstLine="480"/>
        <w:rPr>
          <w:rFonts w:ascii="宋体" w:hAnsi="宋体"/>
          <w:sz w:val="24"/>
          <w:szCs w:val="22"/>
        </w:rPr>
      </w:pPr>
      <w:r>
        <w:rPr>
          <w:rFonts w:hint="eastAsia" w:ascii="宋体" w:hAnsi="宋体"/>
          <w:sz w:val="24"/>
          <w:szCs w:val="22"/>
        </w:rPr>
        <w:t>4. 如果</w:t>
      </w:r>
      <w:r>
        <w:rPr>
          <w:rFonts w:hint="eastAsia" w:ascii="宋体" w:hAnsi="宋体" w:cs="Tahoma"/>
          <w:sz w:val="24"/>
          <w:szCs w:val="22"/>
        </w:rPr>
        <w:t>分</w:t>
      </w:r>
      <w:r>
        <w:rPr>
          <w:rFonts w:hint="eastAsia" w:ascii="宋体" w:hAnsi="宋体"/>
          <w:sz w:val="24"/>
          <w:szCs w:val="22"/>
        </w:rPr>
        <w:t>包人</w:t>
      </w:r>
      <w:r>
        <w:rPr>
          <w:rFonts w:hint="eastAsia" w:ascii="宋体" w:hAnsi="宋体" w:cs="Tahoma"/>
          <w:sz w:val="24"/>
          <w:szCs w:val="22"/>
        </w:rPr>
        <w:t>基于法律、法规、判决、裁定（包括按照传票、法院或政府处理程序）的要求而必需披露相关的保密资料，分包人应当事先尽快通知发包人，同时，分包人应当尽最大的努力帮助发包人有效地防止或限制该保密资料的传播。</w:t>
      </w:r>
    </w:p>
    <w:p w14:paraId="45B20A53">
      <w:pPr>
        <w:pStyle w:val="165"/>
        <w:spacing w:after="0" w:line="560" w:lineRule="exact"/>
        <w:ind w:firstLine="480"/>
        <w:rPr>
          <w:rFonts w:ascii="宋体" w:hAnsi="宋体"/>
          <w:sz w:val="24"/>
          <w:szCs w:val="22"/>
        </w:rPr>
      </w:pPr>
      <w:r>
        <w:rPr>
          <w:rFonts w:hint="eastAsia" w:ascii="宋体" w:hAnsi="宋体"/>
          <w:sz w:val="24"/>
          <w:szCs w:val="22"/>
        </w:rPr>
        <w:t xml:space="preserve">5. </w:t>
      </w:r>
      <w:r>
        <w:rPr>
          <w:rFonts w:hint="eastAsia" w:ascii="宋体" w:hAnsi="宋体" w:cs="Tahoma"/>
          <w:sz w:val="24"/>
          <w:szCs w:val="22"/>
        </w:rPr>
        <w:t>分</w:t>
      </w:r>
      <w:r>
        <w:rPr>
          <w:rFonts w:hint="eastAsia" w:ascii="宋体" w:hAnsi="宋体"/>
          <w:sz w:val="24"/>
          <w:szCs w:val="22"/>
        </w:rPr>
        <w:t>包人不得有损害发包人利益的其他泄密和使用行为。</w:t>
      </w:r>
    </w:p>
    <w:p w14:paraId="18C68F64">
      <w:pPr>
        <w:pStyle w:val="165"/>
        <w:spacing w:after="0" w:line="560" w:lineRule="exact"/>
        <w:ind w:firstLine="480"/>
        <w:rPr>
          <w:rFonts w:ascii="宋体" w:hAnsi="宋体"/>
          <w:sz w:val="24"/>
          <w:szCs w:val="22"/>
        </w:rPr>
      </w:pPr>
      <w:bookmarkStart w:id="1234" w:name="_Toc32224"/>
      <w:bookmarkStart w:id="1235" w:name="_Toc20168"/>
      <w:r>
        <w:rPr>
          <w:rFonts w:hint="eastAsia" w:ascii="宋体" w:hAnsi="宋体"/>
          <w:sz w:val="24"/>
          <w:szCs w:val="22"/>
        </w:rPr>
        <w:t>三、保密资料的使用方式和不使用义务：</w:t>
      </w:r>
      <w:bookmarkEnd w:id="1234"/>
      <w:bookmarkEnd w:id="1235"/>
    </w:p>
    <w:p w14:paraId="1A5F3568">
      <w:pPr>
        <w:pStyle w:val="165"/>
        <w:spacing w:after="0" w:line="560" w:lineRule="exact"/>
        <w:ind w:firstLine="480"/>
        <w:rPr>
          <w:rFonts w:ascii="宋体" w:hAnsi="宋体" w:cs="Tahoma"/>
          <w:sz w:val="24"/>
          <w:szCs w:val="22"/>
        </w:rPr>
      </w:pPr>
      <w:r>
        <w:rPr>
          <w:rFonts w:hint="eastAsia" w:ascii="宋体" w:hAnsi="宋体"/>
          <w:sz w:val="24"/>
          <w:szCs w:val="22"/>
        </w:rPr>
        <w:t>1.</w:t>
      </w:r>
      <w:r>
        <w:rPr>
          <w:rFonts w:hint="eastAsia" w:ascii="宋体" w:hAnsi="宋体" w:cs="Tahoma"/>
          <w:sz w:val="24"/>
          <w:szCs w:val="22"/>
        </w:rPr>
        <w:t xml:space="preserve"> 分包人只能为完成本项目而使用保密资料；</w:t>
      </w:r>
    </w:p>
    <w:p w14:paraId="4E921ACD">
      <w:pPr>
        <w:pStyle w:val="165"/>
        <w:spacing w:after="0" w:line="560" w:lineRule="exact"/>
        <w:ind w:firstLine="480"/>
        <w:rPr>
          <w:rFonts w:ascii="宋体" w:hAnsi="宋体" w:cs="Tahoma"/>
          <w:sz w:val="24"/>
          <w:szCs w:val="22"/>
        </w:rPr>
      </w:pPr>
      <w:r>
        <w:rPr>
          <w:rFonts w:hint="eastAsia" w:ascii="宋体" w:hAnsi="宋体" w:cs="Tahoma"/>
          <w:sz w:val="24"/>
          <w:szCs w:val="22"/>
        </w:rPr>
        <w:t>2.除分包人为完成本项目需要时而将保密资料披露给必须直接参与本项工作、必须知晓保密资料的职员之外，分包人不能将保密资料透露给其它任何人；</w:t>
      </w:r>
    </w:p>
    <w:p w14:paraId="15AB9C76">
      <w:pPr>
        <w:pStyle w:val="165"/>
        <w:spacing w:after="0" w:line="560" w:lineRule="exact"/>
        <w:ind w:firstLine="480"/>
        <w:rPr>
          <w:rFonts w:ascii="宋体" w:hAnsi="宋体" w:cs="Tahoma"/>
          <w:sz w:val="24"/>
          <w:szCs w:val="22"/>
        </w:rPr>
      </w:pPr>
      <w:r>
        <w:rPr>
          <w:rFonts w:hint="eastAsia" w:ascii="宋体" w:hAnsi="宋体" w:cs="Tahoma"/>
          <w:sz w:val="24"/>
          <w:szCs w:val="22"/>
        </w:rPr>
        <w:t>3. 分包人不能将此保密资料的全部或部分进行复制或仿造；</w:t>
      </w:r>
    </w:p>
    <w:p w14:paraId="4FFF200F">
      <w:pPr>
        <w:pStyle w:val="165"/>
        <w:spacing w:after="0" w:line="560" w:lineRule="exact"/>
        <w:ind w:firstLine="480"/>
        <w:rPr>
          <w:rFonts w:ascii="宋体" w:hAnsi="宋体" w:cs="Tahoma"/>
          <w:sz w:val="24"/>
          <w:szCs w:val="22"/>
        </w:rPr>
      </w:pPr>
      <w:r>
        <w:rPr>
          <w:rFonts w:hint="eastAsia" w:ascii="宋体" w:hAnsi="宋体" w:cs="Tahoma"/>
          <w:sz w:val="24"/>
          <w:szCs w:val="22"/>
        </w:rPr>
        <w:t>4. 分包人应当告知并以适当方式要求其参与本项工作之雇员遵守本协议规定，若参与本项工作之雇员（包括已离职员工）违反本协议规定，分包人应承担连带责任。</w:t>
      </w:r>
    </w:p>
    <w:p w14:paraId="6151A5A5">
      <w:pPr>
        <w:pStyle w:val="165"/>
        <w:spacing w:after="0" w:line="560" w:lineRule="exact"/>
        <w:ind w:firstLine="480"/>
        <w:rPr>
          <w:rFonts w:ascii="宋体" w:hAnsi="宋体"/>
          <w:sz w:val="24"/>
          <w:szCs w:val="22"/>
        </w:rPr>
      </w:pPr>
      <w:r>
        <w:rPr>
          <w:rFonts w:hint="eastAsia" w:ascii="宋体" w:hAnsi="宋体" w:cs="Tahoma"/>
          <w:sz w:val="24"/>
          <w:szCs w:val="22"/>
        </w:rPr>
        <w:t>5、分包人不得在发包人规定的时间前，将任何资料提前公布，分包人运送发包人资料时，必须做好相关保密工作。</w:t>
      </w:r>
    </w:p>
    <w:p w14:paraId="0B20072E">
      <w:pPr>
        <w:pStyle w:val="165"/>
        <w:spacing w:after="0" w:line="560" w:lineRule="exact"/>
        <w:ind w:firstLine="480"/>
        <w:rPr>
          <w:rFonts w:ascii="宋体" w:hAnsi="宋体" w:cs="Tahoma"/>
          <w:sz w:val="24"/>
          <w:szCs w:val="22"/>
        </w:rPr>
      </w:pPr>
      <w:bookmarkStart w:id="1236" w:name="_Toc31644"/>
      <w:bookmarkStart w:id="1237" w:name="_Toc25342"/>
      <w:r>
        <w:rPr>
          <w:rFonts w:hint="eastAsia" w:ascii="宋体" w:hAnsi="宋体" w:cs="Tahoma"/>
          <w:sz w:val="24"/>
          <w:szCs w:val="22"/>
        </w:rPr>
        <w:t>四、保密资料的交回：</w:t>
      </w:r>
      <w:bookmarkEnd w:id="1236"/>
      <w:bookmarkEnd w:id="1237"/>
    </w:p>
    <w:p w14:paraId="4E205BF3">
      <w:pPr>
        <w:pStyle w:val="165"/>
        <w:spacing w:after="0" w:line="560" w:lineRule="exact"/>
        <w:ind w:firstLine="480"/>
        <w:rPr>
          <w:rFonts w:ascii="宋体" w:hAnsi="宋体" w:cs="Tahoma"/>
          <w:sz w:val="24"/>
          <w:szCs w:val="22"/>
        </w:rPr>
      </w:pPr>
      <w:r>
        <w:rPr>
          <w:rFonts w:hint="eastAsia" w:ascii="宋体" w:hAnsi="宋体" w:cs="Tahoma"/>
          <w:sz w:val="24"/>
          <w:szCs w:val="22"/>
        </w:rPr>
        <w:t>1.当发包人以书面形式要求分包人交回保密资料时，分包人应当立即交回所有书面的或其他有形的保密资料以及所有描述和概括该保密资料的文件；</w:t>
      </w:r>
    </w:p>
    <w:p w14:paraId="78AF788A">
      <w:pPr>
        <w:pStyle w:val="165"/>
        <w:spacing w:after="0" w:line="560" w:lineRule="exact"/>
        <w:ind w:firstLine="480"/>
        <w:rPr>
          <w:rFonts w:ascii="宋体" w:hAnsi="宋体" w:cs="Tahoma"/>
          <w:sz w:val="24"/>
          <w:szCs w:val="22"/>
        </w:rPr>
      </w:pPr>
      <w:r>
        <w:rPr>
          <w:rFonts w:hint="eastAsia" w:ascii="宋体" w:hAnsi="宋体" w:cs="Tahoma"/>
          <w:sz w:val="24"/>
          <w:szCs w:val="22"/>
        </w:rPr>
        <w:t>2.没有发包人的书面许可，分包人不得丢弃和处理任何书面的或其他有形的保密资料。</w:t>
      </w:r>
    </w:p>
    <w:p w14:paraId="3A7BF7E2">
      <w:pPr>
        <w:pStyle w:val="165"/>
        <w:spacing w:after="0" w:line="560" w:lineRule="exact"/>
        <w:ind w:firstLine="480"/>
        <w:rPr>
          <w:rFonts w:ascii="宋体" w:hAnsi="宋体" w:cs="Tahoma"/>
          <w:sz w:val="24"/>
          <w:szCs w:val="22"/>
        </w:rPr>
      </w:pPr>
      <w:bookmarkStart w:id="1238" w:name="_Toc8019"/>
      <w:bookmarkStart w:id="1239" w:name="_Toc25848"/>
      <w:r>
        <w:rPr>
          <w:rFonts w:hint="eastAsia" w:ascii="宋体" w:hAnsi="宋体" w:cs="Tahoma"/>
          <w:sz w:val="24"/>
          <w:szCs w:val="22"/>
        </w:rPr>
        <w:t>五、知识产权：</w:t>
      </w:r>
      <w:bookmarkEnd w:id="1238"/>
      <w:bookmarkEnd w:id="1239"/>
    </w:p>
    <w:p w14:paraId="36B7868C">
      <w:pPr>
        <w:pStyle w:val="165"/>
        <w:spacing w:after="0" w:line="560" w:lineRule="exact"/>
        <w:ind w:firstLine="480"/>
        <w:rPr>
          <w:rFonts w:ascii="宋体" w:hAnsi="宋体" w:cs="Tahoma"/>
          <w:sz w:val="24"/>
          <w:szCs w:val="22"/>
        </w:rPr>
      </w:pPr>
      <w:r>
        <w:rPr>
          <w:rFonts w:hint="eastAsia" w:ascii="宋体" w:hAnsi="宋体" w:cs="Tahoma"/>
          <w:sz w:val="24"/>
          <w:szCs w:val="22"/>
        </w:rPr>
        <w:t>除非发包人明确地授权，分包人不能认为发包人授予其包含该保密资料的任何专利权、专利申请权、商标权、著作权、商业秘密或其它的知识产权。</w:t>
      </w:r>
    </w:p>
    <w:p w14:paraId="0A0E1976">
      <w:pPr>
        <w:pStyle w:val="165"/>
        <w:spacing w:after="0" w:line="560" w:lineRule="exact"/>
        <w:ind w:firstLine="480"/>
        <w:rPr>
          <w:rFonts w:ascii="宋体" w:hAnsi="宋体" w:cs="Tahoma"/>
          <w:sz w:val="24"/>
          <w:szCs w:val="22"/>
        </w:rPr>
      </w:pPr>
      <w:bookmarkStart w:id="1240" w:name="_Toc15452"/>
      <w:bookmarkStart w:id="1241" w:name="_Toc22955"/>
      <w:r>
        <w:rPr>
          <w:rFonts w:hint="eastAsia" w:ascii="宋体" w:hAnsi="宋体" w:cs="Tahoma"/>
          <w:sz w:val="24"/>
          <w:szCs w:val="22"/>
        </w:rPr>
        <w:t>六、违约救济：如果发生分包人违约，双方同意依如下条款处理：</w:t>
      </w:r>
      <w:bookmarkEnd w:id="1240"/>
      <w:bookmarkEnd w:id="1241"/>
    </w:p>
    <w:p w14:paraId="0A79F7C4">
      <w:pPr>
        <w:pStyle w:val="165"/>
        <w:spacing w:after="0" w:line="560" w:lineRule="exact"/>
        <w:ind w:firstLine="480"/>
        <w:rPr>
          <w:rFonts w:ascii="宋体" w:hAnsi="宋体" w:cs="Tahoma"/>
          <w:sz w:val="24"/>
          <w:szCs w:val="22"/>
        </w:rPr>
      </w:pPr>
      <w:r>
        <w:rPr>
          <w:rFonts w:hint="eastAsia" w:ascii="宋体" w:hAnsi="宋体" w:cs="Tahoma"/>
          <w:sz w:val="24"/>
          <w:szCs w:val="22"/>
        </w:rPr>
        <w:t>1. 分包人应当尽最大的努力帮助发包人有效地防止或限制该保密资料的传播或按照发包人的指示采取有效的方法对该保密资料进行保密，所需费用由分包人承担；</w:t>
      </w:r>
    </w:p>
    <w:p w14:paraId="75A3BB50">
      <w:pPr>
        <w:pStyle w:val="165"/>
        <w:spacing w:after="0" w:line="560" w:lineRule="exact"/>
        <w:ind w:firstLine="480"/>
        <w:rPr>
          <w:rFonts w:ascii="宋体" w:hAnsi="宋体" w:cs="Tahoma"/>
          <w:sz w:val="24"/>
          <w:szCs w:val="22"/>
        </w:rPr>
      </w:pPr>
      <w:r>
        <w:rPr>
          <w:rFonts w:hint="eastAsia" w:ascii="宋体" w:hAnsi="宋体" w:cs="Tahoma"/>
          <w:sz w:val="24"/>
          <w:szCs w:val="22"/>
        </w:rPr>
        <w:t>2. 分包人应当赔偿发包人的所有损失，包括但不限于法院诉讼的费用、合理的律师酬金和费用、所有损失或损害等等。</w:t>
      </w:r>
    </w:p>
    <w:p w14:paraId="390A23F8">
      <w:pPr>
        <w:pStyle w:val="165"/>
        <w:spacing w:after="0" w:line="560" w:lineRule="exact"/>
        <w:ind w:firstLine="480"/>
        <w:rPr>
          <w:rFonts w:ascii="宋体" w:hAnsi="宋体" w:cs="Tahoma"/>
          <w:sz w:val="24"/>
          <w:szCs w:val="22"/>
        </w:rPr>
      </w:pPr>
      <w:r>
        <w:rPr>
          <w:rFonts w:hint="eastAsia" w:ascii="宋体" w:hAnsi="宋体" w:cs="Tahoma"/>
          <w:sz w:val="24"/>
          <w:szCs w:val="22"/>
        </w:rPr>
        <w:t>同时，分包人按项目签约合同费用总金额的</w:t>
      </w:r>
      <w:r>
        <w:rPr>
          <w:rFonts w:hint="eastAsia" w:ascii="宋体" w:hAnsi="宋体" w:cs="Tahoma"/>
          <w:sz w:val="24"/>
          <w:szCs w:val="22"/>
          <w:u w:val="single"/>
        </w:rPr>
        <w:t xml:space="preserve">15% </w:t>
      </w:r>
      <w:r>
        <w:rPr>
          <w:rFonts w:hint="eastAsia" w:ascii="宋体" w:hAnsi="宋体" w:cs="Tahoma"/>
          <w:sz w:val="24"/>
          <w:szCs w:val="22"/>
        </w:rPr>
        <w:t>向发包人支付保密违约金。</w:t>
      </w:r>
    </w:p>
    <w:p w14:paraId="761AC358">
      <w:pPr>
        <w:pStyle w:val="165"/>
        <w:spacing w:after="0" w:line="560" w:lineRule="exact"/>
        <w:ind w:firstLine="480"/>
        <w:rPr>
          <w:rFonts w:ascii="宋体" w:hAnsi="宋体" w:cs="Tahoma"/>
          <w:sz w:val="24"/>
          <w:szCs w:val="22"/>
        </w:rPr>
      </w:pPr>
      <w:bookmarkStart w:id="1242" w:name="_Toc10339"/>
      <w:bookmarkStart w:id="1243" w:name="_Toc28643"/>
      <w:r>
        <w:rPr>
          <w:rFonts w:hint="eastAsia" w:ascii="宋体" w:hAnsi="宋体" w:cs="Tahoma"/>
          <w:sz w:val="24"/>
          <w:szCs w:val="22"/>
        </w:rPr>
        <w:t>七、适用法律：</w:t>
      </w:r>
      <w:bookmarkEnd w:id="1242"/>
      <w:bookmarkEnd w:id="1243"/>
    </w:p>
    <w:p w14:paraId="6D002526">
      <w:pPr>
        <w:pStyle w:val="165"/>
        <w:spacing w:after="0" w:line="560" w:lineRule="exact"/>
        <w:ind w:firstLine="480"/>
        <w:rPr>
          <w:rFonts w:ascii="宋体" w:hAnsi="宋体" w:cs="Tahoma"/>
          <w:sz w:val="24"/>
          <w:szCs w:val="22"/>
        </w:rPr>
      </w:pPr>
      <w:r>
        <w:rPr>
          <w:rFonts w:hint="eastAsia" w:ascii="宋体" w:hAnsi="宋体" w:cs="Tahoma"/>
          <w:sz w:val="24"/>
          <w:szCs w:val="22"/>
        </w:rPr>
        <w:t>本协议适用中华人民共和国法律，并在所有方面依其进行解释。</w:t>
      </w:r>
    </w:p>
    <w:p w14:paraId="2DC6CD4F">
      <w:pPr>
        <w:pStyle w:val="165"/>
        <w:spacing w:after="0" w:line="560" w:lineRule="exact"/>
        <w:ind w:firstLine="480"/>
        <w:rPr>
          <w:rFonts w:ascii="宋体" w:hAnsi="宋体" w:cs="Tahoma"/>
          <w:sz w:val="24"/>
          <w:szCs w:val="22"/>
        </w:rPr>
      </w:pPr>
      <w:bookmarkStart w:id="1244" w:name="_Toc8117"/>
      <w:r>
        <w:rPr>
          <w:rFonts w:hint="eastAsia" w:ascii="宋体" w:hAnsi="宋体" w:cs="Tahoma"/>
          <w:sz w:val="24"/>
          <w:szCs w:val="22"/>
        </w:rPr>
        <w:t>八、争议的解决：</w:t>
      </w:r>
      <w:bookmarkEnd w:id="1244"/>
    </w:p>
    <w:p w14:paraId="0DFBEC2A">
      <w:pPr>
        <w:pStyle w:val="166"/>
        <w:adjustRightInd w:val="0"/>
        <w:snapToGrid w:val="0"/>
        <w:ind w:firstLine="480"/>
        <w:rPr>
          <w:b w:val="0"/>
          <w:bCs w:val="0"/>
        </w:rPr>
      </w:pPr>
      <w:r>
        <w:rPr>
          <w:rFonts w:hint="eastAsia"/>
          <w:b w:val="0"/>
          <w:bCs w:val="0"/>
        </w:rPr>
        <w:t>由本协议产生的一切争议由三方友好协商解决。协商不成，双方约定本协议纠纷的管辖法院为发包人项目所在地法院。</w:t>
      </w:r>
    </w:p>
    <w:p w14:paraId="05E3D01E">
      <w:pPr>
        <w:pStyle w:val="165"/>
        <w:adjustRightInd w:val="0"/>
        <w:snapToGrid w:val="0"/>
        <w:ind w:firstLine="480"/>
        <w:rPr>
          <w:rFonts w:ascii="宋体" w:hAnsi="宋体"/>
          <w:sz w:val="24"/>
          <w:szCs w:val="22"/>
        </w:rPr>
      </w:pPr>
      <w:bookmarkStart w:id="1245" w:name="_Toc20762"/>
      <w:bookmarkStart w:id="1246" w:name="_Toc4478"/>
      <w:r>
        <w:rPr>
          <w:rFonts w:hint="eastAsia" w:ascii="宋体" w:hAnsi="宋体"/>
          <w:sz w:val="24"/>
          <w:szCs w:val="22"/>
        </w:rPr>
        <w:t>九、协议的生效：</w:t>
      </w:r>
      <w:bookmarkEnd w:id="1245"/>
      <w:bookmarkEnd w:id="1246"/>
    </w:p>
    <w:p w14:paraId="177C1660">
      <w:pPr>
        <w:pStyle w:val="165"/>
        <w:adjustRightInd w:val="0"/>
        <w:snapToGrid w:val="0"/>
        <w:ind w:firstLine="480"/>
        <w:rPr>
          <w:rFonts w:ascii="宋体" w:hAnsi="宋体"/>
          <w:sz w:val="24"/>
          <w:szCs w:val="22"/>
        </w:rPr>
      </w:pPr>
      <w:r>
        <w:rPr>
          <w:rFonts w:hint="eastAsia" w:ascii="宋体" w:hAnsi="宋体"/>
          <w:sz w:val="24"/>
          <w:szCs w:val="22"/>
        </w:rPr>
        <w:t>本协议在三方法定代表人或其授权代表签字（或盖章）并加盖公章后生效。本协议一式壹拾叁份，发包人执伍份，承包人执肆份，分包人执肆份，均具有同等效力。</w:t>
      </w:r>
    </w:p>
    <w:p w14:paraId="78A04A5B">
      <w:pPr>
        <w:pStyle w:val="117"/>
        <w:snapToGrid w:val="0"/>
        <w:spacing w:before="0" w:after="0"/>
        <w:ind w:left="0" w:right="244"/>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发包人（公章）：</w:t>
      </w:r>
      <w:r>
        <w:rPr>
          <w:rFonts w:hint="eastAsia" w:ascii="宋体" w:hAnsi="宋体" w:cs="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684BA5B9">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地  址：                    </w:t>
      </w:r>
      <w:r>
        <w:rPr>
          <w:rFonts w:ascii="宋体" w:hAnsi="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22DCC426">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法定代表人或委托代理人：                                     </w:t>
      </w:r>
    </w:p>
    <w:p w14:paraId="18EEA5E5">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电  话：                                 </w:t>
      </w:r>
    </w:p>
    <w:p w14:paraId="6E5B2372">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开户银行：</w:t>
      </w:r>
    </w:p>
    <w:p w14:paraId="50BF9AD8">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账   号：</w:t>
      </w:r>
    </w:p>
    <w:p w14:paraId="7CD7E570">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p>
    <w:p w14:paraId="2AD0A3C1">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签订日期：     年    月   日 </w:t>
      </w:r>
    </w:p>
    <w:p w14:paraId="65C55719">
      <w:pPr>
        <w:pStyle w:val="56"/>
        <w:ind w:firstLine="0" w:firstLineChars="0"/>
        <w:rPr>
          <w:color w:val="000000" w:themeColor="text1"/>
          <w14:textFill>
            <w14:solidFill>
              <w14:schemeClr w14:val="tx1"/>
            </w14:solidFill>
          </w14:textFill>
        </w:rPr>
      </w:pPr>
    </w:p>
    <w:p w14:paraId="569769AC">
      <w:pPr>
        <w:pStyle w:val="56"/>
        <w:ind w:firstLine="0" w:firstLineChars="0"/>
        <w:rPr>
          <w:color w:val="000000" w:themeColor="text1"/>
          <w14:textFill>
            <w14:solidFill>
              <w14:schemeClr w14:val="tx1"/>
            </w14:solidFill>
          </w14:textFill>
        </w:rPr>
      </w:pPr>
    </w:p>
    <w:p w14:paraId="759EFE74">
      <w:pPr>
        <w:pStyle w:val="117"/>
        <w:snapToGrid w:val="0"/>
        <w:spacing w:before="0" w:after="0"/>
        <w:ind w:left="0" w:right="244"/>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承包人（公章）：</w:t>
      </w:r>
      <w:r>
        <w:rPr>
          <w:rFonts w:hint="eastAsia" w:ascii="宋体" w:hAnsi="宋体" w:cs="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3153C5A9">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地  址：                    </w:t>
      </w:r>
      <w:r>
        <w:rPr>
          <w:rFonts w:ascii="宋体" w:hAnsi="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26372CF7">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法定代表人或委托代理人：                                     </w:t>
      </w:r>
    </w:p>
    <w:p w14:paraId="20E47E3D">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电  话：                                 </w:t>
      </w:r>
    </w:p>
    <w:p w14:paraId="2CCD997E">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开户银行：</w:t>
      </w:r>
    </w:p>
    <w:p w14:paraId="07071BC7">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账   号：</w:t>
      </w:r>
    </w:p>
    <w:p w14:paraId="172857D3">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p>
    <w:p w14:paraId="495E0BD2">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签订日期：     年    月   日 </w:t>
      </w:r>
    </w:p>
    <w:p w14:paraId="47C9CB57">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p>
    <w:p w14:paraId="4D1F4E08">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分包人（公章）： </w:t>
      </w:r>
    </w:p>
    <w:p w14:paraId="36C54AD2">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地   址：</w:t>
      </w:r>
    </w:p>
    <w:p w14:paraId="7D072685">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法定代表人或委托代理人：</w:t>
      </w:r>
    </w:p>
    <w:p w14:paraId="66A44B7E">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电  话：</w:t>
      </w:r>
    </w:p>
    <w:p w14:paraId="316A82FA">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 户 银 行：</w:t>
      </w:r>
    </w:p>
    <w:p w14:paraId="2B9E9FE1">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账  号：                                </w:t>
      </w:r>
    </w:p>
    <w:p w14:paraId="7343FDE4">
      <w:pPr>
        <w:pStyle w:val="117"/>
        <w:snapToGrid w:val="0"/>
        <w:spacing w:before="0" w:after="0"/>
        <w:ind w:left="0" w:right="720"/>
        <w:rPr>
          <w:rFonts w:ascii="宋体" w:hAnsi="宋体"/>
          <w:snapToGrid w:val="0"/>
          <w:color w:val="000000" w:themeColor="text1"/>
          <w:sz w:val="21"/>
          <w:szCs w:val="21"/>
          <w14:textFill>
            <w14:solidFill>
              <w14:schemeClr w14:val="tx1"/>
            </w14:solidFill>
          </w14:textFill>
        </w:rPr>
      </w:pPr>
    </w:p>
    <w:p w14:paraId="6FC986FE">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签订日期：     年    月   日</w:t>
      </w:r>
    </w:p>
    <w:p w14:paraId="688DC4CB">
      <w:pPr>
        <w:widowControl/>
        <w:spacing w:line="240" w:lineRule="auto"/>
        <w:jc w:val="left"/>
        <w:rPr>
          <w:rFonts w:ascii="宋体" w:hAnsi="宋体"/>
          <w:b/>
        </w:rPr>
      </w:pPr>
      <w:r>
        <w:rPr>
          <w:rFonts w:ascii="宋体" w:hAnsi="宋体"/>
          <w:b/>
        </w:rPr>
        <w:br w:type="page"/>
      </w:r>
    </w:p>
    <w:p w14:paraId="4DF96435">
      <w:pPr>
        <w:spacing w:line="520" w:lineRule="exact"/>
        <w:outlineLvl w:val="0"/>
        <w:rPr>
          <w:rFonts w:ascii="Cambria" w:hAnsi="Cambria"/>
          <w:b/>
          <w:bCs/>
          <w:color w:val="000000" w:themeColor="text1"/>
          <w:sz w:val="30"/>
          <w:szCs w:val="30"/>
          <w14:textFill>
            <w14:solidFill>
              <w14:schemeClr w14:val="tx1"/>
            </w14:solidFill>
          </w14:textFill>
        </w:rPr>
      </w:pPr>
      <w:bookmarkStart w:id="1247" w:name="_Toc15470"/>
      <w:bookmarkStart w:id="1248" w:name="_Toc1430"/>
      <w:bookmarkStart w:id="1249" w:name="_Toc22009"/>
      <w:r>
        <w:rPr>
          <w:rFonts w:hint="eastAsia" w:ascii="Cambria" w:hAnsi="Cambria"/>
          <w:b/>
          <w:bCs/>
          <w:color w:val="000000" w:themeColor="text1"/>
          <w:sz w:val="30"/>
          <w:szCs w:val="30"/>
          <w14:textFill>
            <w14:solidFill>
              <w14:schemeClr w14:val="tx1"/>
            </w14:solidFill>
          </w14:textFill>
        </w:rPr>
        <w:t>附件</w:t>
      </w:r>
      <w:bookmarkStart w:id="1250" w:name="_Toc132053716"/>
      <w:r>
        <w:rPr>
          <w:rFonts w:hint="eastAsia" w:ascii="Cambria" w:hAnsi="Cambria"/>
          <w:b/>
          <w:bCs/>
          <w:color w:val="000000" w:themeColor="text1"/>
          <w:sz w:val="30"/>
          <w:szCs w:val="30"/>
          <w14:textFill>
            <w14:solidFill>
              <w14:schemeClr w14:val="tx1"/>
            </w14:solidFill>
          </w14:textFill>
        </w:rPr>
        <w:t>13  工程质量专项管理协议书</w:t>
      </w:r>
      <w:bookmarkEnd w:id="1247"/>
      <w:bookmarkEnd w:id="1248"/>
    </w:p>
    <w:p w14:paraId="6977AA7C">
      <w:pPr>
        <w:keepNext/>
        <w:keepLines/>
        <w:spacing w:before="120" w:beforeLines="50" w:after="120" w:afterLines="50" w:line="480" w:lineRule="exact"/>
        <w:jc w:val="center"/>
        <w:rPr>
          <w:rFonts w:ascii="仿宋" w:hAnsi="仿宋" w:eastAsia="仿宋"/>
          <w:b/>
          <w:bCs/>
          <w:sz w:val="32"/>
          <w:szCs w:val="28"/>
        </w:rPr>
      </w:pPr>
      <w:r>
        <w:rPr>
          <w:rFonts w:hint="eastAsia" w:ascii="仿宋" w:hAnsi="仿宋" w:eastAsia="仿宋"/>
          <w:b/>
          <w:bCs/>
          <w:sz w:val="32"/>
          <w:szCs w:val="28"/>
        </w:rPr>
        <w:t>工程质量专项管理协议书</w:t>
      </w:r>
      <w:bookmarkEnd w:id="1249"/>
      <w:bookmarkEnd w:id="1250"/>
      <w:bookmarkStart w:id="1251" w:name="_Hlk132359272"/>
    </w:p>
    <w:bookmarkEnd w:id="1251"/>
    <w:p w14:paraId="7ADDB8BA">
      <w:pPr>
        <w:spacing w:line="480" w:lineRule="exact"/>
        <w:rPr>
          <w:rFonts w:ascii="仿宋_GB2312" w:hAnsi="宋体" w:eastAsia="仿宋_GB2312" w:cs="宋体"/>
          <w:b/>
          <w:sz w:val="28"/>
          <w:szCs w:val="28"/>
        </w:rPr>
      </w:pPr>
      <w:r>
        <w:rPr>
          <w:rFonts w:hint="eastAsia" w:ascii="仿宋_GB2312" w:hAnsi="宋体" w:eastAsia="仿宋_GB2312" w:cs="宋体"/>
          <w:b/>
          <w:sz w:val="28"/>
          <w:szCs w:val="28"/>
        </w:rPr>
        <w:t>工程名称：【</w:t>
      </w:r>
      <w:r>
        <w:rPr>
          <w:rFonts w:hint="eastAsia" w:ascii="仿宋_GB2312" w:hAnsi="宋体" w:eastAsia="仿宋_GB2312" w:cs="宋体"/>
          <w:bCs/>
          <w:sz w:val="28"/>
          <w:szCs w:val="28"/>
        </w:rPr>
        <w:t xml:space="preserve">                             </w:t>
      </w:r>
      <w:r>
        <w:rPr>
          <w:rFonts w:hint="eastAsia" w:ascii="仿宋_GB2312" w:hAnsi="宋体" w:eastAsia="仿宋_GB2312" w:cs="宋体"/>
          <w:b/>
          <w:sz w:val="28"/>
          <w:szCs w:val="28"/>
        </w:rPr>
        <w:t>】</w:t>
      </w:r>
    </w:p>
    <w:p w14:paraId="4B0BE9C7">
      <w:pPr>
        <w:spacing w:line="480" w:lineRule="exact"/>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614B2238">
      <w:pPr>
        <w:spacing w:line="480" w:lineRule="exact"/>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6D320585">
      <w:pPr>
        <w:spacing w:line="480" w:lineRule="exact"/>
        <w:rPr>
          <w:rFonts w:ascii="仿宋_GB2312" w:hAnsi="宋体" w:eastAsia="仿宋_GB2312" w:cs="宋体"/>
          <w:bCs/>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bCs/>
          <w:sz w:val="28"/>
          <w:szCs w:val="28"/>
        </w:rPr>
        <w:t xml:space="preserve"> 为明确双方质量责任，加强施工质量过程管控，进一步促进分包人在质量管理和质量效果上的有效落实，提高项目质量管理水平；经双方协商一致，订立本协议：</w:t>
      </w:r>
    </w:p>
    <w:p w14:paraId="26D0A217">
      <w:pPr>
        <w:spacing w:line="480" w:lineRule="exact"/>
        <w:rPr>
          <w:rFonts w:ascii="仿宋_GB2312" w:hAnsi="宋体" w:eastAsia="仿宋_GB2312" w:cs="宋体"/>
          <w:bCs/>
          <w:sz w:val="28"/>
          <w:szCs w:val="28"/>
        </w:rPr>
      </w:pPr>
      <w:r>
        <w:rPr>
          <w:rFonts w:hint="eastAsia" w:ascii="仿宋_GB2312" w:hAnsi="宋体" w:eastAsia="仿宋_GB2312" w:cs="宋体"/>
          <w:b/>
          <w:sz w:val="28"/>
          <w:szCs w:val="28"/>
        </w:rPr>
        <w:t>第一条：甲乙双方都必须严格执行以下法律法规及规章制度。</w:t>
      </w:r>
    </w:p>
    <w:p w14:paraId="7B97C704">
      <w:pPr>
        <w:spacing w:line="480" w:lineRule="exact"/>
        <w:ind w:firstLine="420" w:firstLineChars="150"/>
        <w:rPr>
          <w:rFonts w:ascii="仿宋_GB2312" w:hAnsi="宋体" w:eastAsia="仿宋_GB2312" w:cs="宋体"/>
          <w:bCs/>
          <w:sz w:val="28"/>
          <w:szCs w:val="28"/>
        </w:rPr>
      </w:pPr>
      <w:r>
        <w:rPr>
          <w:rFonts w:hint="eastAsia" w:ascii="仿宋_GB2312" w:hAnsi="宋体" w:eastAsia="仿宋_GB2312" w:cs="宋体"/>
          <w:bCs/>
          <w:sz w:val="28"/>
          <w:szCs w:val="28"/>
        </w:rPr>
        <w:t>《中华人民共和国建筑法》《中华人民共和国民法典》《中华人民共和国招投投标法》《建设工程质量管理条例》《建筑工程质量验收统一标准》（GB50300</w:t>
      </w:r>
      <w:r>
        <w:rPr>
          <w:rFonts w:hint="eastAsia" w:ascii="仿宋_GB2312" w:hAnsi="宋体" w:eastAsia="仿宋_GB2312" w:cs="宋体"/>
          <w:bCs/>
          <w:sz w:val="28"/>
          <w:szCs w:val="28"/>
        </w:rPr>
        <w:softHyphen/>
      </w:r>
      <w:r>
        <w:rPr>
          <w:rFonts w:hint="eastAsia" w:ascii="仿宋_GB2312" w:hAnsi="宋体" w:eastAsia="仿宋_GB2312" w:cs="宋体"/>
          <w:bCs/>
          <w:sz w:val="28"/>
          <w:szCs w:val="28"/>
        </w:rPr>
        <w:t>-2013）、《建筑工程施工质量评价标准》（GB／T50375-2016）等相关法律法规或规范性文件。</w:t>
      </w:r>
    </w:p>
    <w:p w14:paraId="57EC55D6">
      <w:pPr>
        <w:spacing w:line="480" w:lineRule="exact"/>
        <w:ind w:firstLine="490" w:firstLineChars="175"/>
        <w:rPr>
          <w:rFonts w:ascii="仿宋_GB2312" w:hAnsi="宋体" w:eastAsia="仿宋_GB2312" w:cs="宋体"/>
          <w:b/>
          <w:bCs/>
          <w:sz w:val="28"/>
          <w:szCs w:val="28"/>
        </w:rPr>
      </w:pPr>
      <w:r>
        <w:rPr>
          <w:rFonts w:hint="eastAsia" w:ascii="仿宋_GB2312" w:hAnsi="宋体" w:eastAsia="仿宋_GB2312" w:cs="宋体"/>
          <w:bCs/>
          <w:sz w:val="28"/>
          <w:szCs w:val="28"/>
        </w:rPr>
        <w:t>涉及分包工程的相关标准、规范、规程等：【</w:t>
      </w:r>
      <w:r>
        <w:rPr>
          <w:rFonts w:hint="eastAsia" w:ascii="仿宋_GB2312" w:hAnsi="宋体" w:eastAsia="仿宋_GB2312" w:cs="宋体"/>
          <w:color w:val="C00000"/>
          <w:sz w:val="28"/>
          <w:szCs w:val="28"/>
        </w:rPr>
        <w:t>（总包项目部根据实际填写）</w:t>
      </w:r>
      <w:r>
        <w:rPr>
          <w:rFonts w:hint="eastAsia" w:ascii="仿宋_GB2312" w:hAnsi="宋体" w:eastAsia="仿宋_GB2312" w:cs="宋体"/>
          <w:sz w:val="28"/>
          <w:szCs w:val="28"/>
        </w:rPr>
        <w:t>】</w:t>
      </w:r>
    </w:p>
    <w:p w14:paraId="7CA20A68">
      <w:pPr>
        <w:spacing w:line="480" w:lineRule="exact"/>
        <w:ind w:firstLine="490" w:firstLineChars="175"/>
        <w:rPr>
          <w:rFonts w:ascii="仿宋_GB2312" w:hAnsi="宋体" w:eastAsia="仿宋_GB2312" w:cs="宋体"/>
          <w:b/>
          <w:bCs/>
          <w:sz w:val="28"/>
          <w:szCs w:val="28"/>
        </w:rPr>
      </w:pPr>
      <w:r>
        <w:rPr>
          <w:rFonts w:hint="eastAsia" w:ascii="仿宋_GB2312" w:hAnsi="宋体" w:eastAsia="仿宋_GB2312" w:cs="宋体"/>
          <w:bCs/>
          <w:sz w:val="28"/>
          <w:szCs w:val="28"/>
        </w:rPr>
        <w:t>公司的各项规章制度：【</w:t>
      </w:r>
      <w:r>
        <w:rPr>
          <w:rFonts w:hint="eastAsia" w:ascii="仿宋_GB2312" w:hAnsi="宋体" w:eastAsia="仿宋_GB2312" w:cs="宋体"/>
          <w:color w:val="C00000"/>
          <w:sz w:val="28"/>
          <w:szCs w:val="28"/>
        </w:rPr>
        <w:t>（总包项目部根据实际填写）</w:t>
      </w:r>
      <w:r>
        <w:rPr>
          <w:rFonts w:hint="eastAsia" w:ascii="仿宋_GB2312" w:hAnsi="宋体" w:eastAsia="仿宋_GB2312" w:cs="宋体"/>
          <w:b/>
          <w:bCs/>
          <w:sz w:val="28"/>
          <w:szCs w:val="28"/>
        </w:rPr>
        <w:t>】</w:t>
      </w:r>
    </w:p>
    <w:p w14:paraId="33339A5D">
      <w:pPr>
        <w:spacing w:line="480" w:lineRule="exact"/>
        <w:rPr>
          <w:rFonts w:ascii="仿宋_GB2312" w:hAnsi="宋体" w:eastAsia="仿宋_GB2312" w:cs="宋体"/>
          <w:b/>
          <w:sz w:val="28"/>
          <w:szCs w:val="28"/>
        </w:rPr>
      </w:pPr>
      <w:r>
        <w:rPr>
          <w:rFonts w:hint="eastAsia" w:ascii="仿宋_GB2312" w:hAnsi="宋体" w:eastAsia="仿宋_GB2312" w:cs="宋体"/>
          <w:b/>
          <w:sz w:val="28"/>
          <w:szCs w:val="28"/>
        </w:rPr>
        <w:t>第二条：本协议的期限自分包工程开工之日起至分包工程质量保修期结束止。</w:t>
      </w:r>
    </w:p>
    <w:p w14:paraId="4AA3D996">
      <w:pPr>
        <w:spacing w:line="480" w:lineRule="exact"/>
        <w:rPr>
          <w:rFonts w:ascii="仿宋_GB2312" w:hAnsi="宋体" w:eastAsia="仿宋_GB2312" w:cs="宋体"/>
          <w:b/>
          <w:sz w:val="28"/>
          <w:szCs w:val="28"/>
        </w:rPr>
      </w:pPr>
      <w:r>
        <w:rPr>
          <w:rFonts w:hint="eastAsia" w:ascii="仿宋_GB2312" w:hAnsi="宋体" w:eastAsia="仿宋_GB2312" w:cs="宋体"/>
          <w:b/>
          <w:sz w:val="28"/>
          <w:szCs w:val="28"/>
        </w:rPr>
        <w:t>第三条：质量管理：</w:t>
      </w:r>
    </w:p>
    <w:p w14:paraId="269AD1AA">
      <w:pPr>
        <w:spacing w:line="480" w:lineRule="exact"/>
        <w:ind w:firstLine="492" w:firstLineChars="175"/>
        <w:rPr>
          <w:rFonts w:ascii="仿宋_GB2312" w:hAnsi="宋体" w:eastAsia="仿宋_GB2312" w:cs="宋体"/>
          <w:b/>
          <w:sz w:val="28"/>
          <w:szCs w:val="28"/>
        </w:rPr>
      </w:pPr>
      <w:r>
        <w:rPr>
          <w:rFonts w:hint="eastAsia" w:ascii="仿宋_GB2312" w:hAnsi="宋体" w:eastAsia="仿宋_GB2312" w:cs="宋体"/>
          <w:b/>
          <w:sz w:val="28"/>
          <w:szCs w:val="28"/>
        </w:rPr>
        <w:t>3.1  项目负责人及专职质量管理人员</w:t>
      </w:r>
    </w:p>
    <w:p w14:paraId="050E65D0">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甲方委派【           】为甲方现场代表（身份证号：【          】）、【         】为质量检查员（身份证号：【          】），代表甲方对工程质量进行全面管理。</w:t>
      </w:r>
    </w:p>
    <w:p w14:paraId="4955A357">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乙方委派【           】为乙方现场代表（身份证号：【           】）、【           】为质量检查员（身份证号：【           】），代表乙方对工程质量进行全面管理。</w:t>
      </w:r>
    </w:p>
    <w:p w14:paraId="5B938179">
      <w:pPr>
        <w:spacing w:line="480" w:lineRule="exact"/>
        <w:ind w:firstLine="490" w:firstLineChars="175"/>
        <w:rPr>
          <w:rFonts w:ascii="仿宋_GB2312" w:hAnsi="宋体" w:eastAsia="仿宋_GB2312" w:cs="宋体"/>
          <w:bCs/>
          <w:sz w:val="28"/>
          <w:szCs w:val="28"/>
        </w:rPr>
      </w:pPr>
      <w:r>
        <w:rPr>
          <w:rFonts w:hint="eastAsia" w:ascii="仿宋_GB2312" w:hAnsi="宋体" w:eastAsia="仿宋_GB2312" w:cs="宋体"/>
          <w:bCs/>
          <w:sz w:val="28"/>
          <w:szCs w:val="28"/>
        </w:rPr>
        <w:t>甲方技术质量部门对工程质量的控制过程进行监督检查。</w:t>
      </w:r>
    </w:p>
    <w:p w14:paraId="7C9A40CD">
      <w:pPr>
        <w:spacing w:line="480" w:lineRule="exact"/>
        <w:ind w:firstLine="490" w:firstLineChars="175"/>
        <w:rPr>
          <w:rFonts w:ascii="仿宋_GB2312" w:hAnsi="宋体" w:eastAsia="仿宋_GB2312" w:cs="宋体"/>
          <w:bCs/>
          <w:sz w:val="28"/>
          <w:szCs w:val="28"/>
        </w:rPr>
      </w:pPr>
      <w:r>
        <w:rPr>
          <w:rFonts w:hint="eastAsia" w:ascii="仿宋_GB2312" w:hAnsi="宋体" w:eastAsia="仿宋_GB2312" w:cs="宋体"/>
          <w:bCs/>
          <w:sz w:val="28"/>
          <w:szCs w:val="28"/>
        </w:rPr>
        <w:t xml:space="preserve">乙方进场后，不按要求配备专职质量管理人员的，限七日内改正，逾期不改的，每缺少一人，按照【 </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】元/天承担违约金。乙方进行专职质量管理人员变动（更换或调离）必须得到甲方现场代表事先同意并书面确认，否则按缺少人员承担违约金。</w:t>
      </w:r>
    </w:p>
    <w:p w14:paraId="3121BC26">
      <w:pPr>
        <w:spacing w:line="480" w:lineRule="exact"/>
        <w:ind w:firstLine="492" w:firstLineChars="175"/>
        <w:rPr>
          <w:rFonts w:ascii="仿宋_GB2312" w:hAnsi="宋体" w:eastAsia="仿宋_GB2312" w:cs="宋体"/>
          <w:b/>
          <w:sz w:val="28"/>
          <w:szCs w:val="28"/>
        </w:rPr>
      </w:pPr>
      <w:r>
        <w:rPr>
          <w:rFonts w:hint="eastAsia" w:ascii="仿宋_GB2312" w:hAnsi="宋体" w:eastAsia="仿宋_GB2312" w:cs="宋体"/>
          <w:b/>
          <w:sz w:val="28"/>
          <w:szCs w:val="28"/>
        </w:rPr>
        <w:t>3.2  本项目质量管理目标</w:t>
      </w:r>
    </w:p>
    <w:p w14:paraId="067EA470">
      <w:pPr>
        <w:spacing w:line="480" w:lineRule="exact"/>
        <w:ind w:firstLine="490" w:firstLineChars="175"/>
        <w:rPr>
          <w:rFonts w:ascii="仿宋_GB2312" w:hAnsi="宋体" w:eastAsia="仿宋_GB2312" w:cs="宋体"/>
          <w:bCs/>
          <w:sz w:val="28"/>
          <w:szCs w:val="28"/>
        </w:rPr>
      </w:pPr>
      <w:r>
        <w:rPr>
          <w:rFonts w:hint="eastAsia" w:ascii="仿宋_GB2312" w:hAnsi="宋体" w:eastAsia="仿宋_GB2312" w:cs="宋体"/>
          <w:bCs/>
          <w:sz w:val="28"/>
          <w:szCs w:val="28"/>
        </w:rPr>
        <w:t>3.2.1  工程质量目标：合格、创【广东省建设工程金匠奖】工程（如国优、鲁班奖、詹天佑奖等，最高创优目标）</w:t>
      </w:r>
    </w:p>
    <w:p w14:paraId="2C35E9D0">
      <w:pPr>
        <w:spacing w:line="480" w:lineRule="exact"/>
        <w:ind w:firstLine="490" w:firstLineChars="175"/>
        <w:rPr>
          <w:rFonts w:ascii="仿宋_GB2312" w:hAnsi="宋体" w:eastAsia="仿宋_GB2312" w:cs="宋体"/>
          <w:bCs/>
          <w:sz w:val="28"/>
          <w:szCs w:val="28"/>
        </w:rPr>
      </w:pPr>
      <w:r>
        <w:rPr>
          <w:rFonts w:hint="eastAsia" w:ascii="仿宋_GB2312" w:hAnsi="宋体" w:eastAsia="仿宋_GB2312" w:cs="宋体"/>
          <w:bCs/>
          <w:sz w:val="28"/>
          <w:szCs w:val="28"/>
        </w:rPr>
        <w:t>3.2.2  土建质量目标：【 / 】优质结构奖</w:t>
      </w:r>
    </w:p>
    <w:p w14:paraId="45E9D425">
      <w:pPr>
        <w:spacing w:line="480" w:lineRule="exact"/>
        <w:ind w:firstLine="490" w:firstLineChars="175"/>
        <w:rPr>
          <w:rFonts w:ascii="仿宋_GB2312" w:hAnsi="宋体" w:eastAsia="仿宋_GB2312" w:cs="宋体"/>
          <w:bCs/>
          <w:sz w:val="28"/>
          <w:szCs w:val="28"/>
        </w:rPr>
      </w:pPr>
      <w:r>
        <w:rPr>
          <w:rFonts w:hint="eastAsia" w:ascii="仿宋_GB2312" w:hAnsi="宋体" w:eastAsia="仿宋_GB2312" w:cs="宋体"/>
          <w:bCs/>
          <w:sz w:val="28"/>
          <w:szCs w:val="28"/>
        </w:rPr>
        <w:t>3.2.3  钢结构专业目标：【 / 】奖</w:t>
      </w:r>
    </w:p>
    <w:p w14:paraId="5E43361D">
      <w:pPr>
        <w:spacing w:line="480" w:lineRule="exact"/>
        <w:ind w:firstLine="490" w:firstLineChars="175"/>
        <w:rPr>
          <w:rFonts w:ascii="仿宋_GB2312" w:hAnsi="宋体" w:eastAsia="仿宋_GB2312" w:cs="宋体"/>
          <w:bCs/>
          <w:sz w:val="28"/>
          <w:szCs w:val="28"/>
        </w:rPr>
      </w:pPr>
      <w:r>
        <w:rPr>
          <w:rFonts w:hint="eastAsia" w:ascii="仿宋_GB2312" w:hAnsi="宋体" w:eastAsia="仿宋_GB2312" w:cs="宋体"/>
          <w:bCs/>
          <w:sz w:val="28"/>
          <w:szCs w:val="28"/>
        </w:rPr>
        <w:t>3.2.4  装饰装修目标：【广东省优秀建筑装饰工程奖】优质工程奖</w:t>
      </w:r>
    </w:p>
    <w:p w14:paraId="6F717497">
      <w:pPr>
        <w:spacing w:line="480" w:lineRule="exact"/>
        <w:ind w:firstLine="490" w:firstLineChars="175"/>
        <w:rPr>
          <w:rFonts w:ascii="仿宋_GB2312" w:hAnsi="宋体" w:eastAsia="仿宋_GB2312" w:cs="宋体"/>
          <w:bCs/>
          <w:sz w:val="28"/>
          <w:szCs w:val="28"/>
        </w:rPr>
      </w:pPr>
      <w:r>
        <w:rPr>
          <w:rFonts w:hint="eastAsia" w:ascii="仿宋_GB2312" w:hAnsi="宋体" w:eastAsia="仿宋_GB2312" w:cs="宋体"/>
          <w:bCs/>
          <w:sz w:val="28"/>
          <w:szCs w:val="28"/>
        </w:rPr>
        <w:t>3.2.5  安装专业目标：【 / 】奖</w:t>
      </w:r>
    </w:p>
    <w:p w14:paraId="4C49A607">
      <w:pPr>
        <w:spacing w:line="480" w:lineRule="exact"/>
        <w:ind w:firstLine="490" w:firstLineChars="175"/>
        <w:rPr>
          <w:rFonts w:ascii="仿宋_GB2312" w:hAnsi="宋体" w:eastAsia="仿宋_GB2312" w:cs="宋体"/>
          <w:color w:val="C00000"/>
          <w:sz w:val="28"/>
          <w:szCs w:val="28"/>
        </w:rPr>
      </w:pPr>
      <w:r>
        <w:rPr>
          <w:rFonts w:hint="eastAsia" w:ascii="仿宋_GB2312" w:hAnsi="宋体" w:eastAsia="仿宋_GB2312" w:cs="宋体"/>
          <w:color w:val="C00000"/>
          <w:sz w:val="28"/>
          <w:szCs w:val="28"/>
        </w:rPr>
        <w:t>（条款说明：各单位根据工程承包合同及公司质量策划目标细化各专业目标）</w:t>
      </w:r>
    </w:p>
    <w:p w14:paraId="0BADE93C">
      <w:pPr>
        <w:spacing w:line="480" w:lineRule="exact"/>
        <w:rPr>
          <w:rFonts w:ascii="仿宋_GB2312" w:hAnsi="宋体" w:eastAsia="仿宋_GB2312" w:cs="宋体"/>
          <w:bCs/>
          <w:sz w:val="28"/>
          <w:szCs w:val="28"/>
        </w:rPr>
      </w:pPr>
      <w:r>
        <w:rPr>
          <w:rFonts w:hint="eastAsia" w:ascii="仿宋_GB2312" w:hAnsi="宋体" w:eastAsia="仿宋_GB2312" w:cs="宋体"/>
          <w:b/>
          <w:sz w:val="28"/>
          <w:szCs w:val="28"/>
        </w:rPr>
        <w:t>第四条：甲方责任及义务：</w:t>
      </w:r>
    </w:p>
    <w:p w14:paraId="32806372">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4.1  甲方负责施工现场工程质量的统一管理，负责监督检查乙方在工程质量控制过程中的一切活动。</w:t>
      </w:r>
    </w:p>
    <w:p w14:paraId="7B124ACA">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4.2  甲方负责组织协调各单位在工程开工前，编制完成施工组织总设计及工程质量保证措施、创优策划、验收程序等，并进行现场指导。</w:t>
      </w:r>
    </w:p>
    <w:p w14:paraId="33B8F084">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4.3  甲方负责向乙方发放图纸、设计变更等。甲方为乙方提供每个楼层（按楼座或功能分区考虑）的标高、定位的基准点（线），乙方应严格按甲方提供的标高、定位的基准点（线）进行工程细部放线。</w:t>
      </w:r>
    </w:p>
    <w:p w14:paraId="74A3FB3D">
      <w:pPr>
        <w:spacing w:line="480" w:lineRule="exact"/>
        <w:ind w:firstLine="560" w:firstLineChars="200"/>
        <w:rPr>
          <w:rFonts w:ascii="仿宋_GB2312" w:hAnsi="宋体" w:eastAsia="仿宋_GB2312" w:cs="宋体"/>
          <w:b/>
          <w:bCs/>
          <w:sz w:val="28"/>
          <w:szCs w:val="28"/>
        </w:rPr>
      </w:pPr>
      <w:r>
        <w:rPr>
          <w:rFonts w:hint="eastAsia" w:ascii="仿宋_GB2312" w:hAnsi="宋体" w:eastAsia="仿宋_GB2312" w:cs="宋体"/>
          <w:bCs/>
          <w:sz w:val="28"/>
          <w:szCs w:val="28"/>
        </w:rPr>
        <w:t>4.4  甲方在施工过程中，发现乙方不按设计图纸、施工方案、技术交底组织施工，违章操作，严重危害工程质量时，有权要求立即停止施工，并对乙方进行经济处罚；</w:t>
      </w:r>
      <w:r>
        <w:rPr>
          <w:rFonts w:hint="eastAsia" w:ascii="仿宋_GB2312" w:hAnsi="宋体" w:eastAsia="仿宋_GB2312" w:cs="宋体"/>
          <w:b/>
          <w:bCs/>
          <w:sz w:val="28"/>
          <w:szCs w:val="28"/>
        </w:rPr>
        <w:t>情节严重的，甲方有权终止合同。</w:t>
      </w:r>
    </w:p>
    <w:p w14:paraId="48FC92A1">
      <w:pPr>
        <w:spacing w:line="480" w:lineRule="exact"/>
        <w:ind w:firstLine="560" w:firstLineChars="200"/>
        <w:rPr>
          <w:rFonts w:ascii="仿宋_GB2312" w:hAnsi="宋体" w:eastAsia="仿宋_GB2312" w:cs="宋体"/>
          <w:b/>
          <w:bCs/>
          <w:sz w:val="28"/>
          <w:szCs w:val="28"/>
        </w:rPr>
      </w:pPr>
      <w:r>
        <w:rPr>
          <w:rFonts w:hint="eastAsia" w:ascii="仿宋_GB2312" w:hAnsi="宋体" w:eastAsia="仿宋_GB2312" w:cs="宋体"/>
          <w:bCs/>
          <w:sz w:val="28"/>
          <w:szCs w:val="28"/>
        </w:rPr>
        <w:t>4.5  经甲方质检员口头要求，或下发整改通知单后，未整改或整改后达不到合格标准的，甲方有权按照甲方项目部所制订的《工程项目质量奖罚管理规定》进行质量罚款，对质量管理较好的项目根据质量评比情况进行奖励，质量奖罚由甲方向乙方出具书面质量奖罚单。</w:t>
      </w:r>
      <w:r>
        <w:rPr>
          <w:rFonts w:hint="eastAsia" w:ascii="仿宋_GB2312" w:hAnsi="宋体" w:eastAsia="仿宋_GB2312" w:cs="宋体"/>
          <w:b/>
          <w:bCs/>
          <w:sz w:val="28"/>
          <w:szCs w:val="28"/>
        </w:rPr>
        <w:t>对于甲方出具的罚款通知单，以罚款通知单下发之日为生效之日。</w:t>
      </w:r>
    </w:p>
    <w:p w14:paraId="455361E6">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4.6  甲方有权对乙方未经自检的工程拒绝验收，由此产生的费用由乙方自行承担。</w:t>
      </w:r>
    </w:p>
    <w:p w14:paraId="297D31AD">
      <w:pPr>
        <w:spacing w:line="480" w:lineRule="exact"/>
        <w:rPr>
          <w:rFonts w:ascii="仿宋_GB2312" w:hAnsi="宋体" w:eastAsia="仿宋_GB2312" w:cs="宋体"/>
          <w:b/>
          <w:sz w:val="28"/>
          <w:szCs w:val="28"/>
        </w:rPr>
      </w:pPr>
      <w:r>
        <w:rPr>
          <w:rFonts w:hint="eastAsia" w:ascii="仿宋_GB2312" w:hAnsi="宋体" w:eastAsia="仿宋_GB2312" w:cs="宋体"/>
          <w:b/>
          <w:sz w:val="28"/>
          <w:szCs w:val="28"/>
        </w:rPr>
        <w:t>第五条：乙方的责任及义务</w:t>
      </w:r>
    </w:p>
    <w:p w14:paraId="7686D7D3">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  乙方必须遵守甲方相关质量管理制度。</w:t>
      </w:r>
    </w:p>
    <w:p w14:paraId="72BAAD40">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5.2  乙方在施工过程中必须严格按照设计图纸、现行有效规程、规范施工，工程质量必须达到本协议约定的质量目标。</w:t>
      </w:r>
    </w:p>
    <w:p w14:paraId="2A3A9F30">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5.3  在工程开工前，乙方须建立健全现场质量管理体系，并将质量管理体系、质量保证措施等报甲方确认备案。乙方备案质量管理人员必须与在现场质量管理人员相符，必须持证上岗。</w:t>
      </w:r>
    </w:p>
    <w:p w14:paraId="2A36902A">
      <w:pPr>
        <w:spacing w:line="480" w:lineRule="exact"/>
        <w:ind w:firstLine="560" w:firstLineChars="200"/>
        <w:rPr>
          <w:rFonts w:ascii="仿宋_GB2312" w:hAnsi="宋体" w:eastAsia="仿宋_GB2312" w:cs="宋体"/>
          <w:b/>
          <w:bCs/>
          <w:sz w:val="28"/>
          <w:szCs w:val="28"/>
        </w:rPr>
      </w:pPr>
      <w:r>
        <w:rPr>
          <w:rFonts w:hint="eastAsia" w:ascii="仿宋_GB2312" w:hAnsi="宋体" w:eastAsia="仿宋_GB2312" w:cs="宋体"/>
          <w:bCs/>
          <w:sz w:val="28"/>
          <w:szCs w:val="28"/>
        </w:rPr>
        <w:t>5.4  乙方必须按照</w:t>
      </w:r>
      <w:r>
        <w:rPr>
          <w:rFonts w:hint="eastAsia" w:ascii="仿宋_GB2312" w:hAnsi="宋体" w:eastAsia="仿宋_GB2312" w:cs="宋体"/>
          <w:b/>
          <w:bCs/>
          <w:sz w:val="28"/>
          <w:szCs w:val="28"/>
        </w:rPr>
        <w:t>甲方的“样板引路”制度</w:t>
      </w:r>
      <w:r>
        <w:rPr>
          <w:rFonts w:hint="eastAsia" w:ascii="仿宋_GB2312" w:hAnsi="宋体" w:eastAsia="仿宋_GB2312" w:cs="宋体"/>
          <w:bCs/>
          <w:sz w:val="28"/>
          <w:szCs w:val="28"/>
        </w:rPr>
        <w:t>进行施工，任何分项工程施工前，乙方要先做好样板，经甲方、监理或建设单位验收批准后方可大面积施工，未经验收批准不得进行大面积施工；</w:t>
      </w:r>
      <w:r>
        <w:rPr>
          <w:rFonts w:hint="eastAsia" w:ascii="仿宋_GB2312" w:hAnsi="宋体" w:eastAsia="仿宋_GB2312" w:cs="宋体"/>
          <w:b/>
          <w:bCs/>
          <w:sz w:val="28"/>
          <w:szCs w:val="28"/>
        </w:rPr>
        <w:t>无样板验收而擅自施工的分项工程，不计入乙方工程量。</w:t>
      </w:r>
    </w:p>
    <w:p w14:paraId="06233FB2">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5.5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14:paraId="7809734F">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5.6  乙方在施工过程中必须严格按照施工组织设计及方案、技术交底施工，要随时接受政府、建设单位、监理、甲方的质量监督检查。</w:t>
      </w:r>
    </w:p>
    <w:p w14:paraId="3D9CDF1F">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 xml:space="preserve">5.7  施工过程各阶段要严格执行自检、互检、交接检制度，逐道工序由操作和验收人员签字确认。乙方不按要求落实自检、互检、交接检制度并填报相应资料的，按照【 </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 xml:space="preserve">】元/次承担违约金。乙方不履行质量交接检查程序，擅自进行下一道工序施工的按照【 </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】元/次承担违约金。</w:t>
      </w:r>
    </w:p>
    <w:p w14:paraId="70328513">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5.8  工程的隐蔽工程、检验批等验收，乙方自检合格后，报甲方验收，乙方质检员、乙方技术人员参加验收，监理确认后签字。过程验收检验不合格时，甲方质检员行使否决权，检验验收不予通过。乙方要服从甲方质检员的意见组织返修，直至合格后，重新组织检验验收。</w:t>
      </w:r>
    </w:p>
    <w:p w14:paraId="676B8C2F">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5.9  未经验收合格，不得擅自进入下道工序施工，否则，责令其拆除并无条件重新施工，所发生的费用及损失，均由乙方承担，并对相关人员进行罚款处理。</w:t>
      </w:r>
    </w:p>
    <w:p w14:paraId="0ACD6144">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5.10  乙方必须配合甲方和监理工程师做好验收工作，及时处理验收过程中存在的问题。</w:t>
      </w:r>
    </w:p>
    <w:p w14:paraId="21721669">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5.11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14:paraId="25839098">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5.12  乙方在施工过程中，必须服从甲方的质量管理，按时参加甲方组织的质量检查和质量专题会议，接受甲方的质量罚款，并对质量问题按甲方的要求及时整改，直至达到合格标准；</w:t>
      </w:r>
    </w:p>
    <w:p w14:paraId="32ADB9E6">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5.13  如出现质量问题或严重缺陷，乙方要及时通知甲方，不得隐瞒，必须按处理措施或方案进行整改，严禁私自处理。</w:t>
      </w:r>
    </w:p>
    <w:p w14:paraId="6E5E1589">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5.14  当甲方要求对已经隐蔽的工程重新检验时，乙方应按要求进行剥离或开孔，并在检验后重新覆盖或修复。</w:t>
      </w:r>
    </w:p>
    <w:p w14:paraId="4D13F722">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5.15  乙方符合甲方《工程项目质量奖罚管理规定》奖励条款的，有权获得奖励。</w:t>
      </w:r>
    </w:p>
    <w:p w14:paraId="53D74F81">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5.16  对于甲方不按协议或规范要求违章指挥，乙方有权拒绝进行施工。</w:t>
      </w:r>
    </w:p>
    <w:p w14:paraId="2E059AAF">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5.17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14:paraId="0B06E024">
      <w:pPr>
        <w:spacing w:line="480" w:lineRule="exact"/>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第六条：违反规定的处罚细则</w:t>
      </w:r>
    </w:p>
    <w:p w14:paraId="22DB4360">
      <w:pPr>
        <w:spacing w:line="480" w:lineRule="exact"/>
        <w:ind w:left="420"/>
        <w:rPr>
          <w:rFonts w:ascii="仿宋_GB2312" w:hAnsi="宋体" w:eastAsia="仿宋_GB2312" w:cs="宋体"/>
          <w:bCs/>
          <w:sz w:val="28"/>
          <w:szCs w:val="28"/>
        </w:rPr>
      </w:pPr>
      <w:r>
        <w:rPr>
          <w:rFonts w:hint="eastAsia" w:ascii="仿宋_GB2312" w:hAnsi="宋体" w:eastAsia="仿宋_GB2312" w:cs="宋体"/>
          <w:bCs/>
          <w:sz w:val="28"/>
          <w:szCs w:val="28"/>
        </w:rPr>
        <w:t>6.1  违反建设工程强制性条文规定，每次处罚2000元。</w:t>
      </w:r>
    </w:p>
    <w:p w14:paraId="35B204A0">
      <w:pPr>
        <w:spacing w:line="480" w:lineRule="exact"/>
        <w:ind w:left="420"/>
        <w:rPr>
          <w:rFonts w:ascii="仿宋_GB2312" w:hAnsi="宋体" w:eastAsia="仿宋_GB2312" w:cs="宋体"/>
          <w:bCs/>
          <w:sz w:val="28"/>
          <w:szCs w:val="28"/>
        </w:rPr>
      </w:pPr>
      <w:r>
        <w:rPr>
          <w:rFonts w:hint="eastAsia" w:ascii="仿宋_GB2312" w:hAnsi="宋体" w:eastAsia="仿宋_GB2312" w:cs="宋体"/>
          <w:bCs/>
          <w:sz w:val="28"/>
          <w:szCs w:val="28"/>
        </w:rPr>
        <w:t>6.2  不按设计图进行施工或擅自改变设计图纸施工的，处罚5000元/次。</w:t>
      </w:r>
    </w:p>
    <w:p w14:paraId="7F38A36F">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6.3  违反施工方案、技术交底要求野蛮施工，处罚2000元/次。造成质量与安全隐患的按照5000元/次承担违约金，并且承担相应的经济损失。</w:t>
      </w:r>
    </w:p>
    <w:p w14:paraId="58C4545D">
      <w:pPr>
        <w:spacing w:line="480" w:lineRule="exact"/>
        <w:ind w:left="420"/>
        <w:rPr>
          <w:rFonts w:ascii="仿宋_GB2312" w:hAnsi="宋体" w:eastAsia="仿宋_GB2312" w:cs="宋体"/>
          <w:bCs/>
          <w:sz w:val="28"/>
          <w:szCs w:val="28"/>
        </w:rPr>
      </w:pPr>
      <w:r>
        <w:rPr>
          <w:rFonts w:hint="eastAsia" w:ascii="仿宋_GB2312" w:hAnsi="宋体" w:eastAsia="仿宋_GB2312" w:cs="宋体"/>
          <w:bCs/>
          <w:sz w:val="28"/>
          <w:szCs w:val="28"/>
        </w:rPr>
        <w:t>6.4  分项工程（工序）未经验收而擅自进行下道工序施工的，处罚1000元/次。</w:t>
      </w:r>
    </w:p>
    <w:p w14:paraId="41D1743E">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6.5  未落实“三检”验收制度，处罚500元/次，未经自检合格报验的，处罚500元/次。</w:t>
      </w:r>
    </w:p>
    <w:p w14:paraId="2ACE68E9">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6.6  分包材料进场前必须按要求进行报验，未按程序报验或使用不合格材料的，罚款1000～5000元/次。</w:t>
      </w:r>
    </w:p>
    <w:p w14:paraId="078D82A6">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6.7  乙方违背合同约定，材料以次充好，检验弄虚作假，施工偷工减料，将不合格物资用于工程的按照5000-20000元/次承担违约金，并且承担相应经济损失。</w:t>
      </w:r>
    </w:p>
    <w:p w14:paraId="4503A904">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6.8  未经事先书面同意擅自修补，隐瞒施工质量问题，处罚1000～2000元/处。</w:t>
      </w:r>
    </w:p>
    <w:p w14:paraId="137C6AB8">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6.9  出现质量问题未及时按甲方要求进行整改或修复，处罚1000元/次。</w:t>
      </w:r>
    </w:p>
    <w:p w14:paraId="56464612">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6.10  不服从甲方及上级单位质量管理和要求，处罚2000元/次。</w:t>
      </w:r>
    </w:p>
    <w:p w14:paraId="515F0F0E">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6.11  未按时参加甲方组织的验收和检查，处罚2000元/次。</w:t>
      </w:r>
    </w:p>
    <w:p w14:paraId="58DF21C7">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6.12  对质量整改通知单必须在限定时间内整改及书面回复（回复附整改后照片），如不按要求整改或不落实整改，处罚500～2000元/次。</w:t>
      </w:r>
    </w:p>
    <w:p w14:paraId="7D2707E4">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6.13  连续两次出现同种质量问题，每增加一次罚款金额增加1000～2000元（以甲方发出的质量整改通知单中存在的问题为准）。</w:t>
      </w:r>
    </w:p>
    <w:p w14:paraId="1C6507F6">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6.14  施工样板未经确认而大面积施工或未按照要求进行样板施工的，处罚2000元。</w:t>
      </w:r>
    </w:p>
    <w:p w14:paraId="06CA8E0D">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6.15  未按规定对施工成品采取保护措施，根据损坏程度赔偿，并处罚500～1000元/处。</w:t>
      </w:r>
    </w:p>
    <w:p w14:paraId="483D0F90">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6.16  甲方发出的质量整改通知单，必须及时落实整改，如发现班组反应缓慢或者不落实整改，每次处罚500～3000元。</w:t>
      </w:r>
    </w:p>
    <w:p w14:paraId="55508A99">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6.17 因质量原因出现以下情形的，乙方按照下述承担违约责任。</w:t>
      </w:r>
    </w:p>
    <w:p w14:paraId="551846BD">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1、被建设单位、甲方公司及其上级单位质量检查通报排名倒数后两名的，乙方按照3000～5000元/次承担违约金。同一项目，被连续通报倒数后两名的，违约金加倍。</w:t>
      </w:r>
    </w:p>
    <w:p w14:paraId="0FAB49CA">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2、被建设单位投诉到公司及其上级单位主管部门的，乙方按照10000～50000元/次承担违约金。同一项目，半年期内连续被投诉，违约金加倍。</w:t>
      </w:r>
    </w:p>
    <w:p w14:paraId="221422A9">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3、被新闻媒体曝光的，乙方按照20000～100000元/次承担违约金。</w:t>
      </w:r>
    </w:p>
    <w:p w14:paraId="41E54230">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4、被政府主管部门行政处罚的，分包单位除按处罚金额交款外，另外按照罚款金额的两倍承担违约金。</w:t>
      </w:r>
    </w:p>
    <w:p w14:paraId="5A8FFC5B">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5、被政府主管部门责令停工、限制投标以及降低资质的，乙方按照100000～500000元/次承担违约金。</w:t>
      </w:r>
    </w:p>
    <w:p w14:paraId="523BD67B">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6、被国家、地方政府建设主管部门在执法检查中典型通报，违反国家强制性标准，或质量较差造成恶劣影响的，乙方按照100000～500000元/次承担违约金。</w:t>
      </w:r>
    </w:p>
    <w:p w14:paraId="22737EBC">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6.18发生质量事故的，乙方按照下述承担违约责任。</w:t>
      </w:r>
    </w:p>
    <w:p w14:paraId="65055066">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1、特别重大质量事故</w:t>
      </w:r>
    </w:p>
    <w:p w14:paraId="44FAA064">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特别重大质量事故的直接责任人应依法追究其刑事责任及民事责任。乙方按照500000～1000000元/次承担违约金。</w:t>
      </w:r>
    </w:p>
    <w:p w14:paraId="46ACE24E">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2、重大质量事故</w:t>
      </w:r>
    </w:p>
    <w:p w14:paraId="7852C23B">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重大质量事故的直接责任人应依法追究其刑事责任及民事责任。乙方按照100000～200000元/次承担违约金。</w:t>
      </w:r>
    </w:p>
    <w:p w14:paraId="48CB2060">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3、较大质量事故</w:t>
      </w:r>
    </w:p>
    <w:p w14:paraId="6CF977FF">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较大质量事故的直接责任人应依法追究其民事责任，因事故造成人员死亡时应依法追究其刑事责任。乙方按照50000～200000元/次承担违约金。</w:t>
      </w:r>
    </w:p>
    <w:p w14:paraId="3F72ABD3">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4、一般质量事故</w:t>
      </w:r>
    </w:p>
    <w:p w14:paraId="1BC5A268">
      <w:pPr>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一般质量事故的直接责任人违约金额度不应低于事故直接经济损失的5%，亦不应低于100000元。乙方按照10000～50000元/次承担违约金。</w:t>
      </w:r>
    </w:p>
    <w:p w14:paraId="2EECA7DB">
      <w:pPr>
        <w:spacing w:line="480" w:lineRule="exact"/>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注：上述罚款行为视为乙方的违约行为，罚款视为乙方应支付的违约金，甲方可选择在当期工程款中扣除，也可在最终结算后在应支付乙方工程款中扣除。</w:t>
      </w:r>
    </w:p>
    <w:p w14:paraId="03C08DFB">
      <w:pPr>
        <w:spacing w:line="480" w:lineRule="exact"/>
        <w:ind w:firstLine="422" w:firstLineChars="150"/>
        <w:rPr>
          <w:rFonts w:ascii="仿宋_GB2312" w:hAnsi="宋体" w:eastAsia="仿宋_GB2312" w:cs="宋体"/>
          <w:b/>
          <w:bCs/>
          <w:sz w:val="28"/>
          <w:szCs w:val="28"/>
        </w:rPr>
      </w:pPr>
      <w:r>
        <w:rPr>
          <w:rFonts w:hint="eastAsia" w:ascii="仿宋_GB2312" w:hAnsi="宋体" w:eastAsia="仿宋_GB2312" w:cs="宋体"/>
          <w:b/>
          <w:bCs/>
          <w:sz w:val="28"/>
          <w:szCs w:val="28"/>
        </w:rPr>
        <w:t>（质量奖罚部分，项目部根据以上内容及实际情况进行细化）</w:t>
      </w:r>
    </w:p>
    <w:p w14:paraId="676F3E93">
      <w:pPr>
        <w:spacing w:line="480" w:lineRule="exact"/>
        <w:ind w:firstLine="562" w:firstLineChars="200"/>
        <w:rPr>
          <w:rFonts w:ascii="仿宋_GB2312" w:hAnsi="宋体" w:eastAsia="仿宋_GB2312" w:cs="宋体"/>
          <w:sz w:val="28"/>
          <w:szCs w:val="28"/>
        </w:rPr>
      </w:pPr>
      <w:r>
        <w:rPr>
          <w:rFonts w:hint="eastAsia" w:ascii="仿宋_GB2312" w:hAnsi="宋体" w:eastAsia="仿宋_GB2312" w:cs="宋体"/>
          <w:b/>
          <w:sz w:val="28"/>
          <w:szCs w:val="28"/>
        </w:rPr>
        <w:t>第七条：</w:t>
      </w:r>
      <w:r>
        <w:rPr>
          <w:rFonts w:hint="eastAsia" w:ascii="仿宋_GB2312" w:hAnsi="宋体" w:eastAsia="仿宋_GB2312" w:cs="宋体"/>
          <w:bCs/>
          <w:sz w:val="28"/>
          <w:szCs w:val="28"/>
        </w:rPr>
        <w:t>本协议作为附件与分包合同同时签订，自乙方于分包合同盖章之日起生效，乙方必须严格执行，由于乙方违反本协议而造成质量问题，由乙方承担经济损失。</w:t>
      </w:r>
    </w:p>
    <w:p w14:paraId="6E6B8F0D">
      <w:pPr>
        <w:spacing w:line="240" w:lineRule="auto"/>
        <w:rPr>
          <w:rFonts w:ascii="宋体" w:hAnsi="宋体" w:cs="宋体"/>
          <w:sz w:val="21"/>
          <w:szCs w:val="21"/>
        </w:rPr>
      </w:pPr>
    </w:p>
    <w:p w14:paraId="0E45BCBB">
      <w:pPr>
        <w:spacing w:line="240" w:lineRule="auto"/>
        <w:rPr>
          <w:rFonts w:ascii="宋体" w:hAnsi="宋体" w:cs="宋体"/>
          <w:sz w:val="21"/>
          <w:szCs w:val="21"/>
        </w:rPr>
      </w:pPr>
    </w:p>
    <w:p w14:paraId="40BDB76E">
      <w:pPr>
        <w:spacing w:line="240" w:lineRule="auto"/>
        <w:rPr>
          <w:rFonts w:ascii="宋体" w:hAnsi="宋体" w:cs="宋体"/>
          <w:b/>
          <w:bCs/>
          <w:szCs w:val="24"/>
        </w:rPr>
      </w:pPr>
      <w:r>
        <w:rPr>
          <w:rFonts w:hint="eastAsia" w:ascii="宋体" w:hAnsi="宋体" w:cs="宋体"/>
          <w:b/>
          <w:bCs/>
          <w:szCs w:val="24"/>
        </w:rPr>
        <w:br w:type="page"/>
      </w:r>
    </w:p>
    <w:p w14:paraId="2EED2F90">
      <w:pPr>
        <w:spacing w:line="520" w:lineRule="exact"/>
        <w:outlineLvl w:val="0"/>
        <w:rPr>
          <w:rFonts w:ascii="Cambria" w:hAnsi="Cambria"/>
          <w:b/>
          <w:bCs/>
          <w:color w:val="000000" w:themeColor="text1"/>
          <w:sz w:val="30"/>
          <w:szCs w:val="30"/>
          <w14:textFill>
            <w14:solidFill>
              <w14:schemeClr w14:val="tx1"/>
            </w14:solidFill>
          </w14:textFill>
        </w:rPr>
      </w:pPr>
      <w:bookmarkStart w:id="1252" w:name="_Toc12708"/>
      <w:bookmarkStart w:id="1253" w:name="_Toc2294"/>
      <w:bookmarkStart w:id="1254" w:name="_Toc3737"/>
      <w:r>
        <w:rPr>
          <w:rFonts w:hint="eastAsia" w:ascii="Cambria" w:hAnsi="Cambria"/>
          <w:b/>
          <w:bCs/>
          <w:color w:val="000000" w:themeColor="text1"/>
          <w:sz w:val="30"/>
          <w:szCs w:val="30"/>
          <w14:textFill>
            <w14:solidFill>
              <w14:schemeClr w14:val="tx1"/>
            </w14:solidFill>
          </w14:textFill>
        </w:rPr>
        <w:t>附件1</w:t>
      </w:r>
      <w:bookmarkStart w:id="1255" w:name="_Toc132053721"/>
      <w:r>
        <w:rPr>
          <w:rFonts w:hint="eastAsia" w:ascii="Cambria" w:hAnsi="Cambria"/>
          <w:b/>
          <w:bCs/>
          <w:color w:val="000000" w:themeColor="text1"/>
          <w:sz w:val="30"/>
          <w:szCs w:val="30"/>
          <w14:textFill>
            <w14:solidFill>
              <w14:schemeClr w14:val="tx1"/>
            </w14:solidFill>
          </w14:textFill>
        </w:rPr>
        <w:t>4  农民工工资委托支付协议</w:t>
      </w:r>
      <w:bookmarkEnd w:id="1252"/>
      <w:bookmarkEnd w:id="1253"/>
    </w:p>
    <w:bookmarkEnd w:id="1254"/>
    <w:bookmarkEnd w:id="1255"/>
    <w:p w14:paraId="03D52920">
      <w:pPr>
        <w:keepNext/>
        <w:keepLines/>
        <w:spacing w:before="120" w:beforeLines="50" w:after="120" w:afterLines="50" w:line="480" w:lineRule="exact"/>
        <w:jc w:val="center"/>
        <w:rPr>
          <w:rFonts w:ascii="仿宋" w:hAnsi="仿宋" w:eastAsia="仿宋"/>
          <w:b/>
          <w:bCs/>
          <w:sz w:val="32"/>
          <w:szCs w:val="28"/>
        </w:rPr>
      </w:pPr>
      <w:bookmarkStart w:id="1256" w:name="_Toc6521"/>
      <w:bookmarkStart w:id="1257" w:name="_Hlk117691612"/>
      <w:r>
        <w:rPr>
          <w:rFonts w:hint="eastAsia" w:ascii="仿宋" w:hAnsi="仿宋" w:eastAsia="仿宋"/>
          <w:b/>
          <w:bCs/>
          <w:sz w:val="32"/>
          <w:szCs w:val="28"/>
        </w:rPr>
        <w:t>农民工工资委托支付协议</w:t>
      </w:r>
    </w:p>
    <w:p w14:paraId="4DA1CEF5">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6F9B41D9">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3FD5A43A">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为保障工程建设顺利实施，保障农民工合法权益，现甲乙双方根据国家对农民工工资专项支付的相关要求，在公平公正、友好协商的基础上，就【           】项目农民工工资委托支付事宜签订本协议。</w:t>
      </w:r>
    </w:p>
    <w:p w14:paraId="56FDCDD6">
      <w:pPr>
        <w:spacing w:line="48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1.实名登记与考勤管理</w:t>
      </w:r>
    </w:p>
    <w:p w14:paraId="0D05490C">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1.1 甲方委派【           】为本工程劳资专管员（劳务管理员），全面负责劳务实名制工资管理。</w:t>
      </w:r>
    </w:p>
    <w:p w14:paraId="1AAD240A">
      <w:pPr>
        <w:spacing w:line="480" w:lineRule="exact"/>
        <w:ind w:firstLine="1120" w:firstLineChars="400"/>
        <w:rPr>
          <w:rFonts w:ascii="仿宋_GB2312" w:hAnsi="宋体" w:eastAsia="仿宋_GB2312" w:cs="宋体"/>
          <w:sz w:val="28"/>
          <w:szCs w:val="28"/>
        </w:rPr>
      </w:pPr>
      <w:r>
        <w:rPr>
          <w:rFonts w:hint="eastAsia" w:ascii="仿宋_GB2312" w:hAnsi="宋体" w:eastAsia="仿宋_GB2312" w:cs="宋体"/>
          <w:sz w:val="28"/>
          <w:szCs w:val="28"/>
        </w:rPr>
        <w:t>乙方委派【           】（须与原合同授权委托书中</w:t>
      </w:r>
      <w:r>
        <w:rPr>
          <w:rFonts w:hint="eastAsia" w:ascii="仿宋_GB2312" w:hAnsi="宋体" w:eastAsia="仿宋_GB2312" w:cs="宋体"/>
          <w:b/>
          <w:bCs/>
          <w:sz w:val="28"/>
          <w:szCs w:val="28"/>
        </w:rPr>
        <w:t>受委托人</w:t>
      </w:r>
      <w:r>
        <w:rPr>
          <w:rFonts w:hint="eastAsia" w:ascii="仿宋_GB2312" w:hAnsi="宋体" w:eastAsia="仿宋_GB2312" w:cs="宋体"/>
          <w:sz w:val="28"/>
          <w:szCs w:val="28"/>
        </w:rPr>
        <w:t>保持一致）（身份证号【           】）为本工程项目劳资管理负责人，负责乙方农民工进退场信息登记、日常考勤、工资发放等劳务实名制工资管理工作。</w:t>
      </w:r>
    </w:p>
    <w:p w14:paraId="40C6F2BF">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1.2 乙方应向甲方提供如下资料并确保其真实性：农民工花名册、身份证原件及其复印件、工资卡信息（开户行和卡号）、合法劳动用工合同（或加盖乙方公章的复印件）、操作证件等资料。由甲方项目劳资专管员（劳务管理员）逐一核实、登记、建立基础信息，并办理进入施工现场的门禁（考勤）卡。</w:t>
      </w:r>
    </w:p>
    <w:p w14:paraId="4BB303E7">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1.3乙方须对进入工程施工现场的农民工进行登记造册，注明工种、所在班组、工资标准等，并及时报甲方审核。</w:t>
      </w:r>
    </w:p>
    <w:p w14:paraId="20B5E8DC">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1.4 甲方应根据施工现场实际需要配备考勤刷卡系统。乙方需指派管理人员督导农民工刷卡（考勤）进出施工现场，并及时确认当期（月）考勤记录。由乙方项目劳资管理负责人对出勤统计确认，并经甲、乙双方会签，视为当日农民工出勤。乙方不确认或者延迟确认的，以考勤系统数据为准，乙方对此无异议。</w:t>
      </w:r>
    </w:p>
    <w:p w14:paraId="68D94D02">
      <w:pPr>
        <w:spacing w:line="48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2.农民工工资发放管理</w:t>
      </w:r>
    </w:p>
    <w:p w14:paraId="33714460">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2.1 乙方委托甲方通过《【           】项目农民工工资专用账户》代发农民工工资，承诺每月【  】日按时将上月施工班组及农民工本人签字确认（捺指印）的农民工工资清单报甲方项目部审核，农民工实名登记、工资金额、农民工个人银行卡申请资料等信息真实性、完整性、有效性由乙方负责。</w:t>
      </w:r>
    </w:p>
    <w:p w14:paraId="19045D32">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2.2甲方农民工工资专用账户信息：以甲方财务部门发布的账户信息为准。</w:t>
      </w:r>
    </w:p>
    <w:p w14:paraId="2B308657">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2.3 每月【  】日前，乙方须按劳动合同及相关约定，对照考勤记录，核算当期农民工工资（税后工资），并汇总造册，在农民工本人签字捺指印确认并由乙方项目劳资管理负责人签字并加盖公章后，提交甲方作为农民工工资发放依据。</w:t>
      </w:r>
    </w:p>
    <w:p w14:paraId="3E7A0060">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2.4甲方根据本协议2.3条中乙方提供的农民工工资表计算出当期乙方应付农民工工资总额，乙方委托甲方通过项目农民工工资专用账户逐一向每名农民工的银行卡支付工资，乙方对此无异议。</w:t>
      </w:r>
    </w:p>
    <w:p w14:paraId="77AADD91">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如2.3条中所列当期农民工工资高于甲方当期应付款，甲方以当期应付款为限，不足部分由乙方支付，另有约定的按书面确认后的约定执行（应加盖甲方单位公章，仅由甲方人员签字、加盖甲方项目印章的对甲方不发生效力）。</w:t>
      </w:r>
    </w:p>
    <w:p w14:paraId="4216425F">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当乙方与农民工有协议先支付一定比例的部分工资，最后按节点工期一次性结算时，乙方应将双方确认的书面协议，提交一份至甲方备案，甲方将以此为依据，按照双方确认的工资表和协商比例支付农民工工资。</w:t>
      </w:r>
    </w:p>
    <w:p w14:paraId="6B9AD164">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2.5 甲方对支付的每笔工资，都要留存支付记录，并将支付信息传送给乙方核实。当期农民工工资发放结束后【 </w:t>
      </w:r>
      <w:r>
        <w:rPr>
          <w:rFonts w:ascii="仿宋_GB2312" w:hAnsi="宋体" w:eastAsia="仿宋_GB2312" w:cs="宋体"/>
          <w:sz w:val="28"/>
          <w:szCs w:val="28"/>
        </w:rPr>
        <w:t xml:space="preserve"> </w:t>
      </w:r>
      <w:r>
        <w:rPr>
          <w:rFonts w:hint="eastAsia" w:ascii="仿宋_GB2312" w:hAnsi="宋体" w:eastAsia="仿宋_GB2312" w:cs="宋体"/>
          <w:sz w:val="28"/>
          <w:szCs w:val="28"/>
        </w:rPr>
        <w:t>】天内，由乙方向甲方提供所有农民工工资全部发放完毕的确认书。逾期不确认，视为乙方默认当期农民工工资全部发放完毕，乙方无异议。</w:t>
      </w:r>
    </w:p>
    <w:p w14:paraId="4C411C24">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2.6 甲方支付到农民工个人银行账户，即视为乙方已收到相应款项，甲乙双方进行工程结算时，乙方应无条件予以认可。所支付的农民工工资从乙方每月工程进度款中扣除，并视为已向乙方支付相应工程款。</w:t>
      </w:r>
    </w:p>
    <w:p w14:paraId="7AFEE53A">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2.7 乙方承担其农民工工人相关税费（包括但不限于个人所得税、五险一金等）的代扣代缴义务，具体缴纳方式由乙方与农民工工人协商确定，由此引发的纠纷与甲方无关。</w:t>
      </w:r>
    </w:p>
    <w:p w14:paraId="3C984B9D">
      <w:pPr>
        <w:spacing w:line="480" w:lineRule="exact"/>
        <w:ind w:firstLine="560" w:firstLineChars="200"/>
        <w:rPr>
          <w:rFonts w:ascii="仿宋_GB2312" w:hAnsi="宋体" w:eastAsia="仿宋_GB2312" w:cs="宋体"/>
          <w:b/>
          <w:bCs/>
          <w:sz w:val="28"/>
          <w:szCs w:val="28"/>
        </w:rPr>
      </w:pPr>
      <w:r>
        <w:rPr>
          <w:rFonts w:hint="eastAsia" w:ascii="仿宋_GB2312" w:hAnsi="宋体" w:eastAsia="仿宋_GB2312" w:cs="宋体"/>
          <w:sz w:val="28"/>
          <w:szCs w:val="28"/>
        </w:rPr>
        <w:t>2.8乙方农民工工人退场应及时到甲方办理退场手续，在退还门禁卡和领用物资、结算当期工资等手续后方可退场。乙方应督促农民工办理退场手续。</w:t>
      </w:r>
    </w:p>
    <w:p w14:paraId="7D957869">
      <w:pPr>
        <w:spacing w:line="48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3.违约责任</w:t>
      </w:r>
    </w:p>
    <w:p w14:paraId="0B40B6DB">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3.1 甲方未按照乙方项目劳资管理负责人确认盖章后的农民工工资表进行及时支付，由相关部门按规定进行处罚。</w:t>
      </w:r>
    </w:p>
    <w:p w14:paraId="47F91C59">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3.2 乙方须积极按本委托协议的约定，做好劳务用工合同签订、农民工信息收集更新、工资计量等工作，并对以上信息的真实完整性负责。因乙方伪造出勤信息、提供虚假身份信息套取、高估冒算农民工工资的，一经核实，乙方需按高估冒算部分金额的两倍向甲方承担违约金，该违约金从乙方剩余工程款中扣除，且该违约金不需经乙方同意或确认。</w:t>
      </w:r>
    </w:p>
    <w:p w14:paraId="313FDEAA">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3.3 因乙方给甲方提供的资料不准确导致甲方代发工资超过或小于实际应代发工资，产生的相应后果由乙方承担。</w:t>
      </w:r>
    </w:p>
    <w:p w14:paraId="074A4C77">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3.4 因乙方不服从实名制管理致使农民工工人登记、考勤遗漏，导致农民工工资无法通过农民工工资专用账户发放，由乙方补发工资，产生的后果由乙方承担。</w:t>
      </w:r>
    </w:p>
    <w:p w14:paraId="7A800278">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3.5 甲方依照本协议约定支付农民工工资后，若乙方与农民工因工资问题发生争议的，乙方应积极妥善处理，甲方有权敦促乙方及时解决相关问题，但不承担任何责任。</w:t>
      </w:r>
    </w:p>
    <w:p w14:paraId="0471F40B">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3.6 乙方应赔偿因此给甲方造成的损失（包括但不限于罚款、利息、律师费、诉讼费、甲方为处理相关事宜支出的合理费用等）。</w:t>
      </w:r>
    </w:p>
    <w:p w14:paraId="242DC30B">
      <w:pPr>
        <w:spacing w:line="48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4.其他</w:t>
      </w:r>
    </w:p>
    <w:p w14:paraId="40EF10EA">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4.1 乙方须积极配合执行甲方及甲方上级单位制定的关于推动劳务实名制工资管理的各项制度和办法。</w:t>
      </w:r>
    </w:p>
    <w:p w14:paraId="5C62C0B6">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4.2甲乙双方对本协议及相关文件均负有保密责任，任何一方或其雇员或代理人获得的本协议及本协议所有资料和文件，未经甲方事先书面同意，不得对外透露或公开，并承诺在本协议终止后仍然有效。</w:t>
      </w:r>
    </w:p>
    <w:p w14:paraId="4385E019">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本农民工工资委托支付协议作为分包合同的附件，具有同等法律效力，与合同同日生效。</w:t>
      </w:r>
    </w:p>
    <w:p w14:paraId="56924CE9">
      <w:pPr>
        <w:widowControl/>
        <w:spacing w:line="240" w:lineRule="auto"/>
        <w:jc w:val="left"/>
        <w:rPr>
          <w:rFonts w:ascii="仿宋_GB2312" w:hAnsi="宋体" w:eastAsia="仿宋_GB2312" w:cs="宋体"/>
          <w:sz w:val="28"/>
          <w:szCs w:val="28"/>
        </w:rPr>
      </w:pPr>
      <w:r>
        <w:rPr>
          <w:rFonts w:ascii="仿宋_GB2312" w:hAnsi="宋体" w:eastAsia="仿宋_GB2312" w:cs="宋体"/>
          <w:sz w:val="28"/>
          <w:szCs w:val="28"/>
        </w:rPr>
        <w:br w:type="page"/>
      </w:r>
    </w:p>
    <w:p w14:paraId="2FDA94C6">
      <w:pPr>
        <w:spacing w:line="520" w:lineRule="exact"/>
        <w:outlineLvl w:val="0"/>
        <w:rPr>
          <w:rFonts w:ascii="Cambria" w:hAnsi="Cambria"/>
          <w:b/>
          <w:bCs/>
          <w:color w:val="000000" w:themeColor="text1"/>
          <w:sz w:val="30"/>
          <w:szCs w:val="30"/>
          <w14:textFill>
            <w14:solidFill>
              <w14:schemeClr w14:val="tx1"/>
            </w14:solidFill>
          </w14:textFill>
        </w:rPr>
      </w:pPr>
      <w:bookmarkStart w:id="1258" w:name="_Toc14478"/>
      <w:bookmarkStart w:id="1259" w:name="_Toc20691"/>
      <w:r>
        <w:rPr>
          <w:rFonts w:hint="eastAsia" w:ascii="Cambria" w:hAnsi="Cambria"/>
          <w:b/>
          <w:bCs/>
          <w:color w:val="000000" w:themeColor="text1"/>
          <w:sz w:val="30"/>
          <w:szCs w:val="30"/>
          <w14:textFill>
            <w14:solidFill>
              <w14:schemeClr w14:val="tx1"/>
            </w14:solidFill>
          </w14:textFill>
        </w:rPr>
        <w:t>附件1</w:t>
      </w:r>
      <w:bookmarkStart w:id="1260" w:name="_Toc132053722"/>
      <w:r>
        <w:rPr>
          <w:rFonts w:hint="eastAsia" w:ascii="Cambria" w:hAnsi="Cambria"/>
          <w:b/>
          <w:bCs/>
          <w:color w:val="000000" w:themeColor="text1"/>
          <w:sz w:val="30"/>
          <w:szCs w:val="30"/>
          <w14:textFill>
            <w14:solidFill>
              <w14:schemeClr w14:val="tx1"/>
            </w14:solidFill>
          </w14:textFill>
        </w:rPr>
        <w:t>5  施工现场消防安全管理协议</w:t>
      </w:r>
      <w:bookmarkEnd w:id="1258"/>
      <w:bookmarkEnd w:id="1259"/>
    </w:p>
    <w:p w14:paraId="58C1AB47">
      <w:pPr>
        <w:keepNext/>
        <w:keepLines/>
        <w:spacing w:before="120" w:beforeLines="50" w:after="120" w:afterLines="50" w:line="480" w:lineRule="exact"/>
        <w:jc w:val="center"/>
        <w:rPr>
          <w:rFonts w:ascii="仿宋" w:hAnsi="仿宋" w:eastAsia="仿宋"/>
          <w:b/>
          <w:bCs/>
          <w:sz w:val="32"/>
          <w:szCs w:val="28"/>
        </w:rPr>
      </w:pPr>
      <w:r>
        <w:rPr>
          <w:rFonts w:hint="eastAsia" w:ascii="仿宋" w:hAnsi="仿宋" w:eastAsia="仿宋"/>
          <w:b/>
          <w:bCs/>
          <w:sz w:val="32"/>
          <w:szCs w:val="28"/>
        </w:rPr>
        <w:t>施工现场消防安全管理协议</w:t>
      </w:r>
      <w:bookmarkEnd w:id="1256"/>
      <w:bookmarkEnd w:id="1260"/>
    </w:p>
    <w:p w14:paraId="6E5E8687">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59F491A8">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58C3FA1B">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为了加强和规范施工现场消防安全管理，落实逐级消防安全责任制，依据《中华人民共和国消防法》《机关、团体、企业、事业单位消防安全管理规定》（公安部令第61号）等法律、法规，本着“谁主管，谁负责”的原则，就【           】工程消防安全管理等签订本协议书，双方应严格遵守和执行本协议书规定的权利、责任和义务，确保施工现场的消防安全。</w:t>
      </w:r>
    </w:p>
    <w:p w14:paraId="698FB0F6">
      <w:pPr>
        <w:autoSpaceDE w:val="0"/>
        <w:autoSpaceDN w:val="0"/>
        <w:adjustRightInd w:val="0"/>
        <w:snapToGrid w:val="0"/>
        <w:spacing w:line="480" w:lineRule="exact"/>
        <w:ind w:firstLine="562" w:firstLineChars="20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一、甲方的权利、责任和义务</w:t>
      </w:r>
    </w:p>
    <w:p w14:paraId="2F2AE53B">
      <w:pPr>
        <w:tabs>
          <w:tab w:val="left" w:pos="312"/>
        </w:tabs>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1.贯彻落实国家消防安全法规和总包的消防安全管理制度，总包单位对施工现场、生活区的消防安全负总责，对施工现场、生活区的消防安全进行全面管理、监督、检查和指导。</w:t>
      </w:r>
    </w:p>
    <w:p w14:paraId="3E945B35">
      <w:pPr>
        <w:tabs>
          <w:tab w:val="left" w:pos="312"/>
        </w:tabs>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运用多种形式开展经常性的消防安全宣传教育，对现场所有人员每年至少进行一次消防安全培训，并有培训记录和登记；对采用新工艺、新技术、新材料或者使用新设备有火灾危险的，要对从业人员进行专门的消防安全教育和培训；对不接受培训、教育、考核或考核不合格以及经审查有其他不符合规定要求的人员，有权拒绝其进入施工现场或清退出现场。</w:t>
      </w:r>
    </w:p>
    <w:p w14:paraId="4AE17665">
      <w:pPr>
        <w:tabs>
          <w:tab w:val="left" w:pos="312"/>
        </w:tabs>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建立健全各项消防安全管理制度和操作规程，并督促落实。明确逐级和岗位消防安全职责，确定现场各栋号、分包、外包单位和各职能部门、各工种和各区域、层段等各级别和岗位的消防安全责任人；建立健全施工现场各级消防安全组织机构和义务消防队组织；对重点工种人员如电气焊人员、防水作业人员进行登记，建立档案。</w:t>
      </w:r>
    </w:p>
    <w:p w14:paraId="44BFFF91">
      <w:pPr>
        <w:tabs>
          <w:tab w:val="left" w:pos="312"/>
        </w:tabs>
        <w:autoSpaceDE w:val="0"/>
        <w:autoSpaceDN w:val="0"/>
        <w:adjustRightInd w:val="0"/>
        <w:snapToGrid w:val="0"/>
        <w:spacing w:line="480" w:lineRule="exact"/>
        <w:ind w:firstLine="560" w:firstLineChars="200"/>
        <w:rPr>
          <w:rFonts w:ascii="仿宋_GB2312" w:hAnsi="宋体" w:eastAsia="仿宋_GB2312" w:cs="宋体"/>
          <w:strike/>
          <w:kern w:val="0"/>
          <w:sz w:val="28"/>
          <w:szCs w:val="28"/>
        </w:rPr>
      </w:pPr>
      <w:r>
        <w:rPr>
          <w:rFonts w:hint="eastAsia" w:ascii="仿宋_GB2312" w:hAnsi="宋体" w:eastAsia="仿宋_GB2312" w:cs="宋体"/>
          <w:kern w:val="0"/>
          <w:sz w:val="28"/>
          <w:szCs w:val="28"/>
        </w:rPr>
        <w:t>4.严格落实有关运用明火的管理制度，做到“四不动火”。施工现场动用明火，应当按照规定事先办理审批手续；用火操作前，须对乙方电气焊工作业人员以班组或分包为单位进行用火操作交底，对乙方填写的《动火作业审批表及动火证》，由甲方项目主管负责人审批签字，并开具当天动火证。开具动火证人员必须符合甲方公司管理手册要求，其他人员代理应有书面委托；开具动火证时应严格把关，根据施工情况提出有针对性的防火措施。高层、外檐和孔洞周围作业，必须要求乙方和有关作业人员配备接挡工具，并在动火证上注明具体要求和措施。</w:t>
      </w:r>
    </w:p>
    <w:p w14:paraId="6C80B240">
      <w:pPr>
        <w:tabs>
          <w:tab w:val="left" w:pos="312"/>
        </w:tabs>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负责对乙方在施工现场、生活区的用火、用电、使用易燃易爆化学危险物品、防水作业及材料存储进行审查、批准和监督、检查。做到工程内不设置宿舍和住人，不做仓库使用和存放易燃易爆化学危险物品可燃材料；对违章指挥、违规操作等违章、违纪行为进行制止、纠正，并按有关规定进行处理。</w:t>
      </w:r>
    </w:p>
    <w:p w14:paraId="78B1CF87">
      <w:pPr>
        <w:tabs>
          <w:tab w:val="left" w:pos="312"/>
        </w:tabs>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6.负责在施工现场、生活区、办公区内，按有关规定设置、配备相应的消防设施和灭火器材，设置消防应急疏散通道和指示标志；制定整体的灭火和应急疏散预案，并至少每半年进行一次演练。</w:t>
      </w:r>
    </w:p>
    <w:p w14:paraId="0EF6458C">
      <w:pPr>
        <w:tabs>
          <w:tab w:val="left" w:pos="312"/>
        </w:tabs>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7.定期召开施工现场安全会议，组织防火检查，督促落实火灾隐患整改；有针对性地部署做好施工各阶段的防火工作；协调和处理本施工现场的有关消防安全问题。</w:t>
      </w:r>
    </w:p>
    <w:p w14:paraId="4A7CDD3A">
      <w:pPr>
        <w:tabs>
          <w:tab w:val="left" w:pos="312"/>
        </w:tabs>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8.发生火灾，应及时报警、迅速组织扑救和人员疏散。紧急情况下甲方有权调用乙方的相关人员及物资。</w:t>
      </w:r>
    </w:p>
    <w:p w14:paraId="7370E8C0">
      <w:pPr>
        <w:tabs>
          <w:tab w:val="left" w:pos="312"/>
        </w:tabs>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9.积极配合各级消防监督检查机关进行消防安全检查，参与对火灾事故的调查、处理。</w:t>
      </w:r>
    </w:p>
    <w:p w14:paraId="3EEA9423">
      <w:pPr>
        <w:tabs>
          <w:tab w:val="left" w:pos="312"/>
        </w:tabs>
        <w:autoSpaceDE w:val="0"/>
        <w:autoSpaceDN w:val="0"/>
        <w:adjustRightInd w:val="0"/>
        <w:snapToGrid w:val="0"/>
        <w:spacing w:line="480" w:lineRule="exact"/>
        <w:ind w:left="422"/>
        <w:rPr>
          <w:rFonts w:ascii="仿宋_GB2312" w:hAnsi="宋体" w:eastAsia="仿宋_GB2312" w:cs="宋体"/>
          <w:kern w:val="0"/>
          <w:sz w:val="28"/>
          <w:szCs w:val="28"/>
        </w:rPr>
      </w:pPr>
      <w:r>
        <w:rPr>
          <w:rFonts w:hint="eastAsia" w:ascii="仿宋_GB2312" w:hAnsi="宋体" w:eastAsia="仿宋_GB2312" w:cs="宋体"/>
          <w:b/>
          <w:bCs/>
          <w:kern w:val="0"/>
          <w:sz w:val="28"/>
          <w:szCs w:val="28"/>
        </w:rPr>
        <w:t>二、乙方的权利、责任和义务</w:t>
      </w:r>
    </w:p>
    <w:p w14:paraId="252B137C">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1.贯彻落实各级政府及相关部门有关施工现场消防安全的法规和总包的消防安全管理制度，对所属施工区域、生活区宿舍、办公区的消防安全管理负全面责任。</w:t>
      </w:r>
    </w:p>
    <w:p w14:paraId="39D32A44">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负责建立健全本单位的防火组织，明确消防安全责任人、消防安全管理人、义务消防队伍。负责在施工现场内，按有关规定设置、配备相应的消防设施和灭火器材，设置消防应急疏散通道和指示标志；按照甲方的要求提供施工人员花名册及特殊工种的证件复印件及有关资料，在本施工区域内，尤其是重点部位按规定配备相应的灭火器材，并保证灵敏有效。</w:t>
      </w:r>
    </w:p>
    <w:p w14:paraId="3B113A51">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电气焊等特种作业人员必须持证上岗。用火操作前，必须到甲方用火审批部门办理动火证，不得由他人代理。在操作中应确保高层、外檐和孔洞周围作业对电气焊割产生的火花、焊渣有接挡和封堵措施，并避免与易燃危险性作业同时交叉进行；要清除周围易燃可燃物，配备灭火器材、灭火用水，设专人看火监护。禁止非焊工进行电气焊操作。</w:t>
      </w:r>
    </w:p>
    <w:p w14:paraId="570BDFE7">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负责对本单位在施人员进行消防法规、制度、操作规程和施工现场火灾危险性教育；进行报火警、扑救初起火灾和自救逃生知识、技能教育。对施工现场采用的新工艺、新技术、新材料或使用的新设备必须了解、掌握其安全消防技术特性，经培训教育后方可上岗作业。在消防安全教育或安全活动中，可要求甲方提供帮助。</w:t>
      </w:r>
    </w:p>
    <w:p w14:paraId="45893EBA">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工程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严禁使用“热得快”、电饭锅、电褥子等大功率电热器具。乙方使用或存储易燃易爆化学危险品，应向甲方有关部门提出申请，经甲方批准和登记，并有可靠的防火安全措施后才准许使用和存储。</w:t>
      </w:r>
    </w:p>
    <w:p w14:paraId="4ADDD5AB">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6.负责所在施工区域及所属生活区宿舍内的消防安全管理，制定消防应急预案，保证所施工区域内的消防设施、器材等配置到位、完好无损、灵敏有效，确保消防应急通道畅通，并有权拒绝甲方违反消防安全法规的指令。</w:t>
      </w:r>
    </w:p>
    <w:p w14:paraId="40ED73A9">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7.落实日检及周检要求，进行自我防火安全检查，及时制止、纠正各种违章用火、用电和违章操作行为，在防火安全检查中发现的消防隐患及问题，应及时整改或采取必要的安全措施，并及时通报甲方有关部门共同协商解决，消除消防隐患。</w:t>
      </w:r>
    </w:p>
    <w:p w14:paraId="60813768">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8.积极配合、服从各级消防机关、部门及甲方消防安全监督、检查和管理，对于查出的防火安全问题及时进行整改，并将整改情况书面报甲方备案。</w:t>
      </w:r>
    </w:p>
    <w:p w14:paraId="697AEEA2">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9.发生火灾事故，立即向甲方报告，并迅速组织扑救，事后积极协助有关部门进行调查，迟报或隐瞒不报造成严重后果的，要承担相应责任。</w:t>
      </w:r>
    </w:p>
    <w:p w14:paraId="6ADA5DC7">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10.因乙方责任造成火灾事故，导致甲方或第三方人身伤亡和经济损失的，乙方承担全部经济损失和法律责任。</w:t>
      </w:r>
    </w:p>
    <w:p w14:paraId="4BE8E479">
      <w:pPr>
        <w:autoSpaceDE w:val="0"/>
        <w:autoSpaceDN w:val="0"/>
        <w:adjustRightInd w:val="0"/>
        <w:snapToGrid w:val="0"/>
        <w:spacing w:line="48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三、补充条款</w:t>
      </w:r>
    </w:p>
    <w:p w14:paraId="03DD69D2">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补充条款如下：</w:t>
      </w:r>
    </w:p>
    <w:p w14:paraId="25E29594">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乙方认真执行甲方项目部的消防要求，如有违反规定的按甲方安全奖罚制度处罚。</w:t>
      </w:r>
    </w:p>
    <w:p w14:paraId="11F77458">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本协议作为合同一部分，自合同签订之日起生效，到退场协议终止。</w:t>
      </w:r>
    </w:p>
    <w:p w14:paraId="4B5BB838">
      <w:pPr>
        <w:widowControl/>
        <w:spacing w:line="240" w:lineRule="auto"/>
        <w:jc w:val="left"/>
        <w:rPr>
          <w:rFonts w:ascii="宋体" w:hAnsi="宋体" w:cs="宋体"/>
          <w:sz w:val="21"/>
          <w:szCs w:val="21"/>
        </w:rPr>
      </w:pPr>
      <w:r>
        <w:rPr>
          <w:rFonts w:ascii="宋体" w:hAnsi="宋体" w:cs="宋体"/>
          <w:sz w:val="21"/>
          <w:szCs w:val="21"/>
        </w:rPr>
        <w:br w:type="page"/>
      </w:r>
    </w:p>
    <w:p w14:paraId="1AFCA728">
      <w:pPr>
        <w:spacing w:line="520" w:lineRule="exact"/>
        <w:outlineLvl w:val="0"/>
        <w:rPr>
          <w:rFonts w:ascii="Cambria" w:hAnsi="Cambria"/>
          <w:b/>
          <w:bCs/>
          <w:color w:val="000000" w:themeColor="text1"/>
          <w:sz w:val="30"/>
          <w:szCs w:val="30"/>
          <w14:textFill>
            <w14:solidFill>
              <w14:schemeClr w14:val="tx1"/>
            </w14:solidFill>
          </w14:textFill>
        </w:rPr>
      </w:pPr>
      <w:bookmarkStart w:id="1261" w:name="_Toc8334"/>
      <w:bookmarkStart w:id="1262" w:name="_Toc29442"/>
      <w:bookmarkStart w:id="1263" w:name="_Toc3351"/>
      <w:bookmarkStart w:id="1264" w:name="_Toc132053723"/>
      <w:r>
        <w:rPr>
          <w:rFonts w:hint="eastAsia" w:ascii="Cambria" w:hAnsi="Cambria"/>
          <w:b/>
          <w:bCs/>
          <w:color w:val="000000" w:themeColor="text1"/>
          <w:sz w:val="30"/>
          <w:szCs w:val="30"/>
          <w14:textFill>
            <w14:solidFill>
              <w14:schemeClr w14:val="tx1"/>
            </w14:solidFill>
          </w14:textFill>
        </w:rPr>
        <w:t>附件16  施工现场临时用电安全管理协议</w:t>
      </w:r>
      <w:bookmarkEnd w:id="1261"/>
      <w:bookmarkEnd w:id="1262"/>
    </w:p>
    <w:p w14:paraId="58F7E74D">
      <w:pPr>
        <w:keepNext/>
        <w:keepLines/>
        <w:spacing w:before="120" w:beforeLines="50" w:after="120" w:afterLines="50" w:line="480" w:lineRule="exact"/>
        <w:jc w:val="center"/>
        <w:rPr>
          <w:rFonts w:ascii="仿宋" w:hAnsi="仿宋" w:eastAsia="仿宋"/>
          <w:b/>
          <w:bCs/>
          <w:sz w:val="32"/>
          <w:szCs w:val="28"/>
        </w:rPr>
      </w:pPr>
      <w:r>
        <w:rPr>
          <w:rFonts w:hint="eastAsia" w:ascii="仿宋" w:hAnsi="仿宋" w:eastAsia="仿宋"/>
          <w:b/>
          <w:bCs/>
          <w:sz w:val="32"/>
          <w:szCs w:val="28"/>
        </w:rPr>
        <w:t>施工现场临时用电安全管理协议</w:t>
      </w:r>
      <w:bookmarkEnd w:id="1263"/>
      <w:bookmarkEnd w:id="1264"/>
    </w:p>
    <w:p w14:paraId="3782B169">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354509E0">
      <w:pPr>
        <w:spacing w:line="480" w:lineRule="exact"/>
        <w:ind w:firstLine="562"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2C642666">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为了确保施工现场临时用电安全，防止触电事故的发生，依据《中华人民共和国安全生产法》《建设工程安全生产管理条例》《建设工程施工现场供用电安全规范》（GB50194-2014）、《施工现场临时用电安全技术规范》（JGJ46—2005）、《建筑施工安全检查标准》（JGJ59—2011）等有关规定，就【 </w:t>
      </w:r>
      <w:r>
        <w:rPr>
          <w:rFonts w:ascii="仿宋_GB2312" w:hAnsi="宋体" w:eastAsia="仿宋_GB2312" w:cs="宋体"/>
          <w:sz w:val="28"/>
          <w:szCs w:val="28"/>
        </w:rPr>
        <w:t xml:space="preserve">       </w:t>
      </w:r>
      <w:r>
        <w:rPr>
          <w:rFonts w:hint="eastAsia" w:ascii="仿宋_GB2312" w:hAnsi="宋体" w:eastAsia="仿宋_GB2312" w:cs="宋体"/>
          <w:sz w:val="28"/>
          <w:szCs w:val="28"/>
        </w:rPr>
        <w:t>】工程施工现场临时用电安全制定本协议书。甲方和乙方应当按照各自职责，对临时用电进行监督管理，严格遵守本协议书规定的权利、责任和义务，保障施工现场临时用电安全。</w:t>
      </w:r>
    </w:p>
    <w:p w14:paraId="63C3CB28">
      <w:pPr>
        <w:autoSpaceDE w:val="0"/>
        <w:autoSpaceDN w:val="0"/>
        <w:adjustRightInd w:val="0"/>
        <w:snapToGrid w:val="0"/>
        <w:spacing w:line="480" w:lineRule="exact"/>
        <w:ind w:firstLine="562" w:firstLineChars="20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一、甲方的权利、责任和义务</w:t>
      </w:r>
    </w:p>
    <w:p w14:paraId="1ECEB122">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1.贯彻落实国家施工现场临时用电的有关规定。负责对施工现场临时用电进行全面监督、管理，并对施工现场临时用电进行安全检查和指导。</w:t>
      </w:r>
    </w:p>
    <w:p w14:paraId="7A3E7CAC">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2.审阅乙方临时用电申请，并把乙方临时用电安全技术措施和电气防火措施进行备案。</w:t>
      </w:r>
    </w:p>
    <w:p w14:paraId="116CE61D">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3.负责提供施工电源，并把施工电源送到符合安全标准的二级配电箱。并对乙方的使用情况进行监督检查。</w:t>
      </w:r>
    </w:p>
    <w:p w14:paraId="5D366828">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4.向乙方提供电源时，应与乙方办理交接验收手续。</w:t>
      </w:r>
    </w:p>
    <w:p w14:paraId="52D82DE3">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5.按照有关临时用电标准对乙方的临时用电设备、设施进行监督和检查。发现乙方在临时用电中存在隐患必须责成乙方予以整改，并监督整改落实情况。</w:t>
      </w:r>
    </w:p>
    <w:p w14:paraId="2BC0119B">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6.对乙方特种作业人员的花名册、操作证复印件及培训记录进行存档备案。未经安全生产教育培训和无证人员，不得允许上岗作业。</w:t>
      </w:r>
    </w:p>
    <w:p w14:paraId="628A0BE8">
      <w:pPr>
        <w:autoSpaceDE w:val="0"/>
        <w:autoSpaceDN w:val="0"/>
        <w:adjustRightInd w:val="0"/>
        <w:snapToGrid w:val="0"/>
        <w:spacing w:line="480" w:lineRule="exact"/>
        <w:ind w:firstLine="562" w:firstLineChars="20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二、乙方的权利、责任和义务</w:t>
      </w:r>
    </w:p>
    <w:p w14:paraId="404ED915">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1.严格执行国家施工现场临时用电的有关技术规范和安全操作规程，对施工区域内自行管辖的临时用电负全面管理责任。</w:t>
      </w:r>
    </w:p>
    <w:p w14:paraId="510AB6A3">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2.向甲方提供书面的临时用电申请。设备设施需要增容时，必须重新办理用电申请手续。</w:t>
      </w:r>
    </w:p>
    <w:p w14:paraId="09DAE8B7">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保证二级配电箱以下管辖区域内各种用电设备、设施完好，临时用电设施和器材必须使用正规厂家的合格产品，严禁使用假冒伪劣等不合格产品。加强日常检查与维护保养工作，严禁各种机电设备带病运行，保证临时用电符合有关安全用电标准。</w:t>
      </w:r>
    </w:p>
    <w:p w14:paraId="5CC71A4D">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4.执行临时用电安全技术交底制度，对施工区域内自行管辖的操作人员进行临时用电安全技术交底，避免违章指挥、违章操作和误操作，确保安全用电。</w:t>
      </w:r>
    </w:p>
    <w:p w14:paraId="7C56C336">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14:paraId="267FDDFF">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6.配置满足施工需要的特种作业人员，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14:paraId="1CF4F569">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7.现场发生触电事故时，经主管部门鉴定属于乙方因违反上述协议和违章指挥、违章操作，对提供的电源线路设施未经甲方事先书面同意擅自拆、改、接，不服从甲方管理造成事故的，由乙方负全责。</w:t>
      </w:r>
    </w:p>
    <w:p w14:paraId="2E338783">
      <w:pPr>
        <w:autoSpaceDE w:val="0"/>
        <w:autoSpaceDN w:val="0"/>
        <w:adjustRightInd w:val="0"/>
        <w:snapToGrid w:val="0"/>
        <w:spacing w:line="480" w:lineRule="exact"/>
        <w:ind w:firstLine="562" w:firstLineChars="20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三、争议解决方式</w:t>
      </w:r>
    </w:p>
    <w:p w14:paraId="3FB10097">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当甲、乙双方发生争议时，可以通过甲、乙双方上级主管部门协商解决。</w:t>
      </w:r>
    </w:p>
    <w:p w14:paraId="4156DA0E">
      <w:pPr>
        <w:autoSpaceDE w:val="0"/>
        <w:autoSpaceDN w:val="0"/>
        <w:adjustRightInd w:val="0"/>
        <w:snapToGrid w:val="0"/>
        <w:spacing w:line="480" w:lineRule="exact"/>
        <w:ind w:firstLine="562" w:firstLineChars="20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四、双方有关未尽事宜补充条款</w:t>
      </w:r>
    </w:p>
    <w:p w14:paraId="33ECBBC2">
      <w:pPr>
        <w:autoSpaceDE w:val="0"/>
        <w:autoSpaceDN w:val="0"/>
        <w:adjustRightInd w:val="0"/>
        <w:snapToGri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补充条款如下：乙方所有进入现场配电设备、设施（配电箱、电缆线、电器配件）等，必须报甲方项目部物资部、安全部验收，未经验收合格严禁使用。 </w:t>
      </w:r>
    </w:p>
    <w:p w14:paraId="379FC504">
      <w:pPr>
        <w:autoSpaceDE w:val="0"/>
        <w:autoSpaceDN w:val="0"/>
        <w:adjustRightInd w:val="0"/>
        <w:snapToGrid w:val="0"/>
        <w:spacing w:line="480" w:lineRule="exact"/>
        <w:ind w:firstLine="560" w:firstLineChars="200"/>
        <w:rPr>
          <w:rFonts w:ascii="仿宋_GB2312" w:hAnsi="宋体" w:eastAsia="仿宋_GB2312" w:cs="宋体"/>
          <w:bCs/>
          <w:sz w:val="28"/>
          <w:szCs w:val="28"/>
          <w:u w:val="single"/>
        </w:rPr>
      </w:pPr>
      <w:r>
        <w:rPr>
          <w:rFonts w:hint="eastAsia" w:ascii="仿宋_GB2312" w:hAnsi="宋体" w:eastAsia="仿宋_GB2312" w:cs="宋体"/>
          <w:kern w:val="0"/>
          <w:sz w:val="28"/>
          <w:szCs w:val="28"/>
        </w:rPr>
        <w:t>本协议作为合同一部分，自合同签订之日起生效，到退场协议终止。</w:t>
      </w:r>
      <w:bookmarkEnd w:id="1257"/>
      <w:r>
        <w:rPr>
          <w:rFonts w:ascii="仿宋_GB2312" w:hAnsi="宋体" w:eastAsia="仿宋_GB2312" w:cs="宋体"/>
          <w:bCs/>
          <w:sz w:val="28"/>
          <w:szCs w:val="28"/>
          <w:u w:val="single"/>
        </w:rPr>
        <w:br w:type="page"/>
      </w:r>
    </w:p>
    <w:p w14:paraId="2314A70B">
      <w:pPr>
        <w:spacing w:line="520" w:lineRule="exact"/>
        <w:outlineLvl w:val="0"/>
        <w:rPr>
          <w:rFonts w:ascii="Cambria" w:hAnsi="Cambria"/>
          <w:b/>
          <w:bCs/>
          <w:color w:val="000000" w:themeColor="text1"/>
          <w:sz w:val="30"/>
          <w:szCs w:val="30"/>
          <w14:textFill>
            <w14:solidFill>
              <w14:schemeClr w14:val="tx1"/>
            </w14:solidFill>
          </w14:textFill>
        </w:rPr>
      </w:pPr>
      <w:bookmarkStart w:id="1265" w:name="_Toc22705"/>
      <w:bookmarkStart w:id="1266" w:name="_Toc22631"/>
      <w:bookmarkStart w:id="1267" w:name="_Toc14000"/>
      <w:bookmarkStart w:id="1268" w:name="_Toc132053718"/>
      <w:r>
        <w:rPr>
          <w:rFonts w:hint="eastAsia" w:ascii="Cambria" w:hAnsi="Cambria"/>
          <w:b/>
          <w:bCs/>
          <w:color w:val="000000" w:themeColor="text1"/>
          <w:sz w:val="30"/>
          <w:szCs w:val="30"/>
          <w14:textFill>
            <w14:solidFill>
              <w14:schemeClr w14:val="tx1"/>
            </w14:solidFill>
          </w14:textFill>
        </w:rPr>
        <w:t>附件17  承诺书</w:t>
      </w:r>
      <w:bookmarkEnd w:id="1265"/>
      <w:bookmarkEnd w:id="1266"/>
    </w:p>
    <w:p w14:paraId="13D15E43">
      <w:pPr>
        <w:keepNext/>
        <w:keepLines/>
        <w:spacing w:before="120" w:beforeLines="50" w:after="120" w:afterLines="50" w:line="480" w:lineRule="exact"/>
        <w:jc w:val="center"/>
        <w:rPr>
          <w:rFonts w:ascii="仿宋" w:hAnsi="仿宋" w:eastAsia="仿宋"/>
          <w:b/>
          <w:bCs/>
          <w:sz w:val="32"/>
          <w:szCs w:val="28"/>
        </w:rPr>
      </w:pPr>
      <w:r>
        <w:rPr>
          <w:rFonts w:hint="eastAsia" w:ascii="仿宋" w:hAnsi="仿宋" w:eastAsia="仿宋"/>
          <w:b/>
          <w:bCs/>
          <w:sz w:val="32"/>
          <w:szCs w:val="28"/>
        </w:rPr>
        <w:t>承  诺  书</w:t>
      </w:r>
      <w:bookmarkEnd w:id="1267"/>
      <w:bookmarkEnd w:id="1268"/>
    </w:p>
    <w:p w14:paraId="0879651E">
      <w:pPr>
        <w:spacing w:line="480" w:lineRule="exact"/>
        <w:rPr>
          <w:rFonts w:ascii="仿宋_GB2312" w:hAnsi="宋体" w:eastAsia="仿宋_GB2312" w:cs="宋体"/>
          <w:sz w:val="28"/>
          <w:szCs w:val="28"/>
        </w:rPr>
      </w:pPr>
      <w:r>
        <w:rPr>
          <w:rFonts w:hint="eastAsia" w:ascii="仿宋_GB2312" w:hAnsi="宋体" w:eastAsia="仿宋_GB2312" w:cs="宋体"/>
          <w:sz w:val="28"/>
          <w:szCs w:val="28"/>
        </w:rPr>
        <w:t>【           】：</w:t>
      </w:r>
    </w:p>
    <w:p w14:paraId="5EABC70F">
      <w:pPr>
        <w:autoSpaceDE w:val="0"/>
        <w:autoSpaceDN w:val="0"/>
        <w:adjustRightInd w:val="0"/>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我公司参加贵司【           】工程投标并已中标，为更好地完成合同约定的工作内容，我公司承诺如下：</w:t>
      </w:r>
    </w:p>
    <w:p w14:paraId="2FC2206F">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1.我公司严格执行国家、当地政府部门的法规、政策及总承包单位规章制度，依法进行用工管理，不搞挂靠和接受挂靠，不使用小包工队伍和未培训的社会闲散人员。</w:t>
      </w:r>
    </w:p>
    <w:p w14:paraId="798E88DD">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2.依法与劳动者本人签订书面劳动合同，明确双方的权利和义务，并经双方签字（章）认可，合同文本同时报甲方项目部备案。</w:t>
      </w:r>
    </w:p>
    <w:p w14:paraId="08E04C63">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3.我公司对员工实施实名制管理，做好工人的基本信息采集和考勤工作，并及时报总包项目部。</w:t>
      </w:r>
    </w:p>
    <w:p w14:paraId="6511B33A">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4.我公司使用劳务工人保证做到先培训，后上岗，持证上岗。</w:t>
      </w:r>
    </w:p>
    <w:p w14:paraId="1D86AB7A">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5.按时足额发放工资（包括现场施工工人及劳务用工、农民工等所有用工，以下均简称“员工工资”），不管在任何情况下，决不拖欠员工工资，每次发放员工工资经员工本人签字。</w:t>
      </w:r>
    </w:p>
    <w:p w14:paraId="49725DEB">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6.接受贵司的监督与管理。执行贵司对用工和员工工资支付的相关规定，按时足额缴纳员工工资保障基金，做好员工工资支付工作。并将员工工资支付情况统计表报送总承包方。</w:t>
      </w:r>
    </w:p>
    <w:p w14:paraId="5968BF6E">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7.在有条件的地区，委托总承包方在银行开设“工资专户”，建立工资卡，由银行代发员工工资，将员工工资直接打入员工个人卡中，并接受总包方对“工资专户”资金使用情况的监督管理。</w:t>
      </w:r>
    </w:p>
    <w:p w14:paraId="150D1553">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8.发生资金矛盾时，无条件先行支付员工工资。</w:t>
      </w:r>
    </w:p>
    <w:p w14:paraId="775875ED">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9.若拖欠员工工资，贵司有权直接终止分包合同，并按照分包合同的约定承担违约金。</w:t>
      </w:r>
    </w:p>
    <w:p w14:paraId="40AC0FDE">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10.我公司严格遵守总承包方安全管理规章制度，履行安全生产协议，做好劳务工人安全教育培训工作，接受贵司安全生产监督检查并承担相应的责任。</w:t>
      </w:r>
    </w:p>
    <w:p w14:paraId="6B42157B">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11.我司根据贵司要求，进入施工现场的所有人员，按照总承包方规定要求，按照实名制要求做好基本信息采集工作，办理门禁卡，无门禁卡的人员，贵司有权拒绝其进入施工现场。</w:t>
      </w:r>
    </w:p>
    <w:p w14:paraId="27390C9B">
      <w:pPr>
        <w:autoSpaceDE w:val="0"/>
        <w:autoSpaceDN w:val="0"/>
        <w:adjustRightIn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12.在合同实施过程中因建设单位、政策性因素、不可抗力、瘟疫等其他原因造成工程停建、缓建或工期延后，我公司不向贵司提出索赔。</w:t>
      </w:r>
    </w:p>
    <w:p w14:paraId="0F2BC684">
      <w:pPr>
        <w:autoSpaceDE w:val="0"/>
        <w:autoSpaceDN w:val="0"/>
        <w:adjustRightInd w:val="0"/>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13.我公司从贵司收取的工程款首先支付工人工资，并每月将发放的劳务人员工资回执单上报贵司，如每月不按时上报，贵司可不支付下月工程款。如果出现我方范围内农民工、供货商经济纠纷事件干扰贵司正常工作或相关部门要求贵司解决，我方将及时解决，如半天内未解决，在第三方证明下或相关政府部门要求下，贵司可直接代为垫付，由此发生的费用贵司可直接自应支付我司的款项中扣除，并且按垫付数额的2倍由我司向贵司支付违约金。</w:t>
      </w:r>
    </w:p>
    <w:p w14:paraId="5F7B9188">
      <w:pPr>
        <w:widowControl/>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14.我公司具有完成合同所有内容的垫资能力，如贵司对我公司付款不及时，我公司表示谅解，并承诺继续施工，不向贵司索赔任何费用。</w:t>
      </w:r>
    </w:p>
    <w:p w14:paraId="28329EF0">
      <w:pPr>
        <w:autoSpaceDE w:val="0"/>
        <w:autoSpaceDN w:val="0"/>
        <w:adjustRightInd w:val="0"/>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15.本合同履行过程中，若由于现场实际情况、贵司或建设单位要求，需要抢工或提前完工的，我公司积极配合，不以费用未确定等任何借口拒绝或拖延执行；若我公司施工能力无法满足前述要求，贵司有权组织其他单位代我公司完成，我公司将提供配合并承担由此产生的费用（包括但不限于代为完成部分工程款（该部分工程款由贵司直接与代为完成者直接结算，我公司对结算结果完全予以认可）及贵司管理费等），此费用由贵司从我公司工程款中扣除。 </w:t>
      </w:r>
    </w:p>
    <w:p w14:paraId="0538FD69">
      <w:pPr>
        <w:autoSpaceDE w:val="0"/>
        <w:autoSpaceDN w:val="0"/>
        <w:adjustRightInd w:val="0"/>
        <w:spacing w:line="480" w:lineRule="exact"/>
        <w:ind w:firstLine="560" w:firstLineChars="200"/>
        <w:rPr>
          <w:rFonts w:ascii="仿宋_GB2312" w:hAnsi="宋体" w:eastAsia="仿宋_GB2312" w:cs="宋体"/>
          <w:sz w:val="28"/>
          <w:szCs w:val="28"/>
        </w:rPr>
      </w:pPr>
    </w:p>
    <w:p w14:paraId="29798782">
      <w:pPr>
        <w:autoSpaceDE w:val="0"/>
        <w:autoSpaceDN w:val="0"/>
        <w:adjustRightInd w:val="0"/>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特此承诺。</w:t>
      </w:r>
    </w:p>
    <w:p w14:paraId="1C1DCDB0">
      <w:pPr>
        <w:snapToGrid w:val="0"/>
        <w:spacing w:line="480" w:lineRule="exact"/>
        <w:ind w:right="840" w:firstLine="280" w:firstLineChars="100"/>
        <w:jc w:val="right"/>
        <w:rPr>
          <w:rFonts w:ascii="仿宋_GB2312" w:hAnsi="宋体" w:eastAsia="仿宋_GB2312" w:cs="宋体"/>
          <w:sz w:val="28"/>
          <w:szCs w:val="28"/>
        </w:rPr>
      </w:pPr>
      <w:r>
        <w:rPr>
          <w:rFonts w:hint="eastAsia" w:ascii="仿宋_GB2312" w:hAnsi="宋体" w:eastAsia="仿宋_GB2312" w:cs="宋体"/>
          <w:sz w:val="28"/>
          <w:szCs w:val="28"/>
        </w:rPr>
        <w:t>承诺单位（签字盖章）：</w:t>
      </w:r>
    </w:p>
    <w:p w14:paraId="12205B19">
      <w:pPr>
        <w:spacing w:line="480" w:lineRule="exact"/>
        <w:ind w:right="1120"/>
        <w:jc w:val="right"/>
        <w:rPr>
          <w:rFonts w:ascii="仿宋_GB2312" w:hAnsi="宋体" w:eastAsia="仿宋_GB2312" w:cs="宋体"/>
          <w:sz w:val="28"/>
          <w:szCs w:val="28"/>
        </w:rPr>
      </w:pPr>
      <w:r>
        <w:rPr>
          <w:rFonts w:hint="eastAsia" w:ascii="仿宋_GB2312" w:hAnsi="宋体" w:eastAsia="仿宋_GB2312" w:cs="宋体"/>
          <w:sz w:val="28"/>
          <w:szCs w:val="28"/>
        </w:rPr>
        <w:t>年    月    日</w:t>
      </w:r>
    </w:p>
    <w:p w14:paraId="1B7511E3">
      <w:pPr>
        <w:spacing w:after="120" w:line="480" w:lineRule="exact"/>
        <w:rPr>
          <w:rFonts w:ascii="仿宋_GB2312" w:hAnsi="宋体" w:eastAsia="仿宋_GB2312" w:cs="宋体"/>
          <w:bCs/>
          <w:sz w:val="28"/>
          <w:szCs w:val="28"/>
          <w:u w:val="single"/>
        </w:rPr>
      </w:pPr>
    </w:p>
    <w:p w14:paraId="47C0A993">
      <w:pPr>
        <w:rPr>
          <w:color w:val="000000" w:themeColor="text1"/>
          <w14:textFill>
            <w14:solidFill>
              <w14:schemeClr w14:val="tx1"/>
            </w14:solidFill>
          </w14:textFill>
        </w:rPr>
      </w:pPr>
    </w:p>
    <w:sectPr>
      <w:headerReference r:id="rId16" w:type="first"/>
      <w:footerReference r:id="rId18" w:type="first"/>
      <w:headerReference r:id="rId15" w:type="default"/>
      <w:footerReference r:id="rId17" w:type="default"/>
      <w:pgSz w:w="11906" w:h="16838"/>
      <w:pgMar w:top="1134" w:right="1134" w:bottom="1134" w:left="1134" w:header="680"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PSMT">
    <w:altName w:val="等线"/>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7468E">
    <w:pPr>
      <w:pStyle w:val="26"/>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3A27">
    <w:pPr>
      <w:pStyle w:val="26"/>
      <w:jc w:val="center"/>
    </w:pPr>
    <w:r>
      <w:fldChar w:fldCharType="begin"/>
    </w:r>
    <w:r>
      <w:rPr>
        <w:rStyle w:val="45"/>
      </w:rPr>
      <w:instrText xml:space="preserve">PAGE  </w:instrText>
    </w:r>
    <w:r>
      <w:fldChar w:fldCharType="separate"/>
    </w:r>
    <w:r>
      <w:rPr>
        <w:rStyle w:val="45"/>
      </w:rPr>
      <w:t>1</w:t>
    </w:r>
    <w:r>
      <w:fldChar w:fldCharType="end"/>
    </w:r>
    <w:r>
      <w:rPr>
        <w:rStyle w:val="45"/>
      </w:rPr>
      <w:t xml:space="preserve"> </w:t>
    </w:r>
    <w:r>
      <w:rPr>
        <w:rStyle w:val="45"/>
        <w:rFonts w:hint="eastAsia"/>
      </w:rPr>
      <w:t>/</w:t>
    </w:r>
    <w:r>
      <w:rPr>
        <w:rStyle w:val="45"/>
      </w:rPr>
      <w:t xml:space="preserve"> </w:t>
    </w:r>
    <w:r>
      <w:fldChar w:fldCharType="begin"/>
    </w:r>
    <w:r>
      <w:rPr>
        <w:rStyle w:val="45"/>
      </w:rPr>
      <w:instrText xml:space="preserve"> NUMPAGES </w:instrText>
    </w:r>
    <w:r>
      <w:fldChar w:fldCharType="separate"/>
    </w:r>
    <w:r>
      <w:rPr>
        <w:rStyle w:val="45"/>
      </w:rPr>
      <w:t>226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082F">
    <w:pPr>
      <w:pStyle w:val="26"/>
      <w:jc w:val="center"/>
    </w:pPr>
    <w:r>
      <w:fldChar w:fldCharType="begin"/>
    </w:r>
    <w:r>
      <w:rPr>
        <w:rStyle w:val="45"/>
      </w:rPr>
      <w:instrText xml:space="preserve">PAGE  </w:instrText>
    </w:r>
    <w:r>
      <w:fldChar w:fldCharType="separate"/>
    </w:r>
    <w:r>
      <w:rPr>
        <w:rStyle w:val="45"/>
      </w:rPr>
      <w:t>2</w:t>
    </w:r>
    <w:r>
      <w:fldChar w:fldCharType="end"/>
    </w:r>
    <w:r>
      <w:rPr>
        <w:rStyle w:val="45"/>
      </w:rPr>
      <w:t xml:space="preserve"> </w:t>
    </w:r>
    <w:r>
      <w:rPr>
        <w:rStyle w:val="45"/>
        <w:rFonts w:hint="eastAsia"/>
      </w:rPr>
      <w:t>/</w:t>
    </w:r>
    <w:r>
      <w:rPr>
        <w:rStyle w:val="45"/>
      </w:rPr>
      <w:t xml:space="preserve"> </w:t>
    </w:r>
    <w:r>
      <w:fldChar w:fldCharType="begin"/>
    </w:r>
    <w:r>
      <w:rPr>
        <w:rStyle w:val="45"/>
      </w:rPr>
      <w:instrText xml:space="preserve"> NUMPAGES </w:instrText>
    </w:r>
    <w:r>
      <w:fldChar w:fldCharType="separate"/>
    </w:r>
    <w:r>
      <w:rPr>
        <w:rStyle w:val="45"/>
      </w:rPr>
      <w:t>226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2FA9">
    <w:pPr>
      <w:pStyle w:val="26"/>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173</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226</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7378">
    <w:pPr>
      <w:pStyle w:val="26"/>
      <w:framePr w:wrap="around" w:vAnchor="text" w:hAnchor="margin" w:xAlign="right" w:y="1"/>
      <w:rPr>
        <w:rStyle w:val="45"/>
      </w:rPr>
    </w:pPr>
    <w:r>
      <w:fldChar w:fldCharType="begin"/>
    </w:r>
    <w:r>
      <w:rPr>
        <w:rStyle w:val="45"/>
      </w:rPr>
      <w:instrText xml:space="preserve">PAGE  </w:instrText>
    </w:r>
    <w:r>
      <w:fldChar w:fldCharType="end"/>
    </w:r>
  </w:p>
  <w:p w14:paraId="73766E1A">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C49AC">
    <w:pPr>
      <w:pStyle w:val="26"/>
      <w:jc w:val="center"/>
    </w:pPr>
    <w:r>
      <w:fldChar w:fldCharType="begin"/>
    </w:r>
    <w:r>
      <w:rPr>
        <w:rStyle w:val="45"/>
      </w:rPr>
      <w:instrText xml:space="preserve">PAGE  </w:instrText>
    </w:r>
    <w:r>
      <w:fldChar w:fldCharType="separate"/>
    </w:r>
    <w:r>
      <w:rPr>
        <w:rStyle w:val="45"/>
      </w:rPr>
      <w:t>177</w:t>
    </w:r>
    <w:r>
      <w:fldChar w:fldCharType="end"/>
    </w:r>
    <w:r>
      <w:rPr>
        <w:rStyle w:val="45"/>
      </w:rPr>
      <w:t xml:space="preserve"> </w:t>
    </w:r>
    <w:r>
      <w:rPr>
        <w:rStyle w:val="45"/>
        <w:rFonts w:hint="eastAsia"/>
      </w:rPr>
      <w:t>/</w:t>
    </w:r>
    <w:r>
      <w:rPr>
        <w:rStyle w:val="45"/>
      </w:rPr>
      <w:t xml:space="preserve"> </w:t>
    </w:r>
    <w:r>
      <w:fldChar w:fldCharType="begin"/>
    </w:r>
    <w:r>
      <w:rPr>
        <w:rStyle w:val="45"/>
      </w:rPr>
      <w:instrText xml:space="preserve"> NUMPAGES </w:instrText>
    </w:r>
    <w:r>
      <w:fldChar w:fldCharType="separate"/>
    </w:r>
    <w:r>
      <w:rPr>
        <w:rStyle w:val="45"/>
      </w:rPr>
      <w:t>226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D1C6">
    <w:pPr>
      <w:spacing w:line="169" w:lineRule="auto"/>
      <w:rPr>
        <w:rFonts w:eastAsia="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85CDE">
                          <w:pPr>
                            <w:pStyle w:val="26"/>
                          </w:pPr>
                          <w:r>
                            <w:fldChar w:fldCharType="begin"/>
                          </w:r>
                          <w:r>
                            <w:instrText xml:space="preserve"> PAGE  \* MERGEFORMAT </w:instrText>
                          </w:r>
                          <w:r>
                            <w:fldChar w:fldCharType="separate"/>
                          </w:r>
                          <w:r>
                            <w:t>183</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LrCfY2AEAALQDAAAOAAAAAAAAAAEAIAAA&#10;AB4BAABkcnMvZTJvRG9jLnhtbFBLBQYAAAAABgAGAFkBAABoBQAAAAA=&#10;">
              <v:fill on="f" focussize="0,0"/>
              <v:stroke on="f"/>
              <v:imagedata o:title=""/>
              <o:lock v:ext="edit" aspectratio="f"/>
              <v:textbox inset="0mm,0mm,0mm,0mm" style="mso-fit-shape-to-text:t;">
                <w:txbxContent>
                  <w:p w14:paraId="32485CDE">
                    <w:pPr>
                      <w:pStyle w:val="26"/>
                    </w:pPr>
                    <w:r>
                      <w:fldChar w:fldCharType="begin"/>
                    </w:r>
                    <w:r>
                      <w:instrText xml:space="preserve"> PAGE  \* MERGEFORMAT </w:instrText>
                    </w:r>
                    <w:r>
                      <w:fldChar w:fldCharType="separate"/>
                    </w:r>
                    <w:r>
                      <w:t>183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734370"/>
    </w:sdtPr>
    <w:sdtContent>
      <w:sdt>
        <w:sdtPr>
          <w:id w:val="-1669238322"/>
        </w:sdtPr>
        <w:sdtContent>
          <w:p w14:paraId="5547B459">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226</w:t>
            </w:r>
            <w:r>
              <w:rPr>
                <w:b/>
                <w:bCs/>
                <w:sz w:val="24"/>
                <w:szCs w:val="24"/>
              </w:rPr>
              <w:fldChar w:fldCharType="end"/>
            </w:r>
          </w:p>
        </w:sdtContent>
      </w:sdt>
    </w:sdtContent>
  </w:sdt>
  <w:p w14:paraId="6104C1CC">
    <w:pPr>
      <w:pStyle w:val="2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7827">
    <w:pPr>
      <w:pStyle w:val="26"/>
      <w:jc w:val="center"/>
    </w:pPr>
    <w:r>
      <w:fldChar w:fldCharType="begin"/>
    </w:r>
    <w:r>
      <w:rPr>
        <w:rStyle w:val="45"/>
      </w:rPr>
      <w:instrText xml:space="preserve">PAGE  </w:instrText>
    </w:r>
    <w:r>
      <w:fldChar w:fldCharType="separate"/>
    </w:r>
    <w:r>
      <w:rPr>
        <w:rStyle w:val="45"/>
      </w:rPr>
      <w:t>184</w:t>
    </w:r>
    <w:r>
      <w:fldChar w:fldCharType="end"/>
    </w:r>
    <w:r>
      <w:rPr>
        <w:rStyle w:val="45"/>
      </w:rPr>
      <w:t xml:space="preserve"> </w:t>
    </w:r>
    <w:r>
      <w:rPr>
        <w:rStyle w:val="45"/>
        <w:rFonts w:hint="eastAsia"/>
      </w:rPr>
      <w:t>/</w:t>
    </w:r>
    <w:r>
      <w:rPr>
        <w:rStyle w:val="45"/>
      </w:rPr>
      <w:t xml:space="preserve"> </w:t>
    </w:r>
    <w:r>
      <w:fldChar w:fldCharType="begin"/>
    </w:r>
    <w:r>
      <w:rPr>
        <w:rStyle w:val="45"/>
      </w:rPr>
      <w:instrText xml:space="preserve"> NUMPAGES </w:instrText>
    </w:r>
    <w:r>
      <w:fldChar w:fldCharType="separate"/>
    </w:r>
    <w:r>
      <w:rPr>
        <w:rStyle w:val="45"/>
      </w:rPr>
      <w:t>226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C355">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7CC4">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5910">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9CF4">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C7D5">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E0CDC"/>
    <w:multiLevelType w:val="multilevel"/>
    <w:tmpl w:val="FCEE0CD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87"/>
      <w:lvlText w:val="%1)"/>
      <w:lvlJc w:val="left"/>
      <w:pPr>
        <w:ind w:left="987" w:hanging="420"/>
      </w:pPr>
      <w:rPr>
        <w:rFonts w:hint="eastAsia"/>
      </w:rPr>
    </w:lvl>
    <w:lvl w:ilvl="1" w:tentative="0">
      <w:start w:val="1"/>
      <w:numFmt w:val="lowerLetter"/>
      <w:pStyle w:val="149"/>
      <w:lvlText w:val="%2)"/>
      <w:lvlJc w:val="left"/>
      <w:pPr>
        <w:ind w:left="976" w:hanging="420"/>
      </w:pPr>
      <w:rPr>
        <w:rFonts w:hint="eastAsia"/>
      </w:rPr>
    </w:lvl>
    <w:lvl w:ilvl="2" w:tentative="0">
      <w:start w:val="1"/>
      <w:numFmt w:val="lowerRoman"/>
      <w:lvlText w:val="%3."/>
      <w:lvlJc w:val="right"/>
      <w:pPr>
        <w:ind w:left="1396" w:hanging="420"/>
      </w:pPr>
      <w:rPr>
        <w:rFonts w:hint="eastAsia"/>
      </w:rPr>
    </w:lvl>
    <w:lvl w:ilvl="3" w:tentative="0">
      <w:start w:val="1"/>
      <w:numFmt w:val="decimal"/>
      <w:lvlText w:val="%4."/>
      <w:lvlJc w:val="left"/>
      <w:pPr>
        <w:ind w:left="1816" w:hanging="420"/>
      </w:pPr>
      <w:rPr>
        <w:rFonts w:hint="eastAsia"/>
      </w:rPr>
    </w:lvl>
    <w:lvl w:ilvl="4" w:tentative="0">
      <w:start w:val="1"/>
      <w:numFmt w:val="lowerLetter"/>
      <w:lvlText w:val="%5)"/>
      <w:lvlJc w:val="left"/>
      <w:pPr>
        <w:ind w:left="2236" w:hanging="420"/>
      </w:pPr>
      <w:rPr>
        <w:rFonts w:hint="eastAsia"/>
      </w:rPr>
    </w:lvl>
    <w:lvl w:ilvl="5" w:tentative="0">
      <w:start w:val="1"/>
      <w:numFmt w:val="lowerRoman"/>
      <w:lvlText w:val="%6."/>
      <w:lvlJc w:val="right"/>
      <w:pPr>
        <w:ind w:left="2656" w:hanging="420"/>
      </w:pPr>
      <w:rPr>
        <w:rFonts w:hint="eastAsia"/>
      </w:rPr>
    </w:lvl>
    <w:lvl w:ilvl="6" w:tentative="0">
      <w:start w:val="1"/>
      <w:numFmt w:val="decimal"/>
      <w:lvlText w:val="%7."/>
      <w:lvlJc w:val="left"/>
      <w:pPr>
        <w:ind w:left="3076" w:hanging="420"/>
      </w:pPr>
      <w:rPr>
        <w:rFonts w:hint="eastAsia"/>
      </w:rPr>
    </w:lvl>
    <w:lvl w:ilvl="7" w:tentative="0">
      <w:start w:val="1"/>
      <w:numFmt w:val="lowerLetter"/>
      <w:lvlText w:val="%8)"/>
      <w:lvlJc w:val="left"/>
      <w:pPr>
        <w:ind w:left="3496" w:hanging="420"/>
      </w:pPr>
      <w:rPr>
        <w:rFonts w:hint="eastAsia"/>
      </w:rPr>
    </w:lvl>
    <w:lvl w:ilvl="8" w:tentative="0">
      <w:start w:val="1"/>
      <w:numFmt w:val="lowerRoman"/>
      <w:lvlText w:val="%9."/>
      <w:lvlJc w:val="right"/>
      <w:pPr>
        <w:ind w:left="3916" w:hanging="420"/>
      </w:pPr>
      <w:rPr>
        <w:rFonts w:hint="eastAsia"/>
      </w:rPr>
    </w:lvl>
  </w:abstractNum>
  <w:abstractNum w:abstractNumId="2">
    <w:nsid w:val="321EECFB"/>
    <w:multiLevelType w:val="singleLevel"/>
    <w:tmpl w:val="321EECFB"/>
    <w:lvl w:ilvl="0" w:tentative="0">
      <w:start w:val="1"/>
      <w:numFmt w:val="decimal"/>
      <w:suff w:val="nothing"/>
      <w:lvlText w:val="%1）"/>
      <w:lvlJc w:val="left"/>
    </w:lvl>
  </w:abstractNum>
  <w:abstractNum w:abstractNumId="3">
    <w:nsid w:val="4E18C8BB"/>
    <w:multiLevelType w:val="singleLevel"/>
    <w:tmpl w:val="4E18C8BB"/>
    <w:lvl w:ilvl="0" w:tentative="0">
      <w:start w:val="23"/>
      <w:numFmt w:val="decimal"/>
      <w:lvlText w:val="%1."/>
      <w:lvlJc w:val="left"/>
      <w:pPr>
        <w:tabs>
          <w:tab w:val="left" w:pos="312"/>
        </w:tabs>
      </w:pPr>
    </w:lvl>
  </w:abstractNum>
  <w:num w:numId="1">
    <w:abstractNumId w:val="1"/>
  </w:num>
  <w:num w:numId="2">
    <w:abstractNumId w:val="1"/>
    <w:lvlOverride w:ilvl="0">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rawingGridHorizontalSpacing w:val="24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YTJmNTFmOWFjYmJlZTVhNzJjMDcwMmRjZTI0Y2MifQ=="/>
  </w:docVars>
  <w:rsids>
    <w:rsidRoot w:val="00172A27"/>
    <w:rsid w:val="00000BF7"/>
    <w:rsid w:val="00000FEF"/>
    <w:rsid w:val="00001823"/>
    <w:rsid w:val="00002277"/>
    <w:rsid w:val="00002874"/>
    <w:rsid w:val="000029D7"/>
    <w:rsid w:val="00003517"/>
    <w:rsid w:val="00003AD5"/>
    <w:rsid w:val="000046B4"/>
    <w:rsid w:val="00004CAC"/>
    <w:rsid w:val="00004CBE"/>
    <w:rsid w:val="00005133"/>
    <w:rsid w:val="000054C4"/>
    <w:rsid w:val="0000615D"/>
    <w:rsid w:val="00006519"/>
    <w:rsid w:val="00006B37"/>
    <w:rsid w:val="0000761F"/>
    <w:rsid w:val="0000772E"/>
    <w:rsid w:val="00007B06"/>
    <w:rsid w:val="000100E6"/>
    <w:rsid w:val="0001091C"/>
    <w:rsid w:val="00010C6F"/>
    <w:rsid w:val="00010CFB"/>
    <w:rsid w:val="0001198C"/>
    <w:rsid w:val="00011D32"/>
    <w:rsid w:val="000134A1"/>
    <w:rsid w:val="00013900"/>
    <w:rsid w:val="00013FA2"/>
    <w:rsid w:val="000144A3"/>
    <w:rsid w:val="00014707"/>
    <w:rsid w:val="0001540F"/>
    <w:rsid w:val="000163CA"/>
    <w:rsid w:val="000202D1"/>
    <w:rsid w:val="0002145E"/>
    <w:rsid w:val="00021BB6"/>
    <w:rsid w:val="000220B4"/>
    <w:rsid w:val="00023042"/>
    <w:rsid w:val="00023074"/>
    <w:rsid w:val="00023184"/>
    <w:rsid w:val="0002406F"/>
    <w:rsid w:val="000245E4"/>
    <w:rsid w:val="00026A87"/>
    <w:rsid w:val="00027136"/>
    <w:rsid w:val="0002714B"/>
    <w:rsid w:val="000275FC"/>
    <w:rsid w:val="000304FA"/>
    <w:rsid w:val="0003076E"/>
    <w:rsid w:val="00031069"/>
    <w:rsid w:val="00031281"/>
    <w:rsid w:val="00031D65"/>
    <w:rsid w:val="0003224B"/>
    <w:rsid w:val="00032684"/>
    <w:rsid w:val="00032723"/>
    <w:rsid w:val="00032F63"/>
    <w:rsid w:val="00034082"/>
    <w:rsid w:val="0003474C"/>
    <w:rsid w:val="00035349"/>
    <w:rsid w:val="000353C0"/>
    <w:rsid w:val="0003569A"/>
    <w:rsid w:val="0003636E"/>
    <w:rsid w:val="00036E55"/>
    <w:rsid w:val="00036F2A"/>
    <w:rsid w:val="00037927"/>
    <w:rsid w:val="000402F9"/>
    <w:rsid w:val="00040C0D"/>
    <w:rsid w:val="00040D3A"/>
    <w:rsid w:val="00040E80"/>
    <w:rsid w:val="0004196B"/>
    <w:rsid w:val="000426CE"/>
    <w:rsid w:val="000427CA"/>
    <w:rsid w:val="00042C4F"/>
    <w:rsid w:val="00043443"/>
    <w:rsid w:val="00043F4F"/>
    <w:rsid w:val="00044C4D"/>
    <w:rsid w:val="00044E82"/>
    <w:rsid w:val="00045091"/>
    <w:rsid w:val="000451C6"/>
    <w:rsid w:val="00045717"/>
    <w:rsid w:val="00045AAA"/>
    <w:rsid w:val="00046866"/>
    <w:rsid w:val="000469A0"/>
    <w:rsid w:val="00046C2B"/>
    <w:rsid w:val="0004769A"/>
    <w:rsid w:val="000501D0"/>
    <w:rsid w:val="000505A0"/>
    <w:rsid w:val="000507AF"/>
    <w:rsid w:val="00051F06"/>
    <w:rsid w:val="00052326"/>
    <w:rsid w:val="0005266A"/>
    <w:rsid w:val="00052807"/>
    <w:rsid w:val="00053414"/>
    <w:rsid w:val="00053853"/>
    <w:rsid w:val="000544A8"/>
    <w:rsid w:val="000557EA"/>
    <w:rsid w:val="00056AF6"/>
    <w:rsid w:val="00060448"/>
    <w:rsid w:val="00060D59"/>
    <w:rsid w:val="000617B1"/>
    <w:rsid w:val="00064AD0"/>
    <w:rsid w:val="00064AF6"/>
    <w:rsid w:val="00065FEC"/>
    <w:rsid w:val="000669BD"/>
    <w:rsid w:val="000674AE"/>
    <w:rsid w:val="0006796C"/>
    <w:rsid w:val="00070299"/>
    <w:rsid w:val="000715DD"/>
    <w:rsid w:val="000719CF"/>
    <w:rsid w:val="000733C1"/>
    <w:rsid w:val="00073A95"/>
    <w:rsid w:val="00073C4B"/>
    <w:rsid w:val="00073C87"/>
    <w:rsid w:val="0007402C"/>
    <w:rsid w:val="00074A1A"/>
    <w:rsid w:val="00074D21"/>
    <w:rsid w:val="00074E6F"/>
    <w:rsid w:val="000753A9"/>
    <w:rsid w:val="00076546"/>
    <w:rsid w:val="00076ED7"/>
    <w:rsid w:val="0007727E"/>
    <w:rsid w:val="0007742A"/>
    <w:rsid w:val="000778EF"/>
    <w:rsid w:val="00077C47"/>
    <w:rsid w:val="000800C8"/>
    <w:rsid w:val="000808B0"/>
    <w:rsid w:val="000815DA"/>
    <w:rsid w:val="000816EB"/>
    <w:rsid w:val="000816F3"/>
    <w:rsid w:val="00082747"/>
    <w:rsid w:val="00083826"/>
    <w:rsid w:val="00083ADD"/>
    <w:rsid w:val="00084ADF"/>
    <w:rsid w:val="00085770"/>
    <w:rsid w:val="00085784"/>
    <w:rsid w:val="0008587A"/>
    <w:rsid w:val="00090C1F"/>
    <w:rsid w:val="00090DAA"/>
    <w:rsid w:val="000911FA"/>
    <w:rsid w:val="00091585"/>
    <w:rsid w:val="00091623"/>
    <w:rsid w:val="00091F2F"/>
    <w:rsid w:val="00091FC0"/>
    <w:rsid w:val="000929DE"/>
    <w:rsid w:val="000934FF"/>
    <w:rsid w:val="00093681"/>
    <w:rsid w:val="00093CCC"/>
    <w:rsid w:val="00094965"/>
    <w:rsid w:val="000949BC"/>
    <w:rsid w:val="000956C6"/>
    <w:rsid w:val="00095D3C"/>
    <w:rsid w:val="00096106"/>
    <w:rsid w:val="00096B02"/>
    <w:rsid w:val="000976F3"/>
    <w:rsid w:val="000979D5"/>
    <w:rsid w:val="00097C0C"/>
    <w:rsid w:val="00097E4C"/>
    <w:rsid w:val="000A0AA3"/>
    <w:rsid w:val="000A1E31"/>
    <w:rsid w:val="000A253C"/>
    <w:rsid w:val="000A2856"/>
    <w:rsid w:val="000A28E1"/>
    <w:rsid w:val="000A3018"/>
    <w:rsid w:val="000A341E"/>
    <w:rsid w:val="000A3AE7"/>
    <w:rsid w:val="000A4013"/>
    <w:rsid w:val="000A4725"/>
    <w:rsid w:val="000A4EB4"/>
    <w:rsid w:val="000A59DE"/>
    <w:rsid w:val="000A6523"/>
    <w:rsid w:val="000A68A3"/>
    <w:rsid w:val="000B02B4"/>
    <w:rsid w:val="000B03A2"/>
    <w:rsid w:val="000B03FE"/>
    <w:rsid w:val="000B0432"/>
    <w:rsid w:val="000B0B1F"/>
    <w:rsid w:val="000B25EC"/>
    <w:rsid w:val="000B27E4"/>
    <w:rsid w:val="000B3468"/>
    <w:rsid w:val="000B43DD"/>
    <w:rsid w:val="000B517C"/>
    <w:rsid w:val="000B5868"/>
    <w:rsid w:val="000B5879"/>
    <w:rsid w:val="000B5E97"/>
    <w:rsid w:val="000B5E9C"/>
    <w:rsid w:val="000B6713"/>
    <w:rsid w:val="000B6BFE"/>
    <w:rsid w:val="000B6FFB"/>
    <w:rsid w:val="000B700B"/>
    <w:rsid w:val="000B77DD"/>
    <w:rsid w:val="000B7EC9"/>
    <w:rsid w:val="000C015C"/>
    <w:rsid w:val="000C05C5"/>
    <w:rsid w:val="000C094F"/>
    <w:rsid w:val="000C0F33"/>
    <w:rsid w:val="000C10BE"/>
    <w:rsid w:val="000C3A26"/>
    <w:rsid w:val="000C4705"/>
    <w:rsid w:val="000C5A14"/>
    <w:rsid w:val="000C6E6C"/>
    <w:rsid w:val="000D0923"/>
    <w:rsid w:val="000D1A88"/>
    <w:rsid w:val="000D1E03"/>
    <w:rsid w:val="000D22EC"/>
    <w:rsid w:val="000D234B"/>
    <w:rsid w:val="000D3668"/>
    <w:rsid w:val="000D3854"/>
    <w:rsid w:val="000D41AA"/>
    <w:rsid w:val="000D4658"/>
    <w:rsid w:val="000D4A98"/>
    <w:rsid w:val="000D5DB1"/>
    <w:rsid w:val="000D64DB"/>
    <w:rsid w:val="000D6FA3"/>
    <w:rsid w:val="000D7B59"/>
    <w:rsid w:val="000E1C66"/>
    <w:rsid w:val="000E1C91"/>
    <w:rsid w:val="000E41C5"/>
    <w:rsid w:val="000E464B"/>
    <w:rsid w:val="000E564B"/>
    <w:rsid w:val="000E60F8"/>
    <w:rsid w:val="000E64E3"/>
    <w:rsid w:val="000E65FF"/>
    <w:rsid w:val="000F09B7"/>
    <w:rsid w:val="000F0A1D"/>
    <w:rsid w:val="000F1445"/>
    <w:rsid w:val="000F18FB"/>
    <w:rsid w:val="000F1F18"/>
    <w:rsid w:val="000F220A"/>
    <w:rsid w:val="000F2C29"/>
    <w:rsid w:val="000F32D2"/>
    <w:rsid w:val="000F3568"/>
    <w:rsid w:val="000F3C1D"/>
    <w:rsid w:val="000F3CB8"/>
    <w:rsid w:val="000F4829"/>
    <w:rsid w:val="000F5011"/>
    <w:rsid w:val="000F59A7"/>
    <w:rsid w:val="000F5DE4"/>
    <w:rsid w:val="000F6696"/>
    <w:rsid w:val="000F66DF"/>
    <w:rsid w:val="000F6A23"/>
    <w:rsid w:val="000F72BA"/>
    <w:rsid w:val="000F7CB7"/>
    <w:rsid w:val="000F7F23"/>
    <w:rsid w:val="00100A22"/>
    <w:rsid w:val="00101065"/>
    <w:rsid w:val="00101487"/>
    <w:rsid w:val="001015C9"/>
    <w:rsid w:val="00101842"/>
    <w:rsid w:val="00101BD3"/>
    <w:rsid w:val="00102F8A"/>
    <w:rsid w:val="00102FF4"/>
    <w:rsid w:val="0010458E"/>
    <w:rsid w:val="001046F5"/>
    <w:rsid w:val="00104962"/>
    <w:rsid w:val="00105D0A"/>
    <w:rsid w:val="001060A8"/>
    <w:rsid w:val="001066B3"/>
    <w:rsid w:val="00107001"/>
    <w:rsid w:val="00107489"/>
    <w:rsid w:val="001075BF"/>
    <w:rsid w:val="00107A21"/>
    <w:rsid w:val="00107C13"/>
    <w:rsid w:val="001100A4"/>
    <w:rsid w:val="001102C9"/>
    <w:rsid w:val="00110602"/>
    <w:rsid w:val="00110E36"/>
    <w:rsid w:val="00110E7C"/>
    <w:rsid w:val="00110F58"/>
    <w:rsid w:val="001110E8"/>
    <w:rsid w:val="001116E6"/>
    <w:rsid w:val="00113678"/>
    <w:rsid w:val="00116035"/>
    <w:rsid w:val="00116A4A"/>
    <w:rsid w:val="00116D9E"/>
    <w:rsid w:val="0011730D"/>
    <w:rsid w:val="001175D8"/>
    <w:rsid w:val="00117779"/>
    <w:rsid w:val="00120605"/>
    <w:rsid w:val="00121701"/>
    <w:rsid w:val="00121790"/>
    <w:rsid w:val="00122992"/>
    <w:rsid w:val="00124E95"/>
    <w:rsid w:val="001251A1"/>
    <w:rsid w:val="00125D81"/>
    <w:rsid w:val="00126DBC"/>
    <w:rsid w:val="00131065"/>
    <w:rsid w:val="001317DA"/>
    <w:rsid w:val="00131E76"/>
    <w:rsid w:val="00133EF8"/>
    <w:rsid w:val="00134C53"/>
    <w:rsid w:val="0013500E"/>
    <w:rsid w:val="00135095"/>
    <w:rsid w:val="00135731"/>
    <w:rsid w:val="0013596B"/>
    <w:rsid w:val="00135C64"/>
    <w:rsid w:val="001366A5"/>
    <w:rsid w:val="00137357"/>
    <w:rsid w:val="00137CE2"/>
    <w:rsid w:val="0014124C"/>
    <w:rsid w:val="00143FDE"/>
    <w:rsid w:val="001440F9"/>
    <w:rsid w:val="0014535E"/>
    <w:rsid w:val="0014635B"/>
    <w:rsid w:val="001475D4"/>
    <w:rsid w:val="00150301"/>
    <w:rsid w:val="001505B6"/>
    <w:rsid w:val="00151355"/>
    <w:rsid w:val="001518C4"/>
    <w:rsid w:val="001519F5"/>
    <w:rsid w:val="00152348"/>
    <w:rsid w:val="0015262E"/>
    <w:rsid w:val="00152B43"/>
    <w:rsid w:val="00153056"/>
    <w:rsid w:val="00153490"/>
    <w:rsid w:val="001534E2"/>
    <w:rsid w:val="00153501"/>
    <w:rsid w:val="001537D8"/>
    <w:rsid w:val="001543A1"/>
    <w:rsid w:val="00154CA5"/>
    <w:rsid w:val="00154D14"/>
    <w:rsid w:val="001552D1"/>
    <w:rsid w:val="001554B9"/>
    <w:rsid w:val="00155578"/>
    <w:rsid w:val="001556AC"/>
    <w:rsid w:val="001577E4"/>
    <w:rsid w:val="00160061"/>
    <w:rsid w:val="00160D12"/>
    <w:rsid w:val="00160FC8"/>
    <w:rsid w:val="0016112C"/>
    <w:rsid w:val="0016164C"/>
    <w:rsid w:val="001619DA"/>
    <w:rsid w:val="00162088"/>
    <w:rsid w:val="0016368F"/>
    <w:rsid w:val="00164A06"/>
    <w:rsid w:val="00165AEF"/>
    <w:rsid w:val="001667F7"/>
    <w:rsid w:val="001675F7"/>
    <w:rsid w:val="0016776F"/>
    <w:rsid w:val="00167DC6"/>
    <w:rsid w:val="001704AE"/>
    <w:rsid w:val="0017130F"/>
    <w:rsid w:val="00172428"/>
    <w:rsid w:val="0017298F"/>
    <w:rsid w:val="00172A27"/>
    <w:rsid w:val="00172E01"/>
    <w:rsid w:val="00174F3C"/>
    <w:rsid w:val="0017575B"/>
    <w:rsid w:val="00175C25"/>
    <w:rsid w:val="00175CFB"/>
    <w:rsid w:val="00176B16"/>
    <w:rsid w:val="00176DA4"/>
    <w:rsid w:val="00177A62"/>
    <w:rsid w:val="00177D11"/>
    <w:rsid w:val="001802D0"/>
    <w:rsid w:val="00180763"/>
    <w:rsid w:val="00180D20"/>
    <w:rsid w:val="00181533"/>
    <w:rsid w:val="00181BD9"/>
    <w:rsid w:val="00181DF8"/>
    <w:rsid w:val="00182681"/>
    <w:rsid w:val="001832D2"/>
    <w:rsid w:val="00183553"/>
    <w:rsid w:val="00183C2E"/>
    <w:rsid w:val="001845A8"/>
    <w:rsid w:val="00184795"/>
    <w:rsid w:val="00185235"/>
    <w:rsid w:val="001859AA"/>
    <w:rsid w:val="00185B68"/>
    <w:rsid w:val="00185E3E"/>
    <w:rsid w:val="001879D3"/>
    <w:rsid w:val="00187B33"/>
    <w:rsid w:val="00191773"/>
    <w:rsid w:val="00193535"/>
    <w:rsid w:val="00195331"/>
    <w:rsid w:val="001962AA"/>
    <w:rsid w:val="00197247"/>
    <w:rsid w:val="001A06F1"/>
    <w:rsid w:val="001A0CFD"/>
    <w:rsid w:val="001A0D27"/>
    <w:rsid w:val="001A1559"/>
    <w:rsid w:val="001A19CD"/>
    <w:rsid w:val="001A1DCE"/>
    <w:rsid w:val="001A3195"/>
    <w:rsid w:val="001A3B3F"/>
    <w:rsid w:val="001A4024"/>
    <w:rsid w:val="001A4D72"/>
    <w:rsid w:val="001A515C"/>
    <w:rsid w:val="001A587A"/>
    <w:rsid w:val="001A5A84"/>
    <w:rsid w:val="001A65D0"/>
    <w:rsid w:val="001A6F4D"/>
    <w:rsid w:val="001A6FC3"/>
    <w:rsid w:val="001A74B5"/>
    <w:rsid w:val="001A778B"/>
    <w:rsid w:val="001A7D86"/>
    <w:rsid w:val="001B0894"/>
    <w:rsid w:val="001B1018"/>
    <w:rsid w:val="001B1A4F"/>
    <w:rsid w:val="001B2214"/>
    <w:rsid w:val="001B247F"/>
    <w:rsid w:val="001B280B"/>
    <w:rsid w:val="001B29AF"/>
    <w:rsid w:val="001B29DC"/>
    <w:rsid w:val="001B2F1A"/>
    <w:rsid w:val="001B31E5"/>
    <w:rsid w:val="001B6952"/>
    <w:rsid w:val="001B740B"/>
    <w:rsid w:val="001B77A2"/>
    <w:rsid w:val="001B79CD"/>
    <w:rsid w:val="001B7D4B"/>
    <w:rsid w:val="001C0395"/>
    <w:rsid w:val="001C0D4D"/>
    <w:rsid w:val="001C1F85"/>
    <w:rsid w:val="001C2CAE"/>
    <w:rsid w:val="001C30F5"/>
    <w:rsid w:val="001C376A"/>
    <w:rsid w:val="001C39E1"/>
    <w:rsid w:val="001C43DF"/>
    <w:rsid w:val="001C6C4F"/>
    <w:rsid w:val="001C7827"/>
    <w:rsid w:val="001D24C3"/>
    <w:rsid w:val="001D326C"/>
    <w:rsid w:val="001D38CD"/>
    <w:rsid w:val="001D4C95"/>
    <w:rsid w:val="001D6FCD"/>
    <w:rsid w:val="001E01EE"/>
    <w:rsid w:val="001E0C07"/>
    <w:rsid w:val="001E0CD3"/>
    <w:rsid w:val="001E1482"/>
    <w:rsid w:val="001E2138"/>
    <w:rsid w:val="001E2D3C"/>
    <w:rsid w:val="001E4385"/>
    <w:rsid w:val="001E48E1"/>
    <w:rsid w:val="001E4D48"/>
    <w:rsid w:val="001E52D8"/>
    <w:rsid w:val="001E6221"/>
    <w:rsid w:val="001E6335"/>
    <w:rsid w:val="001E6D01"/>
    <w:rsid w:val="001E6E0F"/>
    <w:rsid w:val="001E723B"/>
    <w:rsid w:val="001E7360"/>
    <w:rsid w:val="001E7604"/>
    <w:rsid w:val="001F0ECB"/>
    <w:rsid w:val="001F1020"/>
    <w:rsid w:val="001F1589"/>
    <w:rsid w:val="001F1590"/>
    <w:rsid w:val="001F2ABE"/>
    <w:rsid w:val="001F31F0"/>
    <w:rsid w:val="001F384C"/>
    <w:rsid w:val="001F4180"/>
    <w:rsid w:val="001F62C6"/>
    <w:rsid w:val="001F6C44"/>
    <w:rsid w:val="001F785F"/>
    <w:rsid w:val="001F79B7"/>
    <w:rsid w:val="00201569"/>
    <w:rsid w:val="002015E9"/>
    <w:rsid w:val="00201963"/>
    <w:rsid w:val="00201C59"/>
    <w:rsid w:val="00201EEA"/>
    <w:rsid w:val="00201F23"/>
    <w:rsid w:val="00203FA0"/>
    <w:rsid w:val="00205AA3"/>
    <w:rsid w:val="00207307"/>
    <w:rsid w:val="00207B70"/>
    <w:rsid w:val="00210A81"/>
    <w:rsid w:val="00210B80"/>
    <w:rsid w:val="00211BAB"/>
    <w:rsid w:val="002125EB"/>
    <w:rsid w:val="00212659"/>
    <w:rsid w:val="00212833"/>
    <w:rsid w:val="00212ADE"/>
    <w:rsid w:val="002133A7"/>
    <w:rsid w:val="00213EDF"/>
    <w:rsid w:val="0021410C"/>
    <w:rsid w:val="00214913"/>
    <w:rsid w:val="00214EB8"/>
    <w:rsid w:val="00214FD4"/>
    <w:rsid w:val="00215903"/>
    <w:rsid w:val="00215BA9"/>
    <w:rsid w:val="00215EF6"/>
    <w:rsid w:val="002178CD"/>
    <w:rsid w:val="00217A7C"/>
    <w:rsid w:val="002201EA"/>
    <w:rsid w:val="00220A82"/>
    <w:rsid w:val="00221794"/>
    <w:rsid w:val="00221E34"/>
    <w:rsid w:val="00221F67"/>
    <w:rsid w:val="002232B6"/>
    <w:rsid w:val="00224091"/>
    <w:rsid w:val="00224470"/>
    <w:rsid w:val="002247F1"/>
    <w:rsid w:val="00224E3E"/>
    <w:rsid w:val="00225560"/>
    <w:rsid w:val="002263C2"/>
    <w:rsid w:val="00227015"/>
    <w:rsid w:val="002270EA"/>
    <w:rsid w:val="00230C6E"/>
    <w:rsid w:val="002319FF"/>
    <w:rsid w:val="0023224E"/>
    <w:rsid w:val="0023229E"/>
    <w:rsid w:val="00232437"/>
    <w:rsid w:val="002335C8"/>
    <w:rsid w:val="00233AA8"/>
    <w:rsid w:val="00233BAA"/>
    <w:rsid w:val="00233BF8"/>
    <w:rsid w:val="00233E2C"/>
    <w:rsid w:val="00234473"/>
    <w:rsid w:val="0023626C"/>
    <w:rsid w:val="002364D9"/>
    <w:rsid w:val="0023664F"/>
    <w:rsid w:val="0023672C"/>
    <w:rsid w:val="00236D9B"/>
    <w:rsid w:val="00237EDC"/>
    <w:rsid w:val="00241C98"/>
    <w:rsid w:val="00242591"/>
    <w:rsid w:val="002426BC"/>
    <w:rsid w:val="00242CAE"/>
    <w:rsid w:val="00243901"/>
    <w:rsid w:val="00243A77"/>
    <w:rsid w:val="00243B4F"/>
    <w:rsid w:val="00243CEF"/>
    <w:rsid w:val="00243FF1"/>
    <w:rsid w:val="002448F6"/>
    <w:rsid w:val="00244F54"/>
    <w:rsid w:val="002450A7"/>
    <w:rsid w:val="0024512C"/>
    <w:rsid w:val="00245398"/>
    <w:rsid w:val="00245AF2"/>
    <w:rsid w:val="00246AA4"/>
    <w:rsid w:val="00247390"/>
    <w:rsid w:val="00247BE2"/>
    <w:rsid w:val="00251119"/>
    <w:rsid w:val="00251AEC"/>
    <w:rsid w:val="00251D2D"/>
    <w:rsid w:val="002525D0"/>
    <w:rsid w:val="002539C5"/>
    <w:rsid w:val="00253B73"/>
    <w:rsid w:val="002544B5"/>
    <w:rsid w:val="00254C09"/>
    <w:rsid w:val="00255C60"/>
    <w:rsid w:val="00255E59"/>
    <w:rsid w:val="00257D2F"/>
    <w:rsid w:val="00257E7F"/>
    <w:rsid w:val="002605D9"/>
    <w:rsid w:val="00260A2D"/>
    <w:rsid w:val="00260CFC"/>
    <w:rsid w:val="00261647"/>
    <w:rsid w:val="00261B06"/>
    <w:rsid w:val="0026215F"/>
    <w:rsid w:val="00263F04"/>
    <w:rsid w:val="00264D11"/>
    <w:rsid w:val="00264EC9"/>
    <w:rsid w:val="00265464"/>
    <w:rsid w:val="002663AA"/>
    <w:rsid w:val="00267ACC"/>
    <w:rsid w:val="00267CB2"/>
    <w:rsid w:val="0027072D"/>
    <w:rsid w:val="0027088E"/>
    <w:rsid w:val="002713E5"/>
    <w:rsid w:val="00271F58"/>
    <w:rsid w:val="002730C4"/>
    <w:rsid w:val="00273129"/>
    <w:rsid w:val="002746DE"/>
    <w:rsid w:val="002746E5"/>
    <w:rsid w:val="00275192"/>
    <w:rsid w:val="0027781C"/>
    <w:rsid w:val="00277A21"/>
    <w:rsid w:val="00280DEE"/>
    <w:rsid w:val="00281803"/>
    <w:rsid w:val="00282531"/>
    <w:rsid w:val="002831A1"/>
    <w:rsid w:val="002831CA"/>
    <w:rsid w:val="00285642"/>
    <w:rsid w:val="002868B7"/>
    <w:rsid w:val="00287B6F"/>
    <w:rsid w:val="00290988"/>
    <w:rsid w:val="00291BDD"/>
    <w:rsid w:val="00292CA7"/>
    <w:rsid w:val="00293F5A"/>
    <w:rsid w:val="00293F82"/>
    <w:rsid w:val="0029401A"/>
    <w:rsid w:val="0029448F"/>
    <w:rsid w:val="002946B6"/>
    <w:rsid w:val="0029578B"/>
    <w:rsid w:val="002958C4"/>
    <w:rsid w:val="00295AB8"/>
    <w:rsid w:val="002966D2"/>
    <w:rsid w:val="00297239"/>
    <w:rsid w:val="002A1D0C"/>
    <w:rsid w:val="002A2F4E"/>
    <w:rsid w:val="002A36E1"/>
    <w:rsid w:val="002A48BB"/>
    <w:rsid w:val="002A49A9"/>
    <w:rsid w:val="002A5487"/>
    <w:rsid w:val="002A60F7"/>
    <w:rsid w:val="002A6E0C"/>
    <w:rsid w:val="002A6F1A"/>
    <w:rsid w:val="002B0892"/>
    <w:rsid w:val="002B20A2"/>
    <w:rsid w:val="002B23A1"/>
    <w:rsid w:val="002B284F"/>
    <w:rsid w:val="002B336E"/>
    <w:rsid w:val="002B3EC0"/>
    <w:rsid w:val="002B4181"/>
    <w:rsid w:val="002B49E1"/>
    <w:rsid w:val="002B5F8F"/>
    <w:rsid w:val="002B70DA"/>
    <w:rsid w:val="002B72A6"/>
    <w:rsid w:val="002B7DA4"/>
    <w:rsid w:val="002B7F30"/>
    <w:rsid w:val="002C052C"/>
    <w:rsid w:val="002C19ED"/>
    <w:rsid w:val="002C1B13"/>
    <w:rsid w:val="002C3228"/>
    <w:rsid w:val="002C34D7"/>
    <w:rsid w:val="002C3FC6"/>
    <w:rsid w:val="002C4520"/>
    <w:rsid w:val="002C5857"/>
    <w:rsid w:val="002C59A4"/>
    <w:rsid w:val="002C5F99"/>
    <w:rsid w:val="002C6933"/>
    <w:rsid w:val="002C69CA"/>
    <w:rsid w:val="002C7560"/>
    <w:rsid w:val="002C7655"/>
    <w:rsid w:val="002D00D8"/>
    <w:rsid w:val="002D0628"/>
    <w:rsid w:val="002D1091"/>
    <w:rsid w:val="002D16B6"/>
    <w:rsid w:val="002D196E"/>
    <w:rsid w:val="002D1AFF"/>
    <w:rsid w:val="002D1BDA"/>
    <w:rsid w:val="002D2737"/>
    <w:rsid w:val="002D317F"/>
    <w:rsid w:val="002D364E"/>
    <w:rsid w:val="002D5ED6"/>
    <w:rsid w:val="002D63F1"/>
    <w:rsid w:val="002D640A"/>
    <w:rsid w:val="002D6C8A"/>
    <w:rsid w:val="002D7017"/>
    <w:rsid w:val="002D7362"/>
    <w:rsid w:val="002D7A1D"/>
    <w:rsid w:val="002E0D2D"/>
    <w:rsid w:val="002E131A"/>
    <w:rsid w:val="002E1711"/>
    <w:rsid w:val="002E1E42"/>
    <w:rsid w:val="002E22D0"/>
    <w:rsid w:val="002E3172"/>
    <w:rsid w:val="002E414F"/>
    <w:rsid w:val="002E421C"/>
    <w:rsid w:val="002E4A45"/>
    <w:rsid w:val="002E5E72"/>
    <w:rsid w:val="002E6205"/>
    <w:rsid w:val="002E6784"/>
    <w:rsid w:val="002E7824"/>
    <w:rsid w:val="002E785B"/>
    <w:rsid w:val="002F037E"/>
    <w:rsid w:val="002F0CB5"/>
    <w:rsid w:val="002F1CCE"/>
    <w:rsid w:val="002F1CF1"/>
    <w:rsid w:val="002F2012"/>
    <w:rsid w:val="002F2707"/>
    <w:rsid w:val="002F3037"/>
    <w:rsid w:val="002F343B"/>
    <w:rsid w:val="002F3771"/>
    <w:rsid w:val="002F4FBB"/>
    <w:rsid w:val="002F5E2B"/>
    <w:rsid w:val="002F73CA"/>
    <w:rsid w:val="002F76F0"/>
    <w:rsid w:val="003002DE"/>
    <w:rsid w:val="003002F6"/>
    <w:rsid w:val="00300826"/>
    <w:rsid w:val="00300BBA"/>
    <w:rsid w:val="00301263"/>
    <w:rsid w:val="0030189E"/>
    <w:rsid w:val="00302A46"/>
    <w:rsid w:val="003052A9"/>
    <w:rsid w:val="0030594E"/>
    <w:rsid w:val="00305E83"/>
    <w:rsid w:val="00306033"/>
    <w:rsid w:val="00306DE7"/>
    <w:rsid w:val="00307D3D"/>
    <w:rsid w:val="00307EDC"/>
    <w:rsid w:val="00310087"/>
    <w:rsid w:val="0031054B"/>
    <w:rsid w:val="00310C6E"/>
    <w:rsid w:val="00311ACF"/>
    <w:rsid w:val="00312A2E"/>
    <w:rsid w:val="00312AEB"/>
    <w:rsid w:val="00314842"/>
    <w:rsid w:val="00314E63"/>
    <w:rsid w:val="00315D19"/>
    <w:rsid w:val="00315E66"/>
    <w:rsid w:val="00316096"/>
    <w:rsid w:val="003163A3"/>
    <w:rsid w:val="003163F4"/>
    <w:rsid w:val="00316A09"/>
    <w:rsid w:val="00316C85"/>
    <w:rsid w:val="00317911"/>
    <w:rsid w:val="00317F1E"/>
    <w:rsid w:val="00320C14"/>
    <w:rsid w:val="00321AA3"/>
    <w:rsid w:val="00321B0A"/>
    <w:rsid w:val="0032249B"/>
    <w:rsid w:val="00322D2E"/>
    <w:rsid w:val="00322F26"/>
    <w:rsid w:val="0032316C"/>
    <w:rsid w:val="00324764"/>
    <w:rsid w:val="00324A8D"/>
    <w:rsid w:val="00324EA2"/>
    <w:rsid w:val="003254D4"/>
    <w:rsid w:val="0032581E"/>
    <w:rsid w:val="0032625D"/>
    <w:rsid w:val="003268A4"/>
    <w:rsid w:val="00327052"/>
    <w:rsid w:val="00327226"/>
    <w:rsid w:val="00330039"/>
    <w:rsid w:val="00330271"/>
    <w:rsid w:val="0033043A"/>
    <w:rsid w:val="00331B1D"/>
    <w:rsid w:val="0033262D"/>
    <w:rsid w:val="00332B15"/>
    <w:rsid w:val="00332D31"/>
    <w:rsid w:val="00333439"/>
    <w:rsid w:val="003335C1"/>
    <w:rsid w:val="00333C86"/>
    <w:rsid w:val="00334402"/>
    <w:rsid w:val="00334A93"/>
    <w:rsid w:val="00334D6F"/>
    <w:rsid w:val="00334E84"/>
    <w:rsid w:val="00335408"/>
    <w:rsid w:val="00335723"/>
    <w:rsid w:val="0033644C"/>
    <w:rsid w:val="00336DD2"/>
    <w:rsid w:val="00336E8A"/>
    <w:rsid w:val="00337F85"/>
    <w:rsid w:val="00340A87"/>
    <w:rsid w:val="00340BF8"/>
    <w:rsid w:val="00341EDE"/>
    <w:rsid w:val="003434F0"/>
    <w:rsid w:val="0034485F"/>
    <w:rsid w:val="0034606C"/>
    <w:rsid w:val="003467E2"/>
    <w:rsid w:val="00347A06"/>
    <w:rsid w:val="00347C4A"/>
    <w:rsid w:val="00350B5A"/>
    <w:rsid w:val="00350B9F"/>
    <w:rsid w:val="0035350C"/>
    <w:rsid w:val="003537AB"/>
    <w:rsid w:val="0035531C"/>
    <w:rsid w:val="00355EAC"/>
    <w:rsid w:val="003560C8"/>
    <w:rsid w:val="003561AB"/>
    <w:rsid w:val="0035649C"/>
    <w:rsid w:val="00360D48"/>
    <w:rsid w:val="003621F0"/>
    <w:rsid w:val="003628A6"/>
    <w:rsid w:val="003637A3"/>
    <w:rsid w:val="00363C17"/>
    <w:rsid w:val="00363D70"/>
    <w:rsid w:val="00363E1B"/>
    <w:rsid w:val="00364154"/>
    <w:rsid w:val="003644DF"/>
    <w:rsid w:val="00365A6D"/>
    <w:rsid w:val="00365D5F"/>
    <w:rsid w:val="003667D7"/>
    <w:rsid w:val="003674E8"/>
    <w:rsid w:val="003679F3"/>
    <w:rsid w:val="003716D8"/>
    <w:rsid w:val="00372A32"/>
    <w:rsid w:val="00372DA7"/>
    <w:rsid w:val="00372FD3"/>
    <w:rsid w:val="00373637"/>
    <w:rsid w:val="003738D4"/>
    <w:rsid w:val="00373B47"/>
    <w:rsid w:val="00374BA1"/>
    <w:rsid w:val="00374CFE"/>
    <w:rsid w:val="00374E89"/>
    <w:rsid w:val="00374EF5"/>
    <w:rsid w:val="00375EE6"/>
    <w:rsid w:val="0037706C"/>
    <w:rsid w:val="003802E8"/>
    <w:rsid w:val="0038088C"/>
    <w:rsid w:val="00381F90"/>
    <w:rsid w:val="0038270F"/>
    <w:rsid w:val="0038382A"/>
    <w:rsid w:val="0038535C"/>
    <w:rsid w:val="00385929"/>
    <w:rsid w:val="00385B52"/>
    <w:rsid w:val="00387858"/>
    <w:rsid w:val="00390525"/>
    <w:rsid w:val="00390791"/>
    <w:rsid w:val="00390915"/>
    <w:rsid w:val="00390B5B"/>
    <w:rsid w:val="003910FD"/>
    <w:rsid w:val="003911E5"/>
    <w:rsid w:val="003926D8"/>
    <w:rsid w:val="003927C9"/>
    <w:rsid w:val="003929F1"/>
    <w:rsid w:val="00392E36"/>
    <w:rsid w:val="003930C8"/>
    <w:rsid w:val="00393D3D"/>
    <w:rsid w:val="003940AE"/>
    <w:rsid w:val="00394323"/>
    <w:rsid w:val="00394954"/>
    <w:rsid w:val="00394D06"/>
    <w:rsid w:val="00395C45"/>
    <w:rsid w:val="00396A49"/>
    <w:rsid w:val="00396F58"/>
    <w:rsid w:val="00397807"/>
    <w:rsid w:val="00397947"/>
    <w:rsid w:val="003A1942"/>
    <w:rsid w:val="003A2B72"/>
    <w:rsid w:val="003A3BF8"/>
    <w:rsid w:val="003A3F30"/>
    <w:rsid w:val="003A4C06"/>
    <w:rsid w:val="003A4FC1"/>
    <w:rsid w:val="003A5DA7"/>
    <w:rsid w:val="003A69C6"/>
    <w:rsid w:val="003A6F5E"/>
    <w:rsid w:val="003A7236"/>
    <w:rsid w:val="003A7618"/>
    <w:rsid w:val="003A79F1"/>
    <w:rsid w:val="003B0820"/>
    <w:rsid w:val="003B1A94"/>
    <w:rsid w:val="003B2693"/>
    <w:rsid w:val="003B3F24"/>
    <w:rsid w:val="003B4095"/>
    <w:rsid w:val="003B4BDD"/>
    <w:rsid w:val="003B537E"/>
    <w:rsid w:val="003B5388"/>
    <w:rsid w:val="003B5728"/>
    <w:rsid w:val="003B65A2"/>
    <w:rsid w:val="003B682D"/>
    <w:rsid w:val="003B786C"/>
    <w:rsid w:val="003C047C"/>
    <w:rsid w:val="003C09AC"/>
    <w:rsid w:val="003C1EC3"/>
    <w:rsid w:val="003C2A2E"/>
    <w:rsid w:val="003C2DBC"/>
    <w:rsid w:val="003C36B3"/>
    <w:rsid w:val="003C3B5F"/>
    <w:rsid w:val="003C429F"/>
    <w:rsid w:val="003C4508"/>
    <w:rsid w:val="003C4835"/>
    <w:rsid w:val="003C4E66"/>
    <w:rsid w:val="003C6A08"/>
    <w:rsid w:val="003C74C4"/>
    <w:rsid w:val="003C76CF"/>
    <w:rsid w:val="003D11D7"/>
    <w:rsid w:val="003D22DE"/>
    <w:rsid w:val="003D2355"/>
    <w:rsid w:val="003D2A8A"/>
    <w:rsid w:val="003D5ED0"/>
    <w:rsid w:val="003D710F"/>
    <w:rsid w:val="003E0E6C"/>
    <w:rsid w:val="003E0F1E"/>
    <w:rsid w:val="003E1F6E"/>
    <w:rsid w:val="003E23E3"/>
    <w:rsid w:val="003E2D4C"/>
    <w:rsid w:val="003E3518"/>
    <w:rsid w:val="003E3A57"/>
    <w:rsid w:val="003E3AE8"/>
    <w:rsid w:val="003E47C4"/>
    <w:rsid w:val="003E47C7"/>
    <w:rsid w:val="003E543B"/>
    <w:rsid w:val="003E577B"/>
    <w:rsid w:val="003E5837"/>
    <w:rsid w:val="003E6167"/>
    <w:rsid w:val="003E65C7"/>
    <w:rsid w:val="003E76E3"/>
    <w:rsid w:val="003F0183"/>
    <w:rsid w:val="003F1941"/>
    <w:rsid w:val="003F1E9C"/>
    <w:rsid w:val="003F2966"/>
    <w:rsid w:val="003F3829"/>
    <w:rsid w:val="003F3C2F"/>
    <w:rsid w:val="003F5347"/>
    <w:rsid w:val="003F60F3"/>
    <w:rsid w:val="003F6531"/>
    <w:rsid w:val="003F7281"/>
    <w:rsid w:val="004005AC"/>
    <w:rsid w:val="004006B4"/>
    <w:rsid w:val="004014D9"/>
    <w:rsid w:val="004020EC"/>
    <w:rsid w:val="00402B47"/>
    <w:rsid w:val="00402C41"/>
    <w:rsid w:val="00403047"/>
    <w:rsid w:val="00403A0A"/>
    <w:rsid w:val="00404057"/>
    <w:rsid w:val="00404B01"/>
    <w:rsid w:val="00404D32"/>
    <w:rsid w:val="0040527A"/>
    <w:rsid w:val="0040572C"/>
    <w:rsid w:val="0040591C"/>
    <w:rsid w:val="00405B53"/>
    <w:rsid w:val="00405E4E"/>
    <w:rsid w:val="0040652E"/>
    <w:rsid w:val="00406C66"/>
    <w:rsid w:val="004103F4"/>
    <w:rsid w:val="00410E88"/>
    <w:rsid w:val="004117CB"/>
    <w:rsid w:val="00411E9C"/>
    <w:rsid w:val="00411EE9"/>
    <w:rsid w:val="004128BB"/>
    <w:rsid w:val="00412DA9"/>
    <w:rsid w:val="00413A5F"/>
    <w:rsid w:val="004140E0"/>
    <w:rsid w:val="00414173"/>
    <w:rsid w:val="00415513"/>
    <w:rsid w:val="0041634E"/>
    <w:rsid w:val="00416630"/>
    <w:rsid w:val="00416EFF"/>
    <w:rsid w:val="00420C7F"/>
    <w:rsid w:val="00421CA1"/>
    <w:rsid w:val="00421F22"/>
    <w:rsid w:val="00422239"/>
    <w:rsid w:val="004235E1"/>
    <w:rsid w:val="00424033"/>
    <w:rsid w:val="004251D9"/>
    <w:rsid w:val="00425212"/>
    <w:rsid w:val="00425DCA"/>
    <w:rsid w:val="00426496"/>
    <w:rsid w:val="00426A65"/>
    <w:rsid w:val="00426B34"/>
    <w:rsid w:val="00426E13"/>
    <w:rsid w:val="004304E6"/>
    <w:rsid w:val="004313E7"/>
    <w:rsid w:val="00432B37"/>
    <w:rsid w:val="00432C07"/>
    <w:rsid w:val="0043359E"/>
    <w:rsid w:val="00433C1B"/>
    <w:rsid w:val="00433FCC"/>
    <w:rsid w:val="00434744"/>
    <w:rsid w:val="00434D93"/>
    <w:rsid w:val="004360C9"/>
    <w:rsid w:val="00436B2D"/>
    <w:rsid w:val="004378BC"/>
    <w:rsid w:val="00437EF8"/>
    <w:rsid w:val="004411B9"/>
    <w:rsid w:val="0044150A"/>
    <w:rsid w:val="00441788"/>
    <w:rsid w:val="004421CF"/>
    <w:rsid w:val="00442B6F"/>
    <w:rsid w:val="00443A6E"/>
    <w:rsid w:val="00445532"/>
    <w:rsid w:val="00445668"/>
    <w:rsid w:val="004457DF"/>
    <w:rsid w:val="004475E3"/>
    <w:rsid w:val="004507A4"/>
    <w:rsid w:val="00450F9D"/>
    <w:rsid w:val="0045139E"/>
    <w:rsid w:val="00451EBE"/>
    <w:rsid w:val="00452238"/>
    <w:rsid w:val="004522EA"/>
    <w:rsid w:val="004523D6"/>
    <w:rsid w:val="0045276F"/>
    <w:rsid w:val="004527D0"/>
    <w:rsid w:val="00452A4F"/>
    <w:rsid w:val="00452F00"/>
    <w:rsid w:val="004543AF"/>
    <w:rsid w:val="00454AC0"/>
    <w:rsid w:val="00454DD1"/>
    <w:rsid w:val="00457D1C"/>
    <w:rsid w:val="00457EBC"/>
    <w:rsid w:val="00457F8F"/>
    <w:rsid w:val="004606C2"/>
    <w:rsid w:val="00461322"/>
    <w:rsid w:val="00462C90"/>
    <w:rsid w:val="0046301F"/>
    <w:rsid w:val="00463350"/>
    <w:rsid w:val="00463589"/>
    <w:rsid w:val="004636FD"/>
    <w:rsid w:val="00463FB4"/>
    <w:rsid w:val="004659F9"/>
    <w:rsid w:val="00466F95"/>
    <w:rsid w:val="00467685"/>
    <w:rsid w:val="00471150"/>
    <w:rsid w:val="0047117D"/>
    <w:rsid w:val="00471327"/>
    <w:rsid w:val="00471558"/>
    <w:rsid w:val="00471AE3"/>
    <w:rsid w:val="00472115"/>
    <w:rsid w:val="00472209"/>
    <w:rsid w:val="0047233E"/>
    <w:rsid w:val="00474A3B"/>
    <w:rsid w:val="00475330"/>
    <w:rsid w:val="004753A9"/>
    <w:rsid w:val="00475B9E"/>
    <w:rsid w:val="00477729"/>
    <w:rsid w:val="00480082"/>
    <w:rsid w:val="0048148D"/>
    <w:rsid w:val="00481EB9"/>
    <w:rsid w:val="00482DCC"/>
    <w:rsid w:val="00482EE6"/>
    <w:rsid w:val="004831DE"/>
    <w:rsid w:val="004834A8"/>
    <w:rsid w:val="00484363"/>
    <w:rsid w:val="0048477E"/>
    <w:rsid w:val="00484EA7"/>
    <w:rsid w:val="00485B3F"/>
    <w:rsid w:val="00485BA4"/>
    <w:rsid w:val="00485BC8"/>
    <w:rsid w:val="004873F9"/>
    <w:rsid w:val="004876DE"/>
    <w:rsid w:val="00487FCC"/>
    <w:rsid w:val="00490B5D"/>
    <w:rsid w:val="00491C3F"/>
    <w:rsid w:val="00491C99"/>
    <w:rsid w:val="00493EE7"/>
    <w:rsid w:val="0049469F"/>
    <w:rsid w:val="00494CA5"/>
    <w:rsid w:val="00494E9C"/>
    <w:rsid w:val="004957FA"/>
    <w:rsid w:val="00495C03"/>
    <w:rsid w:val="00496D48"/>
    <w:rsid w:val="00497382"/>
    <w:rsid w:val="004A3256"/>
    <w:rsid w:val="004A3840"/>
    <w:rsid w:val="004A39B6"/>
    <w:rsid w:val="004A479F"/>
    <w:rsid w:val="004A6C89"/>
    <w:rsid w:val="004A6FA5"/>
    <w:rsid w:val="004A7399"/>
    <w:rsid w:val="004A77C3"/>
    <w:rsid w:val="004A7D23"/>
    <w:rsid w:val="004B1D94"/>
    <w:rsid w:val="004B2086"/>
    <w:rsid w:val="004B2499"/>
    <w:rsid w:val="004B2F7D"/>
    <w:rsid w:val="004B30E8"/>
    <w:rsid w:val="004B3288"/>
    <w:rsid w:val="004B33AE"/>
    <w:rsid w:val="004B36B1"/>
    <w:rsid w:val="004B3C8A"/>
    <w:rsid w:val="004B4CB7"/>
    <w:rsid w:val="004B510F"/>
    <w:rsid w:val="004B5635"/>
    <w:rsid w:val="004B5970"/>
    <w:rsid w:val="004B5AE3"/>
    <w:rsid w:val="004B730F"/>
    <w:rsid w:val="004B7687"/>
    <w:rsid w:val="004C044A"/>
    <w:rsid w:val="004C17F1"/>
    <w:rsid w:val="004C1DE8"/>
    <w:rsid w:val="004C2009"/>
    <w:rsid w:val="004C2574"/>
    <w:rsid w:val="004C4086"/>
    <w:rsid w:val="004C4A3D"/>
    <w:rsid w:val="004C4C16"/>
    <w:rsid w:val="004C5059"/>
    <w:rsid w:val="004C54C8"/>
    <w:rsid w:val="004C5AD8"/>
    <w:rsid w:val="004C7198"/>
    <w:rsid w:val="004D0079"/>
    <w:rsid w:val="004D041B"/>
    <w:rsid w:val="004D1196"/>
    <w:rsid w:val="004D2607"/>
    <w:rsid w:val="004D33D4"/>
    <w:rsid w:val="004D34D5"/>
    <w:rsid w:val="004D36F2"/>
    <w:rsid w:val="004D3863"/>
    <w:rsid w:val="004D48FE"/>
    <w:rsid w:val="004D4D3F"/>
    <w:rsid w:val="004D554B"/>
    <w:rsid w:val="004D5AC9"/>
    <w:rsid w:val="004D642F"/>
    <w:rsid w:val="004D67A7"/>
    <w:rsid w:val="004D72FE"/>
    <w:rsid w:val="004D7656"/>
    <w:rsid w:val="004D7E66"/>
    <w:rsid w:val="004E055B"/>
    <w:rsid w:val="004E0610"/>
    <w:rsid w:val="004E0ADF"/>
    <w:rsid w:val="004E1433"/>
    <w:rsid w:val="004E1B2E"/>
    <w:rsid w:val="004E1FCB"/>
    <w:rsid w:val="004E2C9A"/>
    <w:rsid w:val="004E2FAD"/>
    <w:rsid w:val="004E3A1F"/>
    <w:rsid w:val="004E3D61"/>
    <w:rsid w:val="004E43BF"/>
    <w:rsid w:val="004E43F5"/>
    <w:rsid w:val="004E455E"/>
    <w:rsid w:val="004E4AC6"/>
    <w:rsid w:val="004E4BB8"/>
    <w:rsid w:val="004E4FB4"/>
    <w:rsid w:val="004E569D"/>
    <w:rsid w:val="004E5ABE"/>
    <w:rsid w:val="004E66E4"/>
    <w:rsid w:val="004E7FDC"/>
    <w:rsid w:val="004F0413"/>
    <w:rsid w:val="004F0C82"/>
    <w:rsid w:val="004F1B0F"/>
    <w:rsid w:val="004F1EB7"/>
    <w:rsid w:val="004F2FF1"/>
    <w:rsid w:val="004F3111"/>
    <w:rsid w:val="004F3477"/>
    <w:rsid w:val="004F34DD"/>
    <w:rsid w:val="004F489D"/>
    <w:rsid w:val="004F4C00"/>
    <w:rsid w:val="004F583B"/>
    <w:rsid w:val="004F5AB5"/>
    <w:rsid w:val="004F6AE0"/>
    <w:rsid w:val="004F6B48"/>
    <w:rsid w:val="004F6C3B"/>
    <w:rsid w:val="004F6EFF"/>
    <w:rsid w:val="004F6FBB"/>
    <w:rsid w:val="004F769A"/>
    <w:rsid w:val="00501096"/>
    <w:rsid w:val="005016DC"/>
    <w:rsid w:val="0050171E"/>
    <w:rsid w:val="00501F3E"/>
    <w:rsid w:val="0050298B"/>
    <w:rsid w:val="005040A6"/>
    <w:rsid w:val="00504CB1"/>
    <w:rsid w:val="005065A4"/>
    <w:rsid w:val="00506E90"/>
    <w:rsid w:val="005071D3"/>
    <w:rsid w:val="005072E3"/>
    <w:rsid w:val="005100B2"/>
    <w:rsid w:val="00511800"/>
    <w:rsid w:val="00511BF6"/>
    <w:rsid w:val="0051232F"/>
    <w:rsid w:val="0051335E"/>
    <w:rsid w:val="005146AB"/>
    <w:rsid w:val="00514A34"/>
    <w:rsid w:val="00515036"/>
    <w:rsid w:val="00515AA6"/>
    <w:rsid w:val="00515EC0"/>
    <w:rsid w:val="005163C6"/>
    <w:rsid w:val="00516664"/>
    <w:rsid w:val="00516B78"/>
    <w:rsid w:val="00516BB6"/>
    <w:rsid w:val="00517B90"/>
    <w:rsid w:val="005213D3"/>
    <w:rsid w:val="00522B42"/>
    <w:rsid w:val="005230E1"/>
    <w:rsid w:val="005232E1"/>
    <w:rsid w:val="00523698"/>
    <w:rsid w:val="0052527F"/>
    <w:rsid w:val="00525B63"/>
    <w:rsid w:val="005264BB"/>
    <w:rsid w:val="005276A7"/>
    <w:rsid w:val="00527D1D"/>
    <w:rsid w:val="00527D76"/>
    <w:rsid w:val="00527EBF"/>
    <w:rsid w:val="00530017"/>
    <w:rsid w:val="00530C35"/>
    <w:rsid w:val="00530E05"/>
    <w:rsid w:val="00532974"/>
    <w:rsid w:val="0053335B"/>
    <w:rsid w:val="00533B88"/>
    <w:rsid w:val="00533D2A"/>
    <w:rsid w:val="00535593"/>
    <w:rsid w:val="00535F14"/>
    <w:rsid w:val="005360AF"/>
    <w:rsid w:val="00536524"/>
    <w:rsid w:val="00537258"/>
    <w:rsid w:val="005375FC"/>
    <w:rsid w:val="005379A5"/>
    <w:rsid w:val="00537B9B"/>
    <w:rsid w:val="00540457"/>
    <w:rsid w:val="005410B5"/>
    <w:rsid w:val="005411A8"/>
    <w:rsid w:val="00541276"/>
    <w:rsid w:val="00543199"/>
    <w:rsid w:val="00543FE3"/>
    <w:rsid w:val="005466D0"/>
    <w:rsid w:val="00547412"/>
    <w:rsid w:val="00550B84"/>
    <w:rsid w:val="005511E4"/>
    <w:rsid w:val="00553579"/>
    <w:rsid w:val="005535F8"/>
    <w:rsid w:val="00553633"/>
    <w:rsid w:val="00553744"/>
    <w:rsid w:val="00553C12"/>
    <w:rsid w:val="00553DD6"/>
    <w:rsid w:val="00554961"/>
    <w:rsid w:val="00555F3F"/>
    <w:rsid w:val="005566A8"/>
    <w:rsid w:val="00557D6B"/>
    <w:rsid w:val="00557F44"/>
    <w:rsid w:val="00560D5D"/>
    <w:rsid w:val="00561B0E"/>
    <w:rsid w:val="00562317"/>
    <w:rsid w:val="00562425"/>
    <w:rsid w:val="0056317B"/>
    <w:rsid w:val="0056338A"/>
    <w:rsid w:val="00563D95"/>
    <w:rsid w:val="00564299"/>
    <w:rsid w:val="00564F91"/>
    <w:rsid w:val="00565041"/>
    <w:rsid w:val="005650C6"/>
    <w:rsid w:val="00565852"/>
    <w:rsid w:val="00565A38"/>
    <w:rsid w:val="00565D41"/>
    <w:rsid w:val="005676F7"/>
    <w:rsid w:val="00570B2A"/>
    <w:rsid w:val="0057235A"/>
    <w:rsid w:val="005727AF"/>
    <w:rsid w:val="00572E52"/>
    <w:rsid w:val="00572FE1"/>
    <w:rsid w:val="00573447"/>
    <w:rsid w:val="005735F1"/>
    <w:rsid w:val="0057384A"/>
    <w:rsid w:val="00573E63"/>
    <w:rsid w:val="00574E97"/>
    <w:rsid w:val="00576857"/>
    <w:rsid w:val="00576894"/>
    <w:rsid w:val="00580187"/>
    <w:rsid w:val="00580263"/>
    <w:rsid w:val="005819B9"/>
    <w:rsid w:val="00581ADC"/>
    <w:rsid w:val="00581F75"/>
    <w:rsid w:val="00584FA0"/>
    <w:rsid w:val="00585017"/>
    <w:rsid w:val="005857FC"/>
    <w:rsid w:val="005863FC"/>
    <w:rsid w:val="0058678E"/>
    <w:rsid w:val="00587F64"/>
    <w:rsid w:val="00590AF7"/>
    <w:rsid w:val="0059171D"/>
    <w:rsid w:val="00591DEA"/>
    <w:rsid w:val="00592A89"/>
    <w:rsid w:val="00592C17"/>
    <w:rsid w:val="005931B8"/>
    <w:rsid w:val="005948EF"/>
    <w:rsid w:val="0059576F"/>
    <w:rsid w:val="005957C9"/>
    <w:rsid w:val="00597D94"/>
    <w:rsid w:val="005A0246"/>
    <w:rsid w:val="005A1F28"/>
    <w:rsid w:val="005A2D15"/>
    <w:rsid w:val="005A451A"/>
    <w:rsid w:val="005A52DE"/>
    <w:rsid w:val="005A69FE"/>
    <w:rsid w:val="005A7A7F"/>
    <w:rsid w:val="005A7ACA"/>
    <w:rsid w:val="005B102B"/>
    <w:rsid w:val="005B17AD"/>
    <w:rsid w:val="005B190C"/>
    <w:rsid w:val="005B1CD6"/>
    <w:rsid w:val="005B254E"/>
    <w:rsid w:val="005B294B"/>
    <w:rsid w:val="005B3054"/>
    <w:rsid w:val="005B5352"/>
    <w:rsid w:val="005B60BD"/>
    <w:rsid w:val="005B6418"/>
    <w:rsid w:val="005B66AC"/>
    <w:rsid w:val="005C07AE"/>
    <w:rsid w:val="005C0C33"/>
    <w:rsid w:val="005C0C94"/>
    <w:rsid w:val="005C0F59"/>
    <w:rsid w:val="005C18ED"/>
    <w:rsid w:val="005C2707"/>
    <w:rsid w:val="005C2EC8"/>
    <w:rsid w:val="005C425B"/>
    <w:rsid w:val="005C5902"/>
    <w:rsid w:val="005C6A5A"/>
    <w:rsid w:val="005D05E3"/>
    <w:rsid w:val="005D0653"/>
    <w:rsid w:val="005D0AA1"/>
    <w:rsid w:val="005D1B48"/>
    <w:rsid w:val="005D1C8E"/>
    <w:rsid w:val="005D291E"/>
    <w:rsid w:val="005D3298"/>
    <w:rsid w:val="005D3806"/>
    <w:rsid w:val="005D3D1D"/>
    <w:rsid w:val="005D540C"/>
    <w:rsid w:val="005D5D29"/>
    <w:rsid w:val="005D5E1A"/>
    <w:rsid w:val="005D61FD"/>
    <w:rsid w:val="005D6B80"/>
    <w:rsid w:val="005D747A"/>
    <w:rsid w:val="005D7639"/>
    <w:rsid w:val="005D78A6"/>
    <w:rsid w:val="005E0379"/>
    <w:rsid w:val="005E0448"/>
    <w:rsid w:val="005E0BB7"/>
    <w:rsid w:val="005E133F"/>
    <w:rsid w:val="005E1488"/>
    <w:rsid w:val="005E1749"/>
    <w:rsid w:val="005E1955"/>
    <w:rsid w:val="005E289F"/>
    <w:rsid w:val="005E2C3C"/>
    <w:rsid w:val="005E376E"/>
    <w:rsid w:val="005E3DCF"/>
    <w:rsid w:val="005E4082"/>
    <w:rsid w:val="005E4712"/>
    <w:rsid w:val="005E4917"/>
    <w:rsid w:val="005E7E31"/>
    <w:rsid w:val="005F0458"/>
    <w:rsid w:val="005F222C"/>
    <w:rsid w:val="005F2348"/>
    <w:rsid w:val="005F27CA"/>
    <w:rsid w:val="005F2B21"/>
    <w:rsid w:val="005F2FC4"/>
    <w:rsid w:val="005F4062"/>
    <w:rsid w:val="005F62AA"/>
    <w:rsid w:val="005F646A"/>
    <w:rsid w:val="005F6487"/>
    <w:rsid w:val="005F7116"/>
    <w:rsid w:val="0060155F"/>
    <w:rsid w:val="0060177F"/>
    <w:rsid w:val="0060199A"/>
    <w:rsid w:val="006048C6"/>
    <w:rsid w:val="00604EF0"/>
    <w:rsid w:val="00604FF2"/>
    <w:rsid w:val="00605619"/>
    <w:rsid w:val="00605DF5"/>
    <w:rsid w:val="00605F85"/>
    <w:rsid w:val="00605F9C"/>
    <w:rsid w:val="00607CE0"/>
    <w:rsid w:val="00607CE4"/>
    <w:rsid w:val="006104A5"/>
    <w:rsid w:val="00610C5F"/>
    <w:rsid w:val="00611C33"/>
    <w:rsid w:val="00612729"/>
    <w:rsid w:val="006133EB"/>
    <w:rsid w:val="00614118"/>
    <w:rsid w:val="00614420"/>
    <w:rsid w:val="006144EF"/>
    <w:rsid w:val="00614521"/>
    <w:rsid w:val="00615021"/>
    <w:rsid w:val="006158CA"/>
    <w:rsid w:val="00615E0A"/>
    <w:rsid w:val="006167DD"/>
    <w:rsid w:val="00621248"/>
    <w:rsid w:val="00621CEE"/>
    <w:rsid w:val="00622A60"/>
    <w:rsid w:val="00625325"/>
    <w:rsid w:val="00625BC1"/>
    <w:rsid w:val="00626612"/>
    <w:rsid w:val="006269FE"/>
    <w:rsid w:val="006277E8"/>
    <w:rsid w:val="0063075F"/>
    <w:rsid w:val="00634F75"/>
    <w:rsid w:val="00635436"/>
    <w:rsid w:val="006355AD"/>
    <w:rsid w:val="006355D0"/>
    <w:rsid w:val="00636354"/>
    <w:rsid w:val="00636858"/>
    <w:rsid w:val="00636D71"/>
    <w:rsid w:val="0063716A"/>
    <w:rsid w:val="006371B3"/>
    <w:rsid w:val="0063732D"/>
    <w:rsid w:val="00637442"/>
    <w:rsid w:val="006377A5"/>
    <w:rsid w:val="0064087F"/>
    <w:rsid w:val="00640D8B"/>
    <w:rsid w:val="00641C86"/>
    <w:rsid w:val="006441BC"/>
    <w:rsid w:val="0064462F"/>
    <w:rsid w:val="00644C79"/>
    <w:rsid w:val="006453AD"/>
    <w:rsid w:val="00647015"/>
    <w:rsid w:val="00650941"/>
    <w:rsid w:val="006513CB"/>
    <w:rsid w:val="006526C7"/>
    <w:rsid w:val="00652CD3"/>
    <w:rsid w:val="00652F91"/>
    <w:rsid w:val="00654C56"/>
    <w:rsid w:val="006553C9"/>
    <w:rsid w:val="0065555F"/>
    <w:rsid w:val="00655649"/>
    <w:rsid w:val="006574B6"/>
    <w:rsid w:val="006575E7"/>
    <w:rsid w:val="006577E7"/>
    <w:rsid w:val="0065791E"/>
    <w:rsid w:val="00660B2F"/>
    <w:rsid w:val="00660CE8"/>
    <w:rsid w:val="006617EA"/>
    <w:rsid w:val="00663003"/>
    <w:rsid w:val="0066336B"/>
    <w:rsid w:val="00664C32"/>
    <w:rsid w:val="00664C7B"/>
    <w:rsid w:val="00664E4B"/>
    <w:rsid w:val="0066583B"/>
    <w:rsid w:val="006659A0"/>
    <w:rsid w:val="0066640C"/>
    <w:rsid w:val="00666480"/>
    <w:rsid w:val="00666E7B"/>
    <w:rsid w:val="00667B40"/>
    <w:rsid w:val="00667C90"/>
    <w:rsid w:val="006700ED"/>
    <w:rsid w:val="00671F87"/>
    <w:rsid w:val="00672511"/>
    <w:rsid w:val="006730CD"/>
    <w:rsid w:val="006731CA"/>
    <w:rsid w:val="00673215"/>
    <w:rsid w:val="00674DC8"/>
    <w:rsid w:val="00674E4E"/>
    <w:rsid w:val="00675016"/>
    <w:rsid w:val="00675098"/>
    <w:rsid w:val="006752F4"/>
    <w:rsid w:val="006753D3"/>
    <w:rsid w:val="00675775"/>
    <w:rsid w:val="00675A37"/>
    <w:rsid w:val="0067667F"/>
    <w:rsid w:val="00676EE8"/>
    <w:rsid w:val="00677797"/>
    <w:rsid w:val="00680648"/>
    <w:rsid w:val="00680982"/>
    <w:rsid w:val="00681B02"/>
    <w:rsid w:val="00681B51"/>
    <w:rsid w:val="00681E5E"/>
    <w:rsid w:val="00682411"/>
    <w:rsid w:val="0068288E"/>
    <w:rsid w:val="006837F1"/>
    <w:rsid w:val="0068407F"/>
    <w:rsid w:val="0068411D"/>
    <w:rsid w:val="00684B14"/>
    <w:rsid w:val="006875BD"/>
    <w:rsid w:val="00687947"/>
    <w:rsid w:val="006900B6"/>
    <w:rsid w:val="0069066A"/>
    <w:rsid w:val="00690A30"/>
    <w:rsid w:val="00690C33"/>
    <w:rsid w:val="00691A22"/>
    <w:rsid w:val="006921E8"/>
    <w:rsid w:val="00692505"/>
    <w:rsid w:val="0069288F"/>
    <w:rsid w:val="00692C95"/>
    <w:rsid w:val="0069495E"/>
    <w:rsid w:val="006952EF"/>
    <w:rsid w:val="00697892"/>
    <w:rsid w:val="00697F4C"/>
    <w:rsid w:val="006A0604"/>
    <w:rsid w:val="006A0779"/>
    <w:rsid w:val="006A0AD7"/>
    <w:rsid w:val="006A122C"/>
    <w:rsid w:val="006A16CB"/>
    <w:rsid w:val="006A1C7E"/>
    <w:rsid w:val="006A216C"/>
    <w:rsid w:val="006A3729"/>
    <w:rsid w:val="006A4867"/>
    <w:rsid w:val="006A540C"/>
    <w:rsid w:val="006A691C"/>
    <w:rsid w:val="006A6AC9"/>
    <w:rsid w:val="006A7D57"/>
    <w:rsid w:val="006B1211"/>
    <w:rsid w:val="006B13EE"/>
    <w:rsid w:val="006B20A9"/>
    <w:rsid w:val="006B2BDA"/>
    <w:rsid w:val="006B35CE"/>
    <w:rsid w:val="006B3F91"/>
    <w:rsid w:val="006B49B4"/>
    <w:rsid w:val="006B4FBF"/>
    <w:rsid w:val="006B5A80"/>
    <w:rsid w:val="006B6556"/>
    <w:rsid w:val="006B7430"/>
    <w:rsid w:val="006B7441"/>
    <w:rsid w:val="006B7E77"/>
    <w:rsid w:val="006C008A"/>
    <w:rsid w:val="006C1007"/>
    <w:rsid w:val="006C2223"/>
    <w:rsid w:val="006C2498"/>
    <w:rsid w:val="006C3F13"/>
    <w:rsid w:val="006C4637"/>
    <w:rsid w:val="006C4FD9"/>
    <w:rsid w:val="006C55B4"/>
    <w:rsid w:val="006C5B50"/>
    <w:rsid w:val="006C5C6A"/>
    <w:rsid w:val="006C5F16"/>
    <w:rsid w:val="006C6E2B"/>
    <w:rsid w:val="006C70A1"/>
    <w:rsid w:val="006D120F"/>
    <w:rsid w:val="006D3A0E"/>
    <w:rsid w:val="006D4E28"/>
    <w:rsid w:val="006D506E"/>
    <w:rsid w:val="006D549F"/>
    <w:rsid w:val="006D5E0B"/>
    <w:rsid w:val="006D5E79"/>
    <w:rsid w:val="006D60D3"/>
    <w:rsid w:val="006D67AD"/>
    <w:rsid w:val="006D75E7"/>
    <w:rsid w:val="006E022F"/>
    <w:rsid w:val="006E028F"/>
    <w:rsid w:val="006E19B4"/>
    <w:rsid w:val="006E1AFF"/>
    <w:rsid w:val="006E1DA3"/>
    <w:rsid w:val="006E2785"/>
    <w:rsid w:val="006E27F9"/>
    <w:rsid w:val="006E2BB4"/>
    <w:rsid w:val="006E355E"/>
    <w:rsid w:val="006E46F8"/>
    <w:rsid w:val="006E475A"/>
    <w:rsid w:val="006E6066"/>
    <w:rsid w:val="006E616B"/>
    <w:rsid w:val="006E63F8"/>
    <w:rsid w:val="006E65F6"/>
    <w:rsid w:val="006E67F3"/>
    <w:rsid w:val="006E7165"/>
    <w:rsid w:val="006E73F3"/>
    <w:rsid w:val="006E7520"/>
    <w:rsid w:val="006E78A1"/>
    <w:rsid w:val="006E7B0B"/>
    <w:rsid w:val="006E7B58"/>
    <w:rsid w:val="006E7B9D"/>
    <w:rsid w:val="006E7D5E"/>
    <w:rsid w:val="006F1D58"/>
    <w:rsid w:val="006F1F4B"/>
    <w:rsid w:val="006F2F26"/>
    <w:rsid w:val="006F4FE4"/>
    <w:rsid w:val="006F57E5"/>
    <w:rsid w:val="006F60CF"/>
    <w:rsid w:val="006F6813"/>
    <w:rsid w:val="006F68C3"/>
    <w:rsid w:val="006F77AC"/>
    <w:rsid w:val="006F7B98"/>
    <w:rsid w:val="00700447"/>
    <w:rsid w:val="00700858"/>
    <w:rsid w:val="0070169D"/>
    <w:rsid w:val="00701AD9"/>
    <w:rsid w:val="00701C5A"/>
    <w:rsid w:val="0070219A"/>
    <w:rsid w:val="00702FC1"/>
    <w:rsid w:val="00705248"/>
    <w:rsid w:val="0070571A"/>
    <w:rsid w:val="007060C5"/>
    <w:rsid w:val="007064A6"/>
    <w:rsid w:val="00706DCA"/>
    <w:rsid w:val="00706F2F"/>
    <w:rsid w:val="00707185"/>
    <w:rsid w:val="0070738A"/>
    <w:rsid w:val="00710014"/>
    <w:rsid w:val="007104C5"/>
    <w:rsid w:val="00710B31"/>
    <w:rsid w:val="00710FAD"/>
    <w:rsid w:val="00711B61"/>
    <w:rsid w:val="007121F5"/>
    <w:rsid w:val="007136B5"/>
    <w:rsid w:val="007139D6"/>
    <w:rsid w:val="00714455"/>
    <w:rsid w:val="0071455F"/>
    <w:rsid w:val="00714D71"/>
    <w:rsid w:val="00715808"/>
    <w:rsid w:val="00715DFC"/>
    <w:rsid w:val="0071624F"/>
    <w:rsid w:val="00716390"/>
    <w:rsid w:val="0071709A"/>
    <w:rsid w:val="007179F2"/>
    <w:rsid w:val="0072050B"/>
    <w:rsid w:val="007206E6"/>
    <w:rsid w:val="007213C4"/>
    <w:rsid w:val="00721CD1"/>
    <w:rsid w:val="00721D08"/>
    <w:rsid w:val="00722BC2"/>
    <w:rsid w:val="00722F6A"/>
    <w:rsid w:val="0072303F"/>
    <w:rsid w:val="007233A8"/>
    <w:rsid w:val="00723C2F"/>
    <w:rsid w:val="00723E50"/>
    <w:rsid w:val="007253A7"/>
    <w:rsid w:val="00726A7C"/>
    <w:rsid w:val="007270CF"/>
    <w:rsid w:val="007272EE"/>
    <w:rsid w:val="0072762A"/>
    <w:rsid w:val="00727714"/>
    <w:rsid w:val="00727A5B"/>
    <w:rsid w:val="00727A61"/>
    <w:rsid w:val="00730A58"/>
    <w:rsid w:val="00731DEC"/>
    <w:rsid w:val="00733798"/>
    <w:rsid w:val="00734241"/>
    <w:rsid w:val="00734BF9"/>
    <w:rsid w:val="0073516B"/>
    <w:rsid w:val="00735B2A"/>
    <w:rsid w:val="0073667F"/>
    <w:rsid w:val="007378EE"/>
    <w:rsid w:val="00737AF0"/>
    <w:rsid w:val="00737F30"/>
    <w:rsid w:val="00743EC5"/>
    <w:rsid w:val="007443D4"/>
    <w:rsid w:val="0074517D"/>
    <w:rsid w:val="00745CAF"/>
    <w:rsid w:val="007466A0"/>
    <w:rsid w:val="00751DF5"/>
    <w:rsid w:val="00752545"/>
    <w:rsid w:val="00753814"/>
    <w:rsid w:val="00753AC2"/>
    <w:rsid w:val="00755FA0"/>
    <w:rsid w:val="00756694"/>
    <w:rsid w:val="00757F97"/>
    <w:rsid w:val="007602F9"/>
    <w:rsid w:val="0076097D"/>
    <w:rsid w:val="00761558"/>
    <w:rsid w:val="00762B0E"/>
    <w:rsid w:val="00762F96"/>
    <w:rsid w:val="00763C72"/>
    <w:rsid w:val="00765991"/>
    <w:rsid w:val="007666D5"/>
    <w:rsid w:val="00766FCE"/>
    <w:rsid w:val="00767571"/>
    <w:rsid w:val="00767916"/>
    <w:rsid w:val="00767B44"/>
    <w:rsid w:val="00771417"/>
    <w:rsid w:val="00772CC0"/>
    <w:rsid w:val="00773D88"/>
    <w:rsid w:val="0077445A"/>
    <w:rsid w:val="00774680"/>
    <w:rsid w:val="00776998"/>
    <w:rsid w:val="00777911"/>
    <w:rsid w:val="007779C1"/>
    <w:rsid w:val="00777FA6"/>
    <w:rsid w:val="00780B7B"/>
    <w:rsid w:val="00780D71"/>
    <w:rsid w:val="00781157"/>
    <w:rsid w:val="0078159F"/>
    <w:rsid w:val="00783253"/>
    <w:rsid w:val="00783CEA"/>
    <w:rsid w:val="0078456F"/>
    <w:rsid w:val="00784AD3"/>
    <w:rsid w:val="00784B2B"/>
    <w:rsid w:val="00784EE0"/>
    <w:rsid w:val="00785EA9"/>
    <w:rsid w:val="007861AF"/>
    <w:rsid w:val="007861CC"/>
    <w:rsid w:val="00786304"/>
    <w:rsid w:val="00787893"/>
    <w:rsid w:val="00787D6C"/>
    <w:rsid w:val="0079038B"/>
    <w:rsid w:val="007922E1"/>
    <w:rsid w:val="0079427F"/>
    <w:rsid w:val="00794604"/>
    <w:rsid w:val="00794AAC"/>
    <w:rsid w:val="00794AC8"/>
    <w:rsid w:val="00795193"/>
    <w:rsid w:val="0079589F"/>
    <w:rsid w:val="00796866"/>
    <w:rsid w:val="00797322"/>
    <w:rsid w:val="007A102A"/>
    <w:rsid w:val="007A31D8"/>
    <w:rsid w:val="007A39B1"/>
    <w:rsid w:val="007A3DA4"/>
    <w:rsid w:val="007A3F3F"/>
    <w:rsid w:val="007A4136"/>
    <w:rsid w:val="007A453D"/>
    <w:rsid w:val="007A4D5A"/>
    <w:rsid w:val="007A4D88"/>
    <w:rsid w:val="007A51F6"/>
    <w:rsid w:val="007A5995"/>
    <w:rsid w:val="007A6917"/>
    <w:rsid w:val="007A7E5A"/>
    <w:rsid w:val="007B0182"/>
    <w:rsid w:val="007B0A38"/>
    <w:rsid w:val="007B0D16"/>
    <w:rsid w:val="007B2003"/>
    <w:rsid w:val="007B2D08"/>
    <w:rsid w:val="007B35ED"/>
    <w:rsid w:val="007B396D"/>
    <w:rsid w:val="007B3B82"/>
    <w:rsid w:val="007B3DF4"/>
    <w:rsid w:val="007B42BE"/>
    <w:rsid w:val="007B45CB"/>
    <w:rsid w:val="007B4AA3"/>
    <w:rsid w:val="007B5403"/>
    <w:rsid w:val="007B5609"/>
    <w:rsid w:val="007B5766"/>
    <w:rsid w:val="007B5F01"/>
    <w:rsid w:val="007B630F"/>
    <w:rsid w:val="007C0163"/>
    <w:rsid w:val="007C02A9"/>
    <w:rsid w:val="007C0A7A"/>
    <w:rsid w:val="007C1022"/>
    <w:rsid w:val="007C1AE0"/>
    <w:rsid w:val="007C1E6D"/>
    <w:rsid w:val="007C28E6"/>
    <w:rsid w:val="007C2A0B"/>
    <w:rsid w:val="007C2A65"/>
    <w:rsid w:val="007C2DB8"/>
    <w:rsid w:val="007C2EF0"/>
    <w:rsid w:val="007C2F7E"/>
    <w:rsid w:val="007C2F84"/>
    <w:rsid w:val="007C3CB9"/>
    <w:rsid w:val="007C5666"/>
    <w:rsid w:val="007C5E36"/>
    <w:rsid w:val="007C6023"/>
    <w:rsid w:val="007C679B"/>
    <w:rsid w:val="007C6A71"/>
    <w:rsid w:val="007C7080"/>
    <w:rsid w:val="007C7600"/>
    <w:rsid w:val="007D006E"/>
    <w:rsid w:val="007D0374"/>
    <w:rsid w:val="007D0940"/>
    <w:rsid w:val="007D0ABD"/>
    <w:rsid w:val="007D11BC"/>
    <w:rsid w:val="007D1B8C"/>
    <w:rsid w:val="007D20E9"/>
    <w:rsid w:val="007D2F08"/>
    <w:rsid w:val="007D32D2"/>
    <w:rsid w:val="007D3562"/>
    <w:rsid w:val="007D35DF"/>
    <w:rsid w:val="007D4190"/>
    <w:rsid w:val="007D4247"/>
    <w:rsid w:val="007D4393"/>
    <w:rsid w:val="007D4A5F"/>
    <w:rsid w:val="007D5056"/>
    <w:rsid w:val="007D52EE"/>
    <w:rsid w:val="007D5B07"/>
    <w:rsid w:val="007D7378"/>
    <w:rsid w:val="007E0642"/>
    <w:rsid w:val="007E0712"/>
    <w:rsid w:val="007E09A5"/>
    <w:rsid w:val="007E09B8"/>
    <w:rsid w:val="007E0DD8"/>
    <w:rsid w:val="007E0FE8"/>
    <w:rsid w:val="007E1B74"/>
    <w:rsid w:val="007E1C86"/>
    <w:rsid w:val="007E1D7A"/>
    <w:rsid w:val="007E21E1"/>
    <w:rsid w:val="007E3386"/>
    <w:rsid w:val="007E34F1"/>
    <w:rsid w:val="007E5C08"/>
    <w:rsid w:val="007E5D12"/>
    <w:rsid w:val="007E5DBB"/>
    <w:rsid w:val="007E63C0"/>
    <w:rsid w:val="007E666E"/>
    <w:rsid w:val="007E6B79"/>
    <w:rsid w:val="007E6B9A"/>
    <w:rsid w:val="007E70C7"/>
    <w:rsid w:val="007F02EB"/>
    <w:rsid w:val="007F0C50"/>
    <w:rsid w:val="007F0FAE"/>
    <w:rsid w:val="007F137B"/>
    <w:rsid w:val="007F154D"/>
    <w:rsid w:val="007F1667"/>
    <w:rsid w:val="007F16B9"/>
    <w:rsid w:val="007F181F"/>
    <w:rsid w:val="007F2D2D"/>
    <w:rsid w:val="007F2F11"/>
    <w:rsid w:val="007F343F"/>
    <w:rsid w:val="007F4076"/>
    <w:rsid w:val="007F4BF4"/>
    <w:rsid w:val="007F5796"/>
    <w:rsid w:val="007F5F46"/>
    <w:rsid w:val="007F76A8"/>
    <w:rsid w:val="007F7ABF"/>
    <w:rsid w:val="0080004D"/>
    <w:rsid w:val="00800845"/>
    <w:rsid w:val="00801444"/>
    <w:rsid w:val="00801F39"/>
    <w:rsid w:val="008024D8"/>
    <w:rsid w:val="008024DE"/>
    <w:rsid w:val="00803460"/>
    <w:rsid w:val="00803B02"/>
    <w:rsid w:val="00803C15"/>
    <w:rsid w:val="00804CC6"/>
    <w:rsid w:val="00804CD4"/>
    <w:rsid w:val="00805EC1"/>
    <w:rsid w:val="0080607A"/>
    <w:rsid w:val="00807521"/>
    <w:rsid w:val="0080790D"/>
    <w:rsid w:val="00810557"/>
    <w:rsid w:val="008106B8"/>
    <w:rsid w:val="00810F6A"/>
    <w:rsid w:val="00811AAD"/>
    <w:rsid w:val="00811B99"/>
    <w:rsid w:val="00812C6E"/>
    <w:rsid w:val="00812E94"/>
    <w:rsid w:val="0081338E"/>
    <w:rsid w:val="00813495"/>
    <w:rsid w:val="00813BEE"/>
    <w:rsid w:val="00814684"/>
    <w:rsid w:val="00815105"/>
    <w:rsid w:val="00815A38"/>
    <w:rsid w:val="008161FD"/>
    <w:rsid w:val="00816F25"/>
    <w:rsid w:val="00817327"/>
    <w:rsid w:val="00820197"/>
    <w:rsid w:val="008204C6"/>
    <w:rsid w:val="00820D7C"/>
    <w:rsid w:val="0082118A"/>
    <w:rsid w:val="00821837"/>
    <w:rsid w:val="00821B8D"/>
    <w:rsid w:val="00821F19"/>
    <w:rsid w:val="0082209C"/>
    <w:rsid w:val="008224BB"/>
    <w:rsid w:val="00822DFB"/>
    <w:rsid w:val="00822EBB"/>
    <w:rsid w:val="00823269"/>
    <w:rsid w:val="008235D2"/>
    <w:rsid w:val="00824C5A"/>
    <w:rsid w:val="00824DFF"/>
    <w:rsid w:val="00825AEF"/>
    <w:rsid w:val="008265EF"/>
    <w:rsid w:val="00827DB5"/>
    <w:rsid w:val="00831F2F"/>
    <w:rsid w:val="00832653"/>
    <w:rsid w:val="008336DB"/>
    <w:rsid w:val="00834D1F"/>
    <w:rsid w:val="00835247"/>
    <w:rsid w:val="00835F16"/>
    <w:rsid w:val="0083695B"/>
    <w:rsid w:val="0083728C"/>
    <w:rsid w:val="008379F9"/>
    <w:rsid w:val="00840108"/>
    <w:rsid w:val="00840831"/>
    <w:rsid w:val="00840FC8"/>
    <w:rsid w:val="008422AF"/>
    <w:rsid w:val="00842B12"/>
    <w:rsid w:val="00842BA2"/>
    <w:rsid w:val="00842F1A"/>
    <w:rsid w:val="008438DF"/>
    <w:rsid w:val="008439CA"/>
    <w:rsid w:val="00843C4B"/>
    <w:rsid w:val="0084425F"/>
    <w:rsid w:val="008446FA"/>
    <w:rsid w:val="00844ED5"/>
    <w:rsid w:val="0084700E"/>
    <w:rsid w:val="00847449"/>
    <w:rsid w:val="00847D38"/>
    <w:rsid w:val="00847DBC"/>
    <w:rsid w:val="008500D1"/>
    <w:rsid w:val="00850136"/>
    <w:rsid w:val="00851430"/>
    <w:rsid w:val="008524E7"/>
    <w:rsid w:val="008528A2"/>
    <w:rsid w:val="00852A15"/>
    <w:rsid w:val="00853ED0"/>
    <w:rsid w:val="008547F2"/>
    <w:rsid w:val="00854AB9"/>
    <w:rsid w:val="00854DBC"/>
    <w:rsid w:val="00854EEF"/>
    <w:rsid w:val="008550E2"/>
    <w:rsid w:val="0085588E"/>
    <w:rsid w:val="008571C4"/>
    <w:rsid w:val="00857A23"/>
    <w:rsid w:val="00857E9B"/>
    <w:rsid w:val="008602B8"/>
    <w:rsid w:val="00860503"/>
    <w:rsid w:val="00861C13"/>
    <w:rsid w:val="00862170"/>
    <w:rsid w:val="008634BB"/>
    <w:rsid w:val="00863BC0"/>
    <w:rsid w:val="00863C6F"/>
    <w:rsid w:val="00863FA0"/>
    <w:rsid w:val="008644C6"/>
    <w:rsid w:val="00864DC4"/>
    <w:rsid w:val="00865944"/>
    <w:rsid w:val="00865D86"/>
    <w:rsid w:val="00866909"/>
    <w:rsid w:val="00866F69"/>
    <w:rsid w:val="008671D1"/>
    <w:rsid w:val="00867500"/>
    <w:rsid w:val="00867666"/>
    <w:rsid w:val="008679DE"/>
    <w:rsid w:val="00867EE9"/>
    <w:rsid w:val="00867F5D"/>
    <w:rsid w:val="008700DE"/>
    <w:rsid w:val="00871DA1"/>
    <w:rsid w:val="0087264D"/>
    <w:rsid w:val="00872E5C"/>
    <w:rsid w:val="00873FE7"/>
    <w:rsid w:val="008746DE"/>
    <w:rsid w:val="00875C05"/>
    <w:rsid w:val="00876BD4"/>
    <w:rsid w:val="00877156"/>
    <w:rsid w:val="00877F9C"/>
    <w:rsid w:val="00881517"/>
    <w:rsid w:val="00881550"/>
    <w:rsid w:val="008832F6"/>
    <w:rsid w:val="00884B30"/>
    <w:rsid w:val="00884C8A"/>
    <w:rsid w:val="00884F33"/>
    <w:rsid w:val="00885618"/>
    <w:rsid w:val="00885D22"/>
    <w:rsid w:val="00886645"/>
    <w:rsid w:val="008867A6"/>
    <w:rsid w:val="008870E9"/>
    <w:rsid w:val="00887241"/>
    <w:rsid w:val="00890741"/>
    <w:rsid w:val="0089091E"/>
    <w:rsid w:val="0089108E"/>
    <w:rsid w:val="00891E7F"/>
    <w:rsid w:val="00892142"/>
    <w:rsid w:val="00894571"/>
    <w:rsid w:val="00894886"/>
    <w:rsid w:val="0089571E"/>
    <w:rsid w:val="00895B99"/>
    <w:rsid w:val="0089686A"/>
    <w:rsid w:val="00897DF9"/>
    <w:rsid w:val="0089BB27"/>
    <w:rsid w:val="008A004E"/>
    <w:rsid w:val="008A25EB"/>
    <w:rsid w:val="008A2E8E"/>
    <w:rsid w:val="008A3082"/>
    <w:rsid w:val="008A4792"/>
    <w:rsid w:val="008A4FBC"/>
    <w:rsid w:val="008A5234"/>
    <w:rsid w:val="008A52DF"/>
    <w:rsid w:val="008A5605"/>
    <w:rsid w:val="008A6501"/>
    <w:rsid w:val="008A682B"/>
    <w:rsid w:val="008A6875"/>
    <w:rsid w:val="008A6E52"/>
    <w:rsid w:val="008A78C6"/>
    <w:rsid w:val="008B0429"/>
    <w:rsid w:val="008B1604"/>
    <w:rsid w:val="008B1BBD"/>
    <w:rsid w:val="008B25DC"/>
    <w:rsid w:val="008B4EEE"/>
    <w:rsid w:val="008B5824"/>
    <w:rsid w:val="008B5F24"/>
    <w:rsid w:val="008B69C5"/>
    <w:rsid w:val="008B6A72"/>
    <w:rsid w:val="008B72E7"/>
    <w:rsid w:val="008C12F2"/>
    <w:rsid w:val="008C42F3"/>
    <w:rsid w:val="008C4811"/>
    <w:rsid w:val="008C4BFC"/>
    <w:rsid w:val="008C61C9"/>
    <w:rsid w:val="008C6C28"/>
    <w:rsid w:val="008D0197"/>
    <w:rsid w:val="008D16A0"/>
    <w:rsid w:val="008D1E6A"/>
    <w:rsid w:val="008D22FB"/>
    <w:rsid w:val="008D269B"/>
    <w:rsid w:val="008D280C"/>
    <w:rsid w:val="008D2C1B"/>
    <w:rsid w:val="008D3034"/>
    <w:rsid w:val="008D3274"/>
    <w:rsid w:val="008D4069"/>
    <w:rsid w:val="008D48A3"/>
    <w:rsid w:val="008D5365"/>
    <w:rsid w:val="008E0193"/>
    <w:rsid w:val="008E0AA4"/>
    <w:rsid w:val="008E1623"/>
    <w:rsid w:val="008E199E"/>
    <w:rsid w:val="008E1F61"/>
    <w:rsid w:val="008E3391"/>
    <w:rsid w:val="008E48F9"/>
    <w:rsid w:val="008E5F70"/>
    <w:rsid w:val="008E6036"/>
    <w:rsid w:val="008E6913"/>
    <w:rsid w:val="008E704A"/>
    <w:rsid w:val="008E711F"/>
    <w:rsid w:val="008F08E9"/>
    <w:rsid w:val="008F0A68"/>
    <w:rsid w:val="008F0BD7"/>
    <w:rsid w:val="008F0F7A"/>
    <w:rsid w:val="008F1C85"/>
    <w:rsid w:val="008F30FC"/>
    <w:rsid w:val="008F3509"/>
    <w:rsid w:val="008F3C89"/>
    <w:rsid w:val="008F40F9"/>
    <w:rsid w:val="008F4704"/>
    <w:rsid w:val="008F4CBC"/>
    <w:rsid w:val="008F53B4"/>
    <w:rsid w:val="008F781D"/>
    <w:rsid w:val="008F7A73"/>
    <w:rsid w:val="00900C6A"/>
    <w:rsid w:val="0090104E"/>
    <w:rsid w:val="00901C48"/>
    <w:rsid w:val="00901C5C"/>
    <w:rsid w:val="0090360D"/>
    <w:rsid w:val="00904109"/>
    <w:rsid w:val="00905722"/>
    <w:rsid w:val="00905B01"/>
    <w:rsid w:val="009063DF"/>
    <w:rsid w:val="00906DF2"/>
    <w:rsid w:val="00906FB1"/>
    <w:rsid w:val="00907141"/>
    <w:rsid w:val="009102D8"/>
    <w:rsid w:val="00910389"/>
    <w:rsid w:val="009107C1"/>
    <w:rsid w:val="00910971"/>
    <w:rsid w:val="00910CBB"/>
    <w:rsid w:val="00910D0A"/>
    <w:rsid w:val="009126E9"/>
    <w:rsid w:val="00912B34"/>
    <w:rsid w:val="00912C28"/>
    <w:rsid w:val="009132DB"/>
    <w:rsid w:val="009133A2"/>
    <w:rsid w:val="00914346"/>
    <w:rsid w:val="009143DC"/>
    <w:rsid w:val="009145F7"/>
    <w:rsid w:val="00914D0D"/>
    <w:rsid w:val="00914E2A"/>
    <w:rsid w:val="00915003"/>
    <w:rsid w:val="00915975"/>
    <w:rsid w:val="00915B37"/>
    <w:rsid w:val="00916BED"/>
    <w:rsid w:val="009178AE"/>
    <w:rsid w:val="00917FBA"/>
    <w:rsid w:val="0092065C"/>
    <w:rsid w:val="009211F9"/>
    <w:rsid w:val="009216DC"/>
    <w:rsid w:val="00922500"/>
    <w:rsid w:val="0092431B"/>
    <w:rsid w:val="00925678"/>
    <w:rsid w:val="009256D2"/>
    <w:rsid w:val="00926712"/>
    <w:rsid w:val="00926E73"/>
    <w:rsid w:val="009278E7"/>
    <w:rsid w:val="00927A9C"/>
    <w:rsid w:val="00927D68"/>
    <w:rsid w:val="0093065E"/>
    <w:rsid w:val="00931485"/>
    <w:rsid w:val="009314B3"/>
    <w:rsid w:val="009316DE"/>
    <w:rsid w:val="009318DB"/>
    <w:rsid w:val="00931E46"/>
    <w:rsid w:val="009324B0"/>
    <w:rsid w:val="00932D74"/>
    <w:rsid w:val="0093389C"/>
    <w:rsid w:val="009345B4"/>
    <w:rsid w:val="00934ACF"/>
    <w:rsid w:val="00934BE3"/>
    <w:rsid w:val="0093527C"/>
    <w:rsid w:val="00936309"/>
    <w:rsid w:val="00936E6A"/>
    <w:rsid w:val="0093769E"/>
    <w:rsid w:val="0094008F"/>
    <w:rsid w:val="00940658"/>
    <w:rsid w:val="009406DD"/>
    <w:rsid w:val="009413DF"/>
    <w:rsid w:val="0094166A"/>
    <w:rsid w:val="0094178F"/>
    <w:rsid w:val="0094183E"/>
    <w:rsid w:val="00942C5E"/>
    <w:rsid w:val="00943C88"/>
    <w:rsid w:val="00943DD1"/>
    <w:rsid w:val="0094431D"/>
    <w:rsid w:val="009443B2"/>
    <w:rsid w:val="00944A88"/>
    <w:rsid w:val="00945276"/>
    <w:rsid w:val="00945343"/>
    <w:rsid w:val="0094546F"/>
    <w:rsid w:val="00946511"/>
    <w:rsid w:val="009467BD"/>
    <w:rsid w:val="009473C4"/>
    <w:rsid w:val="00947616"/>
    <w:rsid w:val="009479F7"/>
    <w:rsid w:val="00947ECF"/>
    <w:rsid w:val="009528D1"/>
    <w:rsid w:val="00952AA7"/>
    <w:rsid w:val="00952CF5"/>
    <w:rsid w:val="009535EB"/>
    <w:rsid w:val="00954A89"/>
    <w:rsid w:val="0095609D"/>
    <w:rsid w:val="00957B8B"/>
    <w:rsid w:val="0096034B"/>
    <w:rsid w:val="0096042D"/>
    <w:rsid w:val="00960797"/>
    <w:rsid w:val="00960D57"/>
    <w:rsid w:val="00962F0C"/>
    <w:rsid w:val="009635B3"/>
    <w:rsid w:val="00963DED"/>
    <w:rsid w:val="00963FB2"/>
    <w:rsid w:val="009643ED"/>
    <w:rsid w:val="00964822"/>
    <w:rsid w:val="00964BBE"/>
    <w:rsid w:val="00965382"/>
    <w:rsid w:val="009655AE"/>
    <w:rsid w:val="009659DA"/>
    <w:rsid w:val="00965FCA"/>
    <w:rsid w:val="00966911"/>
    <w:rsid w:val="00966B4D"/>
    <w:rsid w:val="0096751B"/>
    <w:rsid w:val="0096752D"/>
    <w:rsid w:val="0096759C"/>
    <w:rsid w:val="00970934"/>
    <w:rsid w:val="00970BA5"/>
    <w:rsid w:val="00970BBE"/>
    <w:rsid w:val="0097158F"/>
    <w:rsid w:val="009719DA"/>
    <w:rsid w:val="0097253F"/>
    <w:rsid w:val="0097319E"/>
    <w:rsid w:val="009731C4"/>
    <w:rsid w:val="0097455E"/>
    <w:rsid w:val="0097476D"/>
    <w:rsid w:val="00975441"/>
    <w:rsid w:val="00975C29"/>
    <w:rsid w:val="00976512"/>
    <w:rsid w:val="00977347"/>
    <w:rsid w:val="00977EE4"/>
    <w:rsid w:val="00980933"/>
    <w:rsid w:val="00980974"/>
    <w:rsid w:val="00980CE4"/>
    <w:rsid w:val="00981B5F"/>
    <w:rsid w:val="0098253D"/>
    <w:rsid w:val="009834BC"/>
    <w:rsid w:val="00983FFD"/>
    <w:rsid w:val="009859A2"/>
    <w:rsid w:val="009865C2"/>
    <w:rsid w:val="0099097E"/>
    <w:rsid w:val="009915C4"/>
    <w:rsid w:val="009924C7"/>
    <w:rsid w:val="00992FBB"/>
    <w:rsid w:val="0099341F"/>
    <w:rsid w:val="0099475A"/>
    <w:rsid w:val="00996768"/>
    <w:rsid w:val="00997305"/>
    <w:rsid w:val="009A0476"/>
    <w:rsid w:val="009A0705"/>
    <w:rsid w:val="009A1BCD"/>
    <w:rsid w:val="009A29D6"/>
    <w:rsid w:val="009A2A1C"/>
    <w:rsid w:val="009A2A40"/>
    <w:rsid w:val="009A4241"/>
    <w:rsid w:val="009A47B8"/>
    <w:rsid w:val="009A5D46"/>
    <w:rsid w:val="009B13E4"/>
    <w:rsid w:val="009B30CC"/>
    <w:rsid w:val="009B3421"/>
    <w:rsid w:val="009B3EE8"/>
    <w:rsid w:val="009B5148"/>
    <w:rsid w:val="009B5CF4"/>
    <w:rsid w:val="009B5DCB"/>
    <w:rsid w:val="009B5F6A"/>
    <w:rsid w:val="009B6A45"/>
    <w:rsid w:val="009B7639"/>
    <w:rsid w:val="009B7D4C"/>
    <w:rsid w:val="009C014B"/>
    <w:rsid w:val="009C0709"/>
    <w:rsid w:val="009C1BA9"/>
    <w:rsid w:val="009C1E7B"/>
    <w:rsid w:val="009C20A3"/>
    <w:rsid w:val="009C23DF"/>
    <w:rsid w:val="009C2CFC"/>
    <w:rsid w:val="009C2D22"/>
    <w:rsid w:val="009C2F06"/>
    <w:rsid w:val="009C3155"/>
    <w:rsid w:val="009C3CF0"/>
    <w:rsid w:val="009C495B"/>
    <w:rsid w:val="009C5937"/>
    <w:rsid w:val="009C6402"/>
    <w:rsid w:val="009C6730"/>
    <w:rsid w:val="009C6C44"/>
    <w:rsid w:val="009C743F"/>
    <w:rsid w:val="009C75C0"/>
    <w:rsid w:val="009C76E9"/>
    <w:rsid w:val="009C78C2"/>
    <w:rsid w:val="009C7AED"/>
    <w:rsid w:val="009C7E68"/>
    <w:rsid w:val="009D0D87"/>
    <w:rsid w:val="009D2B09"/>
    <w:rsid w:val="009D2CE3"/>
    <w:rsid w:val="009D2E68"/>
    <w:rsid w:val="009D3068"/>
    <w:rsid w:val="009D37F0"/>
    <w:rsid w:val="009D4445"/>
    <w:rsid w:val="009D4648"/>
    <w:rsid w:val="009D4B6F"/>
    <w:rsid w:val="009D5F2A"/>
    <w:rsid w:val="009E0C07"/>
    <w:rsid w:val="009E15E6"/>
    <w:rsid w:val="009E2537"/>
    <w:rsid w:val="009E2FCA"/>
    <w:rsid w:val="009E30FD"/>
    <w:rsid w:val="009E3D8F"/>
    <w:rsid w:val="009E6453"/>
    <w:rsid w:val="009E6716"/>
    <w:rsid w:val="009E693C"/>
    <w:rsid w:val="009F01D0"/>
    <w:rsid w:val="009F04CF"/>
    <w:rsid w:val="009F163B"/>
    <w:rsid w:val="009F1E99"/>
    <w:rsid w:val="009F2034"/>
    <w:rsid w:val="009F21BB"/>
    <w:rsid w:val="009F2DD5"/>
    <w:rsid w:val="009F3D3F"/>
    <w:rsid w:val="009F3E81"/>
    <w:rsid w:val="009F3E86"/>
    <w:rsid w:val="009F44A3"/>
    <w:rsid w:val="009F4900"/>
    <w:rsid w:val="009F4D7B"/>
    <w:rsid w:val="009F4E16"/>
    <w:rsid w:val="009F585D"/>
    <w:rsid w:val="009F64BB"/>
    <w:rsid w:val="009F6E19"/>
    <w:rsid w:val="009F76BA"/>
    <w:rsid w:val="009F7811"/>
    <w:rsid w:val="009F7CF1"/>
    <w:rsid w:val="009F7F5D"/>
    <w:rsid w:val="00A00CA1"/>
    <w:rsid w:val="00A023BB"/>
    <w:rsid w:val="00A03AF8"/>
    <w:rsid w:val="00A03C6D"/>
    <w:rsid w:val="00A03F12"/>
    <w:rsid w:val="00A04472"/>
    <w:rsid w:val="00A04DF9"/>
    <w:rsid w:val="00A0507E"/>
    <w:rsid w:val="00A05219"/>
    <w:rsid w:val="00A05B20"/>
    <w:rsid w:val="00A076D7"/>
    <w:rsid w:val="00A077FC"/>
    <w:rsid w:val="00A10254"/>
    <w:rsid w:val="00A10602"/>
    <w:rsid w:val="00A10C30"/>
    <w:rsid w:val="00A1199E"/>
    <w:rsid w:val="00A121AF"/>
    <w:rsid w:val="00A1338D"/>
    <w:rsid w:val="00A1390D"/>
    <w:rsid w:val="00A13DE1"/>
    <w:rsid w:val="00A15C66"/>
    <w:rsid w:val="00A163D1"/>
    <w:rsid w:val="00A16B71"/>
    <w:rsid w:val="00A1747C"/>
    <w:rsid w:val="00A21137"/>
    <w:rsid w:val="00A2189B"/>
    <w:rsid w:val="00A218DE"/>
    <w:rsid w:val="00A22CCF"/>
    <w:rsid w:val="00A2489B"/>
    <w:rsid w:val="00A2524E"/>
    <w:rsid w:val="00A2595F"/>
    <w:rsid w:val="00A26458"/>
    <w:rsid w:val="00A2671F"/>
    <w:rsid w:val="00A277BB"/>
    <w:rsid w:val="00A315C3"/>
    <w:rsid w:val="00A317C1"/>
    <w:rsid w:val="00A31863"/>
    <w:rsid w:val="00A32CC0"/>
    <w:rsid w:val="00A333A1"/>
    <w:rsid w:val="00A333F1"/>
    <w:rsid w:val="00A34927"/>
    <w:rsid w:val="00A359BB"/>
    <w:rsid w:val="00A3610E"/>
    <w:rsid w:val="00A36793"/>
    <w:rsid w:val="00A36C7C"/>
    <w:rsid w:val="00A36CE4"/>
    <w:rsid w:val="00A36EEF"/>
    <w:rsid w:val="00A36FE8"/>
    <w:rsid w:val="00A425FB"/>
    <w:rsid w:val="00A45054"/>
    <w:rsid w:val="00A45248"/>
    <w:rsid w:val="00A45D95"/>
    <w:rsid w:val="00A4651A"/>
    <w:rsid w:val="00A46B07"/>
    <w:rsid w:val="00A46C9C"/>
    <w:rsid w:val="00A46E31"/>
    <w:rsid w:val="00A471AD"/>
    <w:rsid w:val="00A501B6"/>
    <w:rsid w:val="00A50CD9"/>
    <w:rsid w:val="00A50CDC"/>
    <w:rsid w:val="00A517F2"/>
    <w:rsid w:val="00A526D9"/>
    <w:rsid w:val="00A52D17"/>
    <w:rsid w:val="00A53600"/>
    <w:rsid w:val="00A53ADB"/>
    <w:rsid w:val="00A53B12"/>
    <w:rsid w:val="00A547BE"/>
    <w:rsid w:val="00A55FC2"/>
    <w:rsid w:val="00A56993"/>
    <w:rsid w:val="00A57FA9"/>
    <w:rsid w:val="00A602BC"/>
    <w:rsid w:val="00A60688"/>
    <w:rsid w:val="00A61273"/>
    <w:rsid w:val="00A62653"/>
    <w:rsid w:val="00A637D2"/>
    <w:rsid w:val="00A63A8E"/>
    <w:rsid w:val="00A64949"/>
    <w:rsid w:val="00A6495E"/>
    <w:rsid w:val="00A64E34"/>
    <w:rsid w:val="00A6536F"/>
    <w:rsid w:val="00A65843"/>
    <w:rsid w:val="00A65C54"/>
    <w:rsid w:val="00A664D5"/>
    <w:rsid w:val="00A66AFC"/>
    <w:rsid w:val="00A66C5E"/>
    <w:rsid w:val="00A67AB2"/>
    <w:rsid w:val="00A70351"/>
    <w:rsid w:val="00A70CF8"/>
    <w:rsid w:val="00A7214D"/>
    <w:rsid w:val="00A737CE"/>
    <w:rsid w:val="00A73F0D"/>
    <w:rsid w:val="00A743AB"/>
    <w:rsid w:val="00A7472E"/>
    <w:rsid w:val="00A750E7"/>
    <w:rsid w:val="00A754C0"/>
    <w:rsid w:val="00A762A9"/>
    <w:rsid w:val="00A76F66"/>
    <w:rsid w:val="00A7736D"/>
    <w:rsid w:val="00A77AE8"/>
    <w:rsid w:val="00A77C2B"/>
    <w:rsid w:val="00A793A3"/>
    <w:rsid w:val="00A80647"/>
    <w:rsid w:val="00A80A8F"/>
    <w:rsid w:val="00A80D46"/>
    <w:rsid w:val="00A81A59"/>
    <w:rsid w:val="00A8233F"/>
    <w:rsid w:val="00A8258A"/>
    <w:rsid w:val="00A828B7"/>
    <w:rsid w:val="00A84092"/>
    <w:rsid w:val="00A846A3"/>
    <w:rsid w:val="00A8563C"/>
    <w:rsid w:val="00A85690"/>
    <w:rsid w:val="00A857B5"/>
    <w:rsid w:val="00A86109"/>
    <w:rsid w:val="00A86E95"/>
    <w:rsid w:val="00A8727B"/>
    <w:rsid w:val="00A87A57"/>
    <w:rsid w:val="00A901B2"/>
    <w:rsid w:val="00A901FD"/>
    <w:rsid w:val="00A90525"/>
    <w:rsid w:val="00A90FF6"/>
    <w:rsid w:val="00A915CF"/>
    <w:rsid w:val="00A936F1"/>
    <w:rsid w:val="00A95162"/>
    <w:rsid w:val="00A953BC"/>
    <w:rsid w:val="00A973CA"/>
    <w:rsid w:val="00A976A3"/>
    <w:rsid w:val="00A97890"/>
    <w:rsid w:val="00A97C05"/>
    <w:rsid w:val="00AA20C0"/>
    <w:rsid w:val="00AA243D"/>
    <w:rsid w:val="00AA30BA"/>
    <w:rsid w:val="00AA3B62"/>
    <w:rsid w:val="00AA55A6"/>
    <w:rsid w:val="00AA5699"/>
    <w:rsid w:val="00AA685A"/>
    <w:rsid w:val="00AA75BC"/>
    <w:rsid w:val="00AA7826"/>
    <w:rsid w:val="00AA7F95"/>
    <w:rsid w:val="00AB0561"/>
    <w:rsid w:val="00AB0D1C"/>
    <w:rsid w:val="00AB1FD8"/>
    <w:rsid w:val="00AB2348"/>
    <w:rsid w:val="00AB2532"/>
    <w:rsid w:val="00AB2E24"/>
    <w:rsid w:val="00AB351B"/>
    <w:rsid w:val="00AB43CD"/>
    <w:rsid w:val="00AB60EE"/>
    <w:rsid w:val="00AB68A5"/>
    <w:rsid w:val="00AB6908"/>
    <w:rsid w:val="00AB6E56"/>
    <w:rsid w:val="00AB750A"/>
    <w:rsid w:val="00AC0B11"/>
    <w:rsid w:val="00AC22C0"/>
    <w:rsid w:val="00AC28CA"/>
    <w:rsid w:val="00AC34BA"/>
    <w:rsid w:val="00AC361D"/>
    <w:rsid w:val="00AC397E"/>
    <w:rsid w:val="00AC489B"/>
    <w:rsid w:val="00AC4948"/>
    <w:rsid w:val="00AC524F"/>
    <w:rsid w:val="00AC5F0B"/>
    <w:rsid w:val="00AC6398"/>
    <w:rsid w:val="00AC650E"/>
    <w:rsid w:val="00AC71F5"/>
    <w:rsid w:val="00AD00FC"/>
    <w:rsid w:val="00AD0D9F"/>
    <w:rsid w:val="00AD0F45"/>
    <w:rsid w:val="00AD0FA2"/>
    <w:rsid w:val="00AD15E3"/>
    <w:rsid w:val="00AD2B06"/>
    <w:rsid w:val="00AD3A7F"/>
    <w:rsid w:val="00AD474F"/>
    <w:rsid w:val="00AD52FD"/>
    <w:rsid w:val="00AD5D7C"/>
    <w:rsid w:val="00AD5E52"/>
    <w:rsid w:val="00AD67C9"/>
    <w:rsid w:val="00AD6870"/>
    <w:rsid w:val="00AD78DF"/>
    <w:rsid w:val="00AE01E1"/>
    <w:rsid w:val="00AE0EB5"/>
    <w:rsid w:val="00AE1A45"/>
    <w:rsid w:val="00AE205F"/>
    <w:rsid w:val="00AE2C81"/>
    <w:rsid w:val="00AE3213"/>
    <w:rsid w:val="00AE3FD2"/>
    <w:rsid w:val="00AE4C47"/>
    <w:rsid w:val="00AE4DD8"/>
    <w:rsid w:val="00AE588F"/>
    <w:rsid w:val="00AE6B02"/>
    <w:rsid w:val="00AE74BB"/>
    <w:rsid w:val="00AE7A72"/>
    <w:rsid w:val="00AE7B86"/>
    <w:rsid w:val="00AF0162"/>
    <w:rsid w:val="00AF1CE5"/>
    <w:rsid w:val="00AF204C"/>
    <w:rsid w:val="00AF20F4"/>
    <w:rsid w:val="00AF22FA"/>
    <w:rsid w:val="00AF38F8"/>
    <w:rsid w:val="00AF42C5"/>
    <w:rsid w:val="00AF47F0"/>
    <w:rsid w:val="00AF4C73"/>
    <w:rsid w:val="00AF58B5"/>
    <w:rsid w:val="00AF5DA6"/>
    <w:rsid w:val="00AF633C"/>
    <w:rsid w:val="00AF67C9"/>
    <w:rsid w:val="00AF7F4E"/>
    <w:rsid w:val="00B011EC"/>
    <w:rsid w:val="00B026AF"/>
    <w:rsid w:val="00B02C04"/>
    <w:rsid w:val="00B03905"/>
    <w:rsid w:val="00B041D5"/>
    <w:rsid w:val="00B04B0C"/>
    <w:rsid w:val="00B04CEE"/>
    <w:rsid w:val="00B053C8"/>
    <w:rsid w:val="00B065E4"/>
    <w:rsid w:val="00B07354"/>
    <w:rsid w:val="00B07A9B"/>
    <w:rsid w:val="00B10087"/>
    <w:rsid w:val="00B107FB"/>
    <w:rsid w:val="00B112E4"/>
    <w:rsid w:val="00B1141B"/>
    <w:rsid w:val="00B11508"/>
    <w:rsid w:val="00B12870"/>
    <w:rsid w:val="00B12CDE"/>
    <w:rsid w:val="00B13CC1"/>
    <w:rsid w:val="00B13E51"/>
    <w:rsid w:val="00B141D7"/>
    <w:rsid w:val="00B15157"/>
    <w:rsid w:val="00B15F0B"/>
    <w:rsid w:val="00B16C73"/>
    <w:rsid w:val="00B225A7"/>
    <w:rsid w:val="00B2283C"/>
    <w:rsid w:val="00B239DE"/>
    <w:rsid w:val="00B24148"/>
    <w:rsid w:val="00B2557A"/>
    <w:rsid w:val="00B2613C"/>
    <w:rsid w:val="00B26222"/>
    <w:rsid w:val="00B2734B"/>
    <w:rsid w:val="00B306A7"/>
    <w:rsid w:val="00B306C3"/>
    <w:rsid w:val="00B30844"/>
    <w:rsid w:val="00B30857"/>
    <w:rsid w:val="00B30EE0"/>
    <w:rsid w:val="00B31D8D"/>
    <w:rsid w:val="00B31EA0"/>
    <w:rsid w:val="00B31EAC"/>
    <w:rsid w:val="00B327C2"/>
    <w:rsid w:val="00B344F6"/>
    <w:rsid w:val="00B3597C"/>
    <w:rsid w:val="00B35A25"/>
    <w:rsid w:val="00B35EE9"/>
    <w:rsid w:val="00B3606A"/>
    <w:rsid w:val="00B3652F"/>
    <w:rsid w:val="00B3678E"/>
    <w:rsid w:val="00B370EB"/>
    <w:rsid w:val="00B37EF2"/>
    <w:rsid w:val="00B400DE"/>
    <w:rsid w:val="00B40423"/>
    <w:rsid w:val="00B40597"/>
    <w:rsid w:val="00B40630"/>
    <w:rsid w:val="00B40680"/>
    <w:rsid w:val="00B40BFC"/>
    <w:rsid w:val="00B40C47"/>
    <w:rsid w:val="00B411FB"/>
    <w:rsid w:val="00B419C6"/>
    <w:rsid w:val="00B42CBE"/>
    <w:rsid w:val="00B42E39"/>
    <w:rsid w:val="00B43452"/>
    <w:rsid w:val="00B43C35"/>
    <w:rsid w:val="00B4451F"/>
    <w:rsid w:val="00B44575"/>
    <w:rsid w:val="00B44ABF"/>
    <w:rsid w:val="00B45401"/>
    <w:rsid w:val="00B454DF"/>
    <w:rsid w:val="00B474E5"/>
    <w:rsid w:val="00B47D1F"/>
    <w:rsid w:val="00B5005F"/>
    <w:rsid w:val="00B503C2"/>
    <w:rsid w:val="00B519E2"/>
    <w:rsid w:val="00B5238D"/>
    <w:rsid w:val="00B527CC"/>
    <w:rsid w:val="00B52860"/>
    <w:rsid w:val="00B52987"/>
    <w:rsid w:val="00B52E48"/>
    <w:rsid w:val="00B5467E"/>
    <w:rsid w:val="00B5609F"/>
    <w:rsid w:val="00B56DB3"/>
    <w:rsid w:val="00B57D00"/>
    <w:rsid w:val="00B60925"/>
    <w:rsid w:val="00B60BF5"/>
    <w:rsid w:val="00B610DD"/>
    <w:rsid w:val="00B6216F"/>
    <w:rsid w:val="00B636C3"/>
    <w:rsid w:val="00B63E9A"/>
    <w:rsid w:val="00B64916"/>
    <w:rsid w:val="00B64AEA"/>
    <w:rsid w:val="00B65ED8"/>
    <w:rsid w:val="00B67D2B"/>
    <w:rsid w:val="00B701D0"/>
    <w:rsid w:val="00B71045"/>
    <w:rsid w:val="00B723A5"/>
    <w:rsid w:val="00B7372A"/>
    <w:rsid w:val="00B7379C"/>
    <w:rsid w:val="00B74C27"/>
    <w:rsid w:val="00B7735C"/>
    <w:rsid w:val="00B778D4"/>
    <w:rsid w:val="00B77C2C"/>
    <w:rsid w:val="00B807EA"/>
    <w:rsid w:val="00B80AC9"/>
    <w:rsid w:val="00B80EC9"/>
    <w:rsid w:val="00B8299D"/>
    <w:rsid w:val="00B82E24"/>
    <w:rsid w:val="00B83DAD"/>
    <w:rsid w:val="00B84296"/>
    <w:rsid w:val="00B848EC"/>
    <w:rsid w:val="00B85AAC"/>
    <w:rsid w:val="00B85DBC"/>
    <w:rsid w:val="00B85F21"/>
    <w:rsid w:val="00B863CD"/>
    <w:rsid w:val="00B87F6A"/>
    <w:rsid w:val="00B90206"/>
    <w:rsid w:val="00B909E1"/>
    <w:rsid w:val="00B92229"/>
    <w:rsid w:val="00B929DD"/>
    <w:rsid w:val="00B93065"/>
    <w:rsid w:val="00B932F5"/>
    <w:rsid w:val="00B942E6"/>
    <w:rsid w:val="00B94599"/>
    <w:rsid w:val="00B94A17"/>
    <w:rsid w:val="00B9567D"/>
    <w:rsid w:val="00B95959"/>
    <w:rsid w:val="00B96287"/>
    <w:rsid w:val="00B9667E"/>
    <w:rsid w:val="00B97117"/>
    <w:rsid w:val="00B97F77"/>
    <w:rsid w:val="00BA05DB"/>
    <w:rsid w:val="00BA14A2"/>
    <w:rsid w:val="00BA1888"/>
    <w:rsid w:val="00BA1E96"/>
    <w:rsid w:val="00BA246F"/>
    <w:rsid w:val="00BA2D74"/>
    <w:rsid w:val="00BA3810"/>
    <w:rsid w:val="00BA3A29"/>
    <w:rsid w:val="00BA3D5D"/>
    <w:rsid w:val="00BA4A5B"/>
    <w:rsid w:val="00BA4D12"/>
    <w:rsid w:val="00BA4ECB"/>
    <w:rsid w:val="00BA5781"/>
    <w:rsid w:val="00BA58E8"/>
    <w:rsid w:val="00BA5D0F"/>
    <w:rsid w:val="00BA5FFD"/>
    <w:rsid w:val="00BA6E27"/>
    <w:rsid w:val="00BA7B28"/>
    <w:rsid w:val="00BB2829"/>
    <w:rsid w:val="00BB2B43"/>
    <w:rsid w:val="00BB378D"/>
    <w:rsid w:val="00BB3DAD"/>
    <w:rsid w:val="00BB47C6"/>
    <w:rsid w:val="00BB534C"/>
    <w:rsid w:val="00BB633B"/>
    <w:rsid w:val="00BB72D5"/>
    <w:rsid w:val="00BB79AA"/>
    <w:rsid w:val="00BC022C"/>
    <w:rsid w:val="00BC0CE5"/>
    <w:rsid w:val="00BC1A98"/>
    <w:rsid w:val="00BC2E63"/>
    <w:rsid w:val="00BC2F01"/>
    <w:rsid w:val="00BC2F88"/>
    <w:rsid w:val="00BC30A3"/>
    <w:rsid w:val="00BC441F"/>
    <w:rsid w:val="00BC5348"/>
    <w:rsid w:val="00BC55ED"/>
    <w:rsid w:val="00BC5C98"/>
    <w:rsid w:val="00BC5F26"/>
    <w:rsid w:val="00BD186D"/>
    <w:rsid w:val="00BD195E"/>
    <w:rsid w:val="00BD229B"/>
    <w:rsid w:val="00BD2665"/>
    <w:rsid w:val="00BD2DE5"/>
    <w:rsid w:val="00BD3662"/>
    <w:rsid w:val="00BD3999"/>
    <w:rsid w:val="00BD49FF"/>
    <w:rsid w:val="00BD66A7"/>
    <w:rsid w:val="00BD7037"/>
    <w:rsid w:val="00BE0170"/>
    <w:rsid w:val="00BE01B1"/>
    <w:rsid w:val="00BE08A1"/>
    <w:rsid w:val="00BE0E28"/>
    <w:rsid w:val="00BE1124"/>
    <w:rsid w:val="00BE1B0D"/>
    <w:rsid w:val="00BE2235"/>
    <w:rsid w:val="00BE2AA9"/>
    <w:rsid w:val="00BE2AD2"/>
    <w:rsid w:val="00BE3045"/>
    <w:rsid w:val="00BE459E"/>
    <w:rsid w:val="00BE4760"/>
    <w:rsid w:val="00BE56C4"/>
    <w:rsid w:val="00BE5E50"/>
    <w:rsid w:val="00BE66B3"/>
    <w:rsid w:val="00BE689A"/>
    <w:rsid w:val="00BE712E"/>
    <w:rsid w:val="00BE77A2"/>
    <w:rsid w:val="00BF0629"/>
    <w:rsid w:val="00BF0879"/>
    <w:rsid w:val="00BF0B7E"/>
    <w:rsid w:val="00BF0CAA"/>
    <w:rsid w:val="00BF16A1"/>
    <w:rsid w:val="00BF2E08"/>
    <w:rsid w:val="00BF4211"/>
    <w:rsid w:val="00BF5232"/>
    <w:rsid w:val="00BF5761"/>
    <w:rsid w:val="00BF5B41"/>
    <w:rsid w:val="00BF5FCD"/>
    <w:rsid w:val="00BF657F"/>
    <w:rsid w:val="00BF6886"/>
    <w:rsid w:val="00BF6936"/>
    <w:rsid w:val="00BF7554"/>
    <w:rsid w:val="00C01137"/>
    <w:rsid w:val="00C01234"/>
    <w:rsid w:val="00C02848"/>
    <w:rsid w:val="00C03A3A"/>
    <w:rsid w:val="00C0415B"/>
    <w:rsid w:val="00C04877"/>
    <w:rsid w:val="00C07651"/>
    <w:rsid w:val="00C10980"/>
    <w:rsid w:val="00C10C0B"/>
    <w:rsid w:val="00C11EDA"/>
    <w:rsid w:val="00C13963"/>
    <w:rsid w:val="00C13C95"/>
    <w:rsid w:val="00C13FC1"/>
    <w:rsid w:val="00C140A5"/>
    <w:rsid w:val="00C15C63"/>
    <w:rsid w:val="00C1634F"/>
    <w:rsid w:val="00C20265"/>
    <w:rsid w:val="00C207BD"/>
    <w:rsid w:val="00C216C4"/>
    <w:rsid w:val="00C22179"/>
    <w:rsid w:val="00C23051"/>
    <w:rsid w:val="00C2322C"/>
    <w:rsid w:val="00C23A69"/>
    <w:rsid w:val="00C24129"/>
    <w:rsid w:val="00C24630"/>
    <w:rsid w:val="00C25E83"/>
    <w:rsid w:val="00C26A96"/>
    <w:rsid w:val="00C2733D"/>
    <w:rsid w:val="00C300B1"/>
    <w:rsid w:val="00C30420"/>
    <w:rsid w:val="00C316AE"/>
    <w:rsid w:val="00C326A1"/>
    <w:rsid w:val="00C327EE"/>
    <w:rsid w:val="00C32BBA"/>
    <w:rsid w:val="00C34CCC"/>
    <w:rsid w:val="00C356C9"/>
    <w:rsid w:val="00C35C9A"/>
    <w:rsid w:val="00C361F4"/>
    <w:rsid w:val="00C36C4A"/>
    <w:rsid w:val="00C36F5B"/>
    <w:rsid w:val="00C37176"/>
    <w:rsid w:val="00C373B3"/>
    <w:rsid w:val="00C4002D"/>
    <w:rsid w:val="00C4063B"/>
    <w:rsid w:val="00C407FF"/>
    <w:rsid w:val="00C40ACA"/>
    <w:rsid w:val="00C40E3C"/>
    <w:rsid w:val="00C414B7"/>
    <w:rsid w:val="00C424BE"/>
    <w:rsid w:val="00C42605"/>
    <w:rsid w:val="00C42D9E"/>
    <w:rsid w:val="00C44CFB"/>
    <w:rsid w:val="00C45258"/>
    <w:rsid w:val="00C45267"/>
    <w:rsid w:val="00C4581D"/>
    <w:rsid w:val="00C45888"/>
    <w:rsid w:val="00C460A9"/>
    <w:rsid w:val="00C461DF"/>
    <w:rsid w:val="00C47728"/>
    <w:rsid w:val="00C47E97"/>
    <w:rsid w:val="00C519BB"/>
    <w:rsid w:val="00C521E2"/>
    <w:rsid w:val="00C526C7"/>
    <w:rsid w:val="00C530D1"/>
    <w:rsid w:val="00C53573"/>
    <w:rsid w:val="00C536D8"/>
    <w:rsid w:val="00C538D9"/>
    <w:rsid w:val="00C53D70"/>
    <w:rsid w:val="00C546B1"/>
    <w:rsid w:val="00C557CC"/>
    <w:rsid w:val="00C558CC"/>
    <w:rsid w:val="00C5699C"/>
    <w:rsid w:val="00C56F79"/>
    <w:rsid w:val="00C57D26"/>
    <w:rsid w:val="00C61639"/>
    <w:rsid w:val="00C61DC0"/>
    <w:rsid w:val="00C624B6"/>
    <w:rsid w:val="00C6250A"/>
    <w:rsid w:val="00C63D99"/>
    <w:rsid w:val="00C645E5"/>
    <w:rsid w:val="00C666A5"/>
    <w:rsid w:val="00C66D1C"/>
    <w:rsid w:val="00C677F6"/>
    <w:rsid w:val="00C71562"/>
    <w:rsid w:val="00C7243F"/>
    <w:rsid w:val="00C7267F"/>
    <w:rsid w:val="00C7308C"/>
    <w:rsid w:val="00C7331D"/>
    <w:rsid w:val="00C736F1"/>
    <w:rsid w:val="00C73DEA"/>
    <w:rsid w:val="00C73FA8"/>
    <w:rsid w:val="00C74B05"/>
    <w:rsid w:val="00C75E54"/>
    <w:rsid w:val="00C76852"/>
    <w:rsid w:val="00C76A07"/>
    <w:rsid w:val="00C76C25"/>
    <w:rsid w:val="00C7796B"/>
    <w:rsid w:val="00C80AF3"/>
    <w:rsid w:val="00C81CC4"/>
    <w:rsid w:val="00C81DE5"/>
    <w:rsid w:val="00C821A0"/>
    <w:rsid w:val="00C82A4B"/>
    <w:rsid w:val="00C82FB8"/>
    <w:rsid w:val="00C836BF"/>
    <w:rsid w:val="00C83D2E"/>
    <w:rsid w:val="00C84ED8"/>
    <w:rsid w:val="00C84F91"/>
    <w:rsid w:val="00C857FF"/>
    <w:rsid w:val="00C85914"/>
    <w:rsid w:val="00C87C84"/>
    <w:rsid w:val="00C90772"/>
    <w:rsid w:val="00C90893"/>
    <w:rsid w:val="00C90C04"/>
    <w:rsid w:val="00C9170F"/>
    <w:rsid w:val="00C92F21"/>
    <w:rsid w:val="00C93DEF"/>
    <w:rsid w:val="00C93EA4"/>
    <w:rsid w:val="00C94641"/>
    <w:rsid w:val="00C94745"/>
    <w:rsid w:val="00C95A9C"/>
    <w:rsid w:val="00C96025"/>
    <w:rsid w:val="00C974A6"/>
    <w:rsid w:val="00C977B4"/>
    <w:rsid w:val="00C978B0"/>
    <w:rsid w:val="00CA0A51"/>
    <w:rsid w:val="00CA1027"/>
    <w:rsid w:val="00CA20B5"/>
    <w:rsid w:val="00CA2E23"/>
    <w:rsid w:val="00CA4971"/>
    <w:rsid w:val="00CA531E"/>
    <w:rsid w:val="00CA5944"/>
    <w:rsid w:val="00CA5F39"/>
    <w:rsid w:val="00CA6041"/>
    <w:rsid w:val="00CA6EDE"/>
    <w:rsid w:val="00CB00AC"/>
    <w:rsid w:val="00CB01F7"/>
    <w:rsid w:val="00CB0552"/>
    <w:rsid w:val="00CB0639"/>
    <w:rsid w:val="00CB1137"/>
    <w:rsid w:val="00CB126B"/>
    <w:rsid w:val="00CB22BC"/>
    <w:rsid w:val="00CB2832"/>
    <w:rsid w:val="00CB317E"/>
    <w:rsid w:val="00CB34F5"/>
    <w:rsid w:val="00CB4AE2"/>
    <w:rsid w:val="00CB76D7"/>
    <w:rsid w:val="00CC02E4"/>
    <w:rsid w:val="00CC0677"/>
    <w:rsid w:val="00CC1972"/>
    <w:rsid w:val="00CC32BB"/>
    <w:rsid w:val="00CC32F2"/>
    <w:rsid w:val="00CC336B"/>
    <w:rsid w:val="00CC363B"/>
    <w:rsid w:val="00CC3ADB"/>
    <w:rsid w:val="00CC4413"/>
    <w:rsid w:val="00CC4636"/>
    <w:rsid w:val="00CC4759"/>
    <w:rsid w:val="00CC5837"/>
    <w:rsid w:val="00CC69A9"/>
    <w:rsid w:val="00CC6A4A"/>
    <w:rsid w:val="00CC7C6E"/>
    <w:rsid w:val="00CD00A6"/>
    <w:rsid w:val="00CD0307"/>
    <w:rsid w:val="00CD0DC2"/>
    <w:rsid w:val="00CD11D6"/>
    <w:rsid w:val="00CD381F"/>
    <w:rsid w:val="00CD41E2"/>
    <w:rsid w:val="00CD4831"/>
    <w:rsid w:val="00CD496E"/>
    <w:rsid w:val="00CD498D"/>
    <w:rsid w:val="00CD5AE3"/>
    <w:rsid w:val="00CD679E"/>
    <w:rsid w:val="00CD6D79"/>
    <w:rsid w:val="00CD6F1C"/>
    <w:rsid w:val="00CD706A"/>
    <w:rsid w:val="00CE0929"/>
    <w:rsid w:val="00CE0F8C"/>
    <w:rsid w:val="00CE1B38"/>
    <w:rsid w:val="00CE1C50"/>
    <w:rsid w:val="00CE1C78"/>
    <w:rsid w:val="00CE327E"/>
    <w:rsid w:val="00CE3737"/>
    <w:rsid w:val="00CE4159"/>
    <w:rsid w:val="00CE4D99"/>
    <w:rsid w:val="00CE4EA2"/>
    <w:rsid w:val="00CE50F4"/>
    <w:rsid w:val="00CE59FD"/>
    <w:rsid w:val="00CE65FF"/>
    <w:rsid w:val="00CE6883"/>
    <w:rsid w:val="00CE738F"/>
    <w:rsid w:val="00CE7896"/>
    <w:rsid w:val="00CF0281"/>
    <w:rsid w:val="00CF12F1"/>
    <w:rsid w:val="00CF2DEC"/>
    <w:rsid w:val="00CF302C"/>
    <w:rsid w:val="00CF4FDE"/>
    <w:rsid w:val="00CF58C4"/>
    <w:rsid w:val="00CF59A9"/>
    <w:rsid w:val="00CF6ADC"/>
    <w:rsid w:val="00CF7D67"/>
    <w:rsid w:val="00CF7EBA"/>
    <w:rsid w:val="00D00818"/>
    <w:rsid w:val="00D00EB6"/>
    <w:rsid w:val="00D01C26"/>
    <w:rsid w:val="00D01DC8"/>
    <w:rsid w:val="00D0289A"/>
    <w:rsid w:val="00D037EB"/>
    <w:rsid w:val="00D0405F"/>
    <w:rsid w:val="00D04BC2"/>
    <w:rsid w:val="00D053C4"/>
    <w:rsid w:val="00D06292"/>
    <w:rsid w:val="00D06318"/>
    <w:rsid w:val="00D06C97"/>
    <w:rsid w:val="00D070E3"/>
    <w:rsid w:val="00D07444"/>
    <w:rsid w:val="00D0765B"/>
    <w:rsid w:val="00D109A8"/>
    <w:rsid w:val="00D11EA4"/>
    <w:rsid w:val="00D12C15"/>
    <w:rsid w:val="00D12D35"/>
    <w:rsid w:val="00D13CB2"/>
    <w:rsid w:val="00D14C23"/>
    <w:rsid w:val="00D14D19"/>
    <w:rsid w:val="00D1509E"/>
    <w:rsid w:val="00D15708"/>
    <w:rsid w:val="00D15936"/>
    <w:rsid w:val="00D15BC5"/>
    <w:rsid w:val="00D163E8"/>
    <w:rsid w:val="00D16814"/>
    <w:rsid w:val="00D16A02"/>
    <w:rsid w:val="00D16A15"/>
    <w:rsid w:val="00D171F2"/>
    <w:rsid w:val="00D17861"/>
    <w:rsid w:val="00D20DDF"/>
    <w:rsid w:val="00D21A69"/>
    <w:rsid w:val="00D229CD"/>
    <w:rsid w:val="00D22B09"/>
    <w:rsid w:val="00D22C83"/>
    <w:rsid w:val="00D22E87"/>
    <w:rsid w:val="00D238F2"/>
    <w:rsid w:val="00D23A01"/>
    <w:rsid w:val="00D242F9"/>
    <w:rsid w:val="00D2450D"/>
    <w:rsid w:val="00D24AA5"/>
    <w:rsid w:val="00D26589"/>
    <w:rsid w:val="00D26707"/>
    <w:rsid w:val="00D26F02"/>
    <w:rsid w:val="00D26FA7"/>
    <w:rsid w:val="00D274ED"/>
    <w:rsid w:val="00D27DDF"/>
    <w:rsid w:val="00D30223"/>
    <w:rsid w:val="00D30762"/>
    <w:rsid w:val="00D30B97"/>
    <w:rsid w:val="00D31357"/>
    <w:rsid w:val="00D31363"/>
    <w:rsid w:val="00D31574"/>
    <w:rsid w:val="00D31610"/>
    <w:rsid w:val="00D3162F"/>
    <w:rsid w:val="00D31962"/>
    <w:rsid w:val="00D31CAF"/>
    <w:rsid w:val="00D32554"/>
    <w:rsid w:val="00D329C6"/>
    <w:rsid w:val="00D3399B"/>
    <w:rsid w:val="00D344AA"/>
    <w:rsid w:val="00D34D46"/>
    <w:rsid w:val="00D358C2"/>
    <w:rsid w:val="00D36050"/>
    <w:rsid w:val="00D36071"/>
    <w:rsid w:val="00D363A9"/>
    <w:rsid w:val="00D3690B"/>
    <w:rsid w:val="00D376F1"/>
    <w:rsid w:val="00D37A6F"/>
    <w:rsid w:val="00D37AE4"/>
    <w:rsid w:val="00D37CCB"/>
    <w:rsid w:val="00D37CED"/>
    <w:rsid w:val="00D40176"/>
    <w:rsid w:val="00D40577"/>
    <w:rsid w:val="00D41233"/>
    <w:rsid w:val="00D4153A"/>
    <w:rsid w:val="00D42301"/>
    <w:rsid w:val="00D43491"/>
    <w:rsid w:val="00D43493"/>
    <w:rsid w:val="00D43932"/>
    <w:rsid w:val="00D43DB0"/>
    <w:rsid w:val="00D43EB7"/>
    <w:rsid w:val="00D440CD"/>
    <w:rsid w:val="00D4525A"/>
    <w:rsid w:val="00D45E27"/>
    <w:rsid w:val="00D47AEA"/>
    <w:rsid w:val="00D52E33"/>
    <w:rsid w:val="00D538A9"/>
    <w:rsid w:val="00D56E10"/>
    <w:rsid w:val="00D57CEB"/>
    <w:rsid w:val="00D57D3C"/>
    <w:rsid w:val="00D6175D"/>
    <w:rsid w:val="00D62E8D"/>
    <w:rsid w:val="00D6458C"/>
    <w:rsid w:val="00D6489A"/>
    <w:rsid w:val="00D66575"/>
    <w:rsid w:val="00D668D8"/>
    <w:rsid w:val="00D67464"/>
    <w:rsid w:val="00D67A98"/>
    <w:rsid w:val="00D67E21"/>
    <w:rsid w:val="00D702DB"/>
    <w:rsid w:val="00D726AD"/>
    <w:rsid w:val="00D729CF"/>
    <w:rsid w:val="00D72D4E"/>
    <w:rsid w:val="00D72F06"/>
    <w:rsid w:val="00D736E9"/>
    <w:rsid w:val="00D73BDE"/>
    <w:rsid w:val="00D7410A"/>
    <w:rsid w:val="00D7673A"/>
    <w:rsid w:val="00D76F7B"/>
    <w:rsid w:val="00D77209"/>
    <w:rsid w:val="00D80A47"/>
    <w:rsid w:val="00D80CF2"/>
    <w:rsid w:val="00D8219E"/>
    <w:rsid w:val="00D832FC"/>
    <w:rsid w:val="00D83A0F"/>
    <w:rsid w:val="00D83D0B"/>
    <w:rsid w:val="00D846C5"/>
    <w:rsid w:val="00D84E8A"/>
    <w:rsid w:val="00D852E6"/>
    <w:rsid w:val="00D864A7"/>
    <w:rsid w:val="00D867BC"/>
    <w:rsid w:val="00D87337"/>
    <w:rsid w:val="00D87374"/>
    <w:rsid w:val="00D875DA"/>
    <w:rsid w:val="00D905AB"/>
    <w:rsid w:val="00D90701"/>
    <w:rsid w:val="00D90FBA"/>
    <w:rsid w:val="00D91B58"/>
    <w:rsid w:val="00D92160"/>
    <w:rsid w:val="00D9236D"/>
    <w:rsid w:val="00D93E92"/>
    <w:rsid w:val="00D93F50"/>
    <w:rsid w:val="00D94CC1"/>
    <w:rsid w:val="00D97068"/>
    <w:rsid w:val="00DA084F"/>
    <w:rsid w:val="00DA19B2"/>
    <w:rsid w:val="00DA1CD9"/>
    <w:rsid w:val="00DA1FEA"/>
    <w:rsid w:val="00DA229A"/>
    <w:rsid w:val="00DA28B9"/>
    <w:rsid w:val="00DA2C3A"/>
    <w:rsid w:val="00DA3012"/>
    <w:rsid w:val="00DA386C"/>
    <w:rsid w:val="00DA3D90"/>
    <w:rsid w:val="00DA50DE"/>
    <w:rsid w:val="00DA69A9"/>
    <w:rsid w:val="00DA72C6"/>
    <w:rsid w:val="00DA76C6"/>
    <w:rsid w:val="00DA775D"/>
    <w:rsid w:val="00DA7A65"/>
    <w:rsid w:val="00DB000C"/>
    <w:rsid w:val="00DB0161"/>
    <w:rsid w:val="00DB042A"/>
    <w:rsid w:val="00DB09A9"/>
    <w:rsid w:val="00DB0B30"/>
    <w:rsid w:val="00DB0D5B"/>
    <w:rsid w:val="00DB13A2"/>
    <w:rsid w:val="00DB202D"/>
    <w:rsid w:val="00DB21D0"/>
    <w:rsid w:val="00DB3032"/>
    <w:rsid w:val="00DB316A"/>
    <w:rsid w:val="00DB3F5B"/>
    <w:rsid w:val="00DB49F2"/>
    <w:rsid w:val="00DB4A78"/>
    <w:rsid w:val="00DB52ED"/>
    <w:rsid w:val="00DB5315"/>
    <w:rsid w:val="00DB6FE4"/>
    <w:rsid w:val="00DB703A"/>
    <w:rsid w:val="00DB7B75"/>
    <w:rsid w:val="00DB7F44"/>
    <w:rsid w:val="00DC0A50"/>
    <w:rsid w:val="00DC1181"/>
    <w:rsid w:val="00DC14EE"/>
    <w:rsid w:val="00DC3794"/>
    <w:rsid w:val="00DC441D"/>
    <w:rsid w:val="00DC5170"/>
    <w:rsid w:val="00DC588C"/>
    <w:rsid w:val="00DC5E6F"/>
    <w:rsid w:val="00DC6493"/>
    <w:rsid w:val="00DC7C85"/>
    <w:rsid w:val="00DD06C1"/>
    <w:rsid w:val="00DD13B0"/>
    <w:rsid w:val="00DD1445"/>
    <w:rsid w:val="00DD18FE"/>
    <w:rsid w:val="00DD2223"/>
    <w:rsid w:val="00DD28AA"/>
    <w:rsid w:val="00DD2984"/>
    <w:rsid w:val="00DD2B6E"/>
    <w:rsid w:val="00DD3A09"/>
    <w:rsid w:val="00DD3C99"/>
    <w:rsid w:val="00DD525E"/>
    <w:rsid w:val="00DD565B"/>
    <w:rsid w:val="00DE019F"/>
    <w:rsid w:val="00DE032B"/>
    <w:rsid w:val="00DE151B"/>
    <w:rsid w:val="00DE1C18"/>
    <w:rsid w:val="00DE1FB4"/>
    <w:rsid w:val="00DE2512"/>
    <w:rsid w:val="00DE2D91"/>
    <w:rsid w:val="00DE3CF0"/>
    <w:rsid w:val="00DE3DCB"/>
    <w:rsid w:val="00DE5F52"/>
    <w:rsid w:val="00DE61E9"/>
    <w:rsid w:val="00DE7025"/>
    <w:rsid w:val="00DE7173"/>
    <w:rsid w:val="00DE730B"/>
    <w:rsid w:val="00DF220C"/>
    <w:rsid w:val="00DF288D"/>
    <w:rsid w:val="00DF2A58"/>
    <w:rsid w:val="00DF32C6"/>
    <w:rsid w:val="00DF489B"/>
    <w:rsid w:val="00DF685E"/>
    <w:rsid w:val="00DF695B"/>
    <w:rsid w:val="00DF6B93"/>
    <w:rsid w:val="00DF701A"/>
    <w:rsid w:val="00DF7B73"/>
    <w:rsid w:val="00DF7C17"/>
    <w:rsid w:val="00E00924"/>
    <w:rsid w:val="00E01787"/>
    <w:rsid w:val="00E02CF8"/>
    <w:rsid w:val="00E03991"/>
    <w:rsid w:val="00E05F41"/>
    <w:rsid w:val="00E07362"/>
    <w:rsid w:val="00E075E0"/>
    <w:rsid w:val="00E07C9D"/>
    <w:rsid w:val="00E1027F"/>
    <w:rsid w:val="00E1143E"/>
    <w:rsid w:val="00E11D97"/>
    <w:rsid w:val="00E13F80"/>
    <w:rsid w:val="00E1440F"/>
    <w:rsid w:val="00E1529D"/>
    <w:rsid w:val="00E153E6"/>
    <w:rsid w:val="00E1591A"/>
    <w:rsid w:val="00E159D4"/>
    <w:rsid w:val="00E15D8D"/>
    <w:rsid w:val="00E15EB4"/>
    <w:rsid w:val="00E16B8D"/>
    <w:rsid w:val="00E171AD"/>
    <w:rsid w:val="00E174AC"/>
    <w:rsid w:val="00E1754A"/>
    <w:rsid w:val="00E212B6"/>
    <w:rsid w:val="00E21748"/>
    <w:rsid w:val="00E228C5"/>
    <w:rsid w:val="00E22D96"/>
    <w:rsid w:val="00E2496A"/>
    <w:rsid w:val="00E24D25"/>
    <w:rsid w:val="00E2520A"/>
    <w:rsid w:val="00E25940"/>
    <w:rsid w:val="00E25A56"/>
    <w:rsid w:val="00E25DAB"/>
    <w:rsid w:val="00E266C4"/>
    <w:rsid w:val="00E266E6"/>
    <w:rsid w:val="00E267E8"/>
    <w:rsid w:val="00E268DA"/>
    <w:rsid w:val="00E26CD8"/>
    <w:rsid w:val="00E2710B"/>
    <w:rsid w:val="00E2771F"/>
    <w:rsid w:val="00E30891"/>
    <w:rsid w:val="00E31136"/>
    <w:rsid w:val="00E31223"/>
    <w:rsid w:val="00E32CA2"/>
    <w:rsid w:val="00E32E12"/>
    <w:rsid w:val="00E32FBC"/>
    <w:rsid w:val="00E3308D"/>
    <w:rsid w:val="00E33889"/>
    <w:rsid w:val="00E33962"/>
    <w:rsid w:val="00E33FFA"/>
    <w:rsid w:val="00E35E09"/>
    <w:rsid w:val="00E37116"/>
    <w:rsid w:val="00E40F70"/>
    <w:rsid w:val="00E41143"/>
    <w:rsid w:val="00E41453"/>
    <w:rsid w:val="00E41AE6"/>
    <w:rsid w:val="00E41C1E"/>
    <w:rsid w:val="00E41D18"/>
    <w:rsid w:val="00E421A2"/>
    <w:rsid w:val="00E432AB"/>
    <w:rsid w:val="00E436FB"/>
    <w:rsid w:val="00E4400F"/>
    <w:rsid w:val="00E44303"/>
    <w:rsid w:val="00E443B5"/>
    <w:rsid w:val="00E44ABA"/>
    <w:rsid w:val="00E44BA9"/>
    <w:rsid w:val="00E4590D"/>
    <w:rsid w:val="00E45DD7"/>
    <w:rsid w:val="00E4616E"/>
    <w:rsid w:val="00E46CE5"/>
    <w:rsid w:val="00E475F0"/>
    <w:rsid w:val="00E479D1"/>
    <w:rsid w:val="00E50257"/>
    <w:rsid w:val="00E50A32"/>
    <w:rsid w:val="00E50B67"/>
    <w:rsid w:val="00E515D6"/>
    <w:rsid w:val="00E51D87"/>
    <w:rsid w:val="00E51FB2"/>
    <w:rsid w:val="00E541CB"/>
    <w:rsid w:val="00E543C2"/>
    <w:rsid w:val="00E5572F"/>
    <w:rsid w:val="00E55FB6"/>
    <w:rsid w:val="00E5608A"/>
    <w:rsid w:val="00E56213"/>
    <w:rsid w:val="00E5621E"/>
    <w:rsid w:val="00E56559"/>
    <w:rsid w:val="00E57AEE"/>
    <w:rsid w:val="00E60404"/>
    <w:rsid w:val="00E60A11"/>
    <w:rsid w:val="00E62E3B"/>
    <w:rsid w:val="00E633DC"/>
    <w:rsid w:val="00E63929"/>
    <w:rsid w:val="00E63F16"/>
    <w:rsid w:val="00E6458D"/>
    <w:rsid w:val="00E64DCC"/>
    <w:rsid w:val="00E64EE7"/>
    <w:rsid w:val="00E656ED"/>
    <w:rsid w:val="00E65E61"/>
    <w:rsid w:val="00E66F3E"/>
    <w:rsid w:val="00E702B4"/>
    <w:rsid w:val="00E705FC"/>
    <w:rsid w:val="00E70C64"/>
    <w:rsid w:val="00E72EDA"/>
    <w:rsid w:val="00E72F85"/>
    <w:rsid w:val="00E737DA"/>
    <w:rsid w:val="00E747FB"/>
    <w:rsid w:val="00E751B0"/>
    <w:rsid w:val="00E758D2"/>
    <w:rsid w:val="00E76640"/>
    <w:rsid w:val="00E76A6E"/>
    <w:rsid w:val="00E76BD9"/>
    <w:rsid w:val="00E8032D"/>
    <w:rsid w:val="00E804D3"/>
    <w:rsid w:val="00E80582"/>
    <w:rsid w:val="00E811FD"/>
    <w:rsid w:val="00E8292F"/>
    <w:rsid w:val="00E82B0E"/>
    <w:rsid w:val="00E8318B"/>
    <w:rsid w:val="00E8497F"/>
    <w:rsid w:val="00E84BC3"/>
    <w:rsid w:val="00E85790"/>
    <w:rsid w:val="00E85793"/>
    <w:rsid w:val="00E85794"/>
    <w:rsid w:val="00E85FCD"/>
    <w:rsid w:val="00E865BF"/>
    <w:rsid w:val="00E8681F"/>
    <w:rsid w:val="00E86EFC"/>
    <w:rsid w:val="00E870F6"/>
    <w:rsid w:val="00E874C9"/>
    <w:rsid w:val="00E8753F"/>
    <w:rsid w:val="00E90F1E"/>
    <w:rsid w:val="00E915FF"/>
    <w:rsid w:val="00E916CE"/>
    <w:rsid w:val="00E92395"/>
    <w:rsid w:val="00E929E7"/>
    <w:rsid w:val="00E92D39"/>
    <w:rsid w:val="00E930D2"/>
    <w:rsid w:val="00E935A6"/>
    <w:rsid w:val="00E93F03"/>
    <w:rsid w:val="00E9495F"/>
    <w:rsid w:val="00E94FD1"/>
    <w:rsid w:val="00E958B1"/>
    <w:rsid w:val="00E964DC"/>
    <w:rsid w:val="00EA04B8"/>
    <w:rsid w:val="00EA10E1"/>
    <w:rsid w:val="00EA19E9"/>
    <w:rsid w:val="00EA4121"/>
    <w:rsid w:val="00EA4549"/>
    <w:rsid w:val="00EA5D06"/>
    <w:rsid w:val="00EA63D4"/>
    <w:rsid w:val="00EA7F92"/>
    <w:rsid w:val="00EB01FD"/>
    <w:rsid w:val="00EB15E8"/>
    <w:rsid w:val="00EB1907"/>
    <w:rsid w:val="00EB2AD0"/>
    <w:rsid w:val="00EB2E49"/>
    <w:rsid w:val="00EB3C54"/>
    <w:rsid w:val="00EB4175"/>
    <w:rsid w:val="00EB42F2"/>
    <w:rsid w:val="00EB44EA"/>
    <w:rsid w:val="00EB54ED"/>
    <w:rsid w:val="00EB5B74"/>
    <w:rsid w:val="00EB5BA9"/>
    <w:rsid w:val="00EB6440"/>
    <w:rsid w:val="00EB6852"/>
    <w:rsid w:val="00EB7761"/>
    <w:rsid w:val="00EB7E21"/>
    <w:rsid w:val="00EB7EB0"/>
    <w:rsid w:val="00EC1F4E"/>
    <w:rsid w:val="00EC2178"/>
    <w:rsid w:val="00EC2C11"/>
    <w:rsid w:val="00EC3477"/>
    <w:rsid w:val="00EC63D4"/>
    <w:rsid w:val="00EC670E"/>
    <w:rsid w:val="00EC72AD"/>
    <w:rsid w:val="00EC7F6E"/>
    <w:rsid w:val="00ED0429"/>
    <w:rsid w:val="00ED0767"/>
    <w:rsid w:val="00ED0821"/>
    <w:rsid w:val="00ED0F42"/>
    <w:rsid w:val="00ED130E"/>
    <w:rsid w:val="00ED150A"/>
    <w:rsid w:val="00ED16D4"/>
    <w:rsid w:val="00ED1ABB"/>
    <w:rsid w:val="00ED3099"/>
    <w:rsid w:val="00ED4D2F"/>
    <w:rsid w:val="00ED4EF1"/>
    <w:rsid w:val="00ED572D"/>
    <w:rsid w:val="00ED61E5"/>
    <w:rsid w:val="00ED6FC4"/>
    <w:rsid w:val="00ED76AF"/>
    <w:rsid w:val="00EE002F"/>
    <w:rsid w:val="00EE1EF9"/>
    <w:rsid w:val="00EE2A81"/>
    <w:rsid w:val="00EE31ED"/>
    <w:rsid w:val="00EE3E0D"/>
    <w:rsid w:val="00EE4230"/>
    <w:rsid w:val="00EE4CD8"/>
    <w:rsid w:val="00EE52E8"/>
    <w:rsid w:val="00EE5AC2"/>
    <w:rsid w:val="00EE5E6A"/>
    <w:rsid w:val="00EE6C5C"/>
    <w:rsid w:val="00EE70B2"/>
    <w:rsid w:val="00EF2A0B"/>
    <w:rsid w:val="00EF35C6"/>
    <w:rsid w:val="00EF4480"/>
    <w:rsid w:val="00EF4B6F"/>
    <w:rsid w:val="00EF5C6F"/>
    <w:rsid w:val="00EF6085"/>
    <w:rsid w:val="00EF6429"/>
    <w:rsid w:val="00EF6F29"/>
    <w:rsid w:val="00F00828"/>
    <w:rsid w:val="00F008C0"/>
    <w:rsid w:val="00F013AB"/>
    <w:rsid w:val="00F018B1"/>
    <w:rsid w:val="00F020BF"/>
    <w:rsid w:val="00F02704"/>
    <w:rsid w:val="00F02DAE"/>
    <w:rsid w:val="00F0351A"/>
    <w:rsid w:val="00F0448C"/>
    <w:rsid w:val="00F04660"/>
    <w:rsid w:val="00F07244"/>
    <w:rsid w:val="00F102B1"/>
    <w:rsid w:val="00F10660"/>
    <w:rsid w:val="00F11490"/>
    <w:rsid w:val="00F126FE"/>
    <w:rsid w:val="00F12785"/>
    <w:rsid w:val="00F12790"/>
    <w:rsid w:val="00F13254"/>
    <w:rsid w:val="00F133A9"/>
    <w:rsid w:val="00F13428"/>
    <w:rsid w:val="00F14580"/>
    <w:rsid w:val="00F14837"/>
    <w:rsid w:val="00F161B4"/>
    <w:rsid w:val="00F16BC3"/>
    <w:rsid w:val="00F17016"/>
    <w:rsid w:val="00F17B5C"/>
    <w:rsid w:val="00F20914"/>
    <w:rsid w:val="00F21591"/>
    <w:rsid w:val="00F21E6A"/>
    <w:rsid w:val="00F2242B"/>
    <w:rsid w:val="00F22BC5"/>
    <w:rsid w:val="00F22F26"/>
    <w:rsid w:val="00F23540"/>
    <w:rsid w:val="00F2486C"/>
    <w:rsid w:val="00F248CC"/>
    <w:rsid w:val="00F24A56"/>
    <w:rsid w:val="00F24C51"/>
    <w:rsid w:val="00F24EE7"/>
    <w:rsid w:val="00F256DB"/>
    <w:rsid w:val="00F26223"/>
    <w:rsid w:val="00F264B0"/>
    <w:rsid w:val="00F2787D"/>
    <w:rsid w:val="00F27D65"/>
    <w:rsid w:val="00F301E8"/>
    <w:rsid w:val="00F304FE"/>
    <w:rsid w:val="00F30567"/>
    <w:rsid w:val="00F3107A"/>
    <w:rsid w:val="00F31826"/>
    <w:rsid w:val="00F32C1A"/>
    <w:rsid w:val="00F32C35"/>
    <w:rsid w:val="00F32E72"/>
    <w:rsid w:val="00F359D6"/>
    <w:rsid w:val="00F368BA"/>
    <w:rsid w:val="00F36AA6"/>
    <w:rsid w:val="00F371E3"/>
    <w:rsid w:val="00F40483"/>
    <w:rsid w:val="00F40BA7"/>
    <w:rsid w:val="00F41859"/>
    <w:rsid w:val="00F41AAC"/>
    <w:rsid w:val="00F41B6E"/>
    <w:rsid w:val="00F41DA7"/>
    <w:rsid w:val="00F41E58"/>
    <w:rsid w:val="00F42DE6"/>
    <w:rsid w:val="00F43D44"/>
    <w:rsid w:val="00F453DD"/>
    <w:rsid w:val="00F46096"/>
    <w:rsid w:val="00F4709E"/>
    <w:rsid w:val="00F477AB"/>
    <w:rsid w:val="00F47A66"/>
    <w:rsid w:val="00F52897"/>
    <w:rsid w:val="00F54730"/>
    <w:rsid w:val="00F556A1"/>
    <w:rsid w:val="00F55C29"/>
    <w:rsid w:val="00F573A0"/>
    <w:rsid w:val="00F57DEA"/>
    <w:rsid w:val="00F6022A"/>
    <w:rsid w:val="00F6092F"/>
    <w:rsid w:val="00F609EF"/>
    <w:rsid w:val="00F6100D"/>
    <w:rsid w:val="00F629CE"/>
    <w:rsid w:val="00F63C66"/>
    <w:rsid w:val="00F645E0"/>
    <w:rsid w:val="00F65706"/>
    <w:rsid w:val="00F66935"/>
    <w:rsid w:val="00F671BB"/>
    <w:rsid w:val="00F67717"/>
    <w:rsid w:val="00F726EF"/>
    <w:rsid w:val="00F72C72"/>
    <w:rsid w:val="00F73A3F"/>
    <w:rsid w:val="00F73C7C"/>
    <w:rsid w:val="00F7462C"/>
    <w:rsid w:val="00F74A13"/>
    <w:rsid w:val="00F75E54"/>
    <w:rsid w:val="00F77B00"/>
    <w:rsid w:val="00F77B6E"/>
    <w:rsid w:val="00F80939"/>
    <w:rsid w:val="00F81D53"/>
    <w:rsid w:val="00F82444"/>
    <w:rsid w:val="00F82852"/>
    <w:rsid w:val="00F83BB1"/>
    <w:rsid w:val="00F85775"/>
    <w:rsid w:val="00F8599D"/>
    <w:rsid w:val="00F85EAB"/>
    <w:rsid w:val="00F86B06"/>
    <w:rsid w:val="00F90074"/>
    <w:rsid w:val="00F916B6"/>
    <w:rsid w:val="00F9182D"/>
    <w:rsid w:val="00F91893"/>
    <w:rsid w:val="00F939C9"/>
    <w:rsid w:val="00F93D2A"/>
    <w:rsid w:val="00F93E70"/>
    <w:rsid w:val="00F93F77"/>
    <w:rsid w:val="00F94728"/>
    <w:rsid w:val="00F94E80"/>
    <w:rsid w:val="00F953A2"/>
    <w:rsid w:val="00F95582"/>
    <w:rsid w:val="00F96159"/>
    <w:rsid w:val="00F96899"/>
    <w:rsid w:val="00F97A13"/>
    <w:rsid w:val="00F97E0A"/>
    <w:rsid w:val="00FA06A6"/>
    <w:rsid w:val="00FA0ACC"/>
    <w:rsid w:val="00FA282C"/>
    <w:rsid w:val="00FA461F"/>
    <w:rsid w:val="00FA48D8"/>
    <w:rsid w:val="00FA4EF8"/>
    <w:rsid w:val="00FA5B03"/>
    <w:rsid w:val="00FA6E80"/>
    <w:rsid w:val="00FA7079"/>
    <w:rsid w:val="00FA70A2"/>
    <w:rsid w:val="00FA7DC3"/>
    <w:rsid w:val="00FB00EF"/>
    <w:rsid w:val="00FB05F1"/>
    <w:rsid w:val="00FB13F1"/>
    <w:rsid w:val="00FB1955"/>
    <w:rsid w:val="00FB2484"/>
    <w:rsid w:val="00FB3396"/>
    <w:rsid w:val="00FB3486"/>
    <w:rsid w:val="00FB37BB"/>
    <w:rsid w:val="00FB5020"/>
    <w:rsid w:val="00FB5059"/>
    <w:rsid w:val="00FB54C8"/>
    <w:rsid w:val="00FB5954"/>
    <w:rsid w:val="00FB5D13"/>
    <w:rsid w:val="00FB6C83"/>
    <w:rsid w:val="00FB75C5"/>
    <w:rsid w:val="00FB7A05"/>
    <w:rsid w:val="00FC00F1"/>
    <w:rsid w:val="00FC0706"/>
    <w:rsid w:val="00FC0AB2"/>
    <w:rsid w:val="00FC139E"/>
    <w:rsid w:val="00FC2150"/>
    <w:rsid w:val="00FC337B"/>
    <w:rsid w:val="00FC3679"/>
    <w:rsid w:val="00FC3C29"/>
    <w:rsid w:val="00FC5323"/>
    <w:rsid w:val="00FC6114"/>
    <w:rsid w:val="00FC79FB"/>
    <w:rsid w:val="00FC7C18"/>
    <w:rsid w:val="00FD0ED4"/>
    <w:rsid w:val="00FD1FD9"/>
    <w:rsid w:val="00FD2448"/>
    <w:rsid w:val="00FD28FE"/>
    <w:rsid w:val="00FD3AAF"/>
    <w:rsid w:val="00FD43FF"/>
    <w:rsid w:val="00FD5AF9"/>
    <w:rsid w:val="00FD5C6D"/>
    <w:rsid w:val="00FD5EBB"/>
    <w:rsid w:val="00FD66A7"/>
    <w:rsid w:val="00FD7A2B"/>
    <w:rsid w:val="00FD7C30"/>
    <w:rsid w:val="00FD7DBA"/>
    <w:rsid w:val="00FE1CAB"/>
    <w:rsid w:val="00FE2EDD"/>
    <w:rsid w:val="00FE39CF"/>
    <w:rsid w:val="00FE3E0D"/>
    <w:rsid w:val="00FE4D10"/>
    <w:rsid w:val="00FE53FB"/>
    <w:rsid w:val="00FE64A5"/>
    <w:rsid w:val="00FE7122"/>
    <w:rsid w:val="00FE7722"/>
    <w:rsid w:val="00FE7940"/>
    <w:rsid w:val="00FE7B0B"/>
    <w:rsid w:val="00FF243A"/>
    <w:rsid w:val="00FF4734"/>
    <w:rsid w:val="00FF4751"/>
    <w:rsid w:val="00FF4B26"/>
    <w:rsid w:val="00FF545D"/>
    <w:rsid w:val="00FF63B9"/>
    <w:rsid w:val="00FF72F4"/>
    <w:rsid w:val="00FF77B6"/>
    <w:rsid w:val="00FF79F6"/>
    <w:rsid w:val="00FF7DE3"/>
    <w:rsid w:val="010C3643"/>
    <w:rsid w:val="016D0EAE"/>
    <w:rsid w:val="01B02A3A"/>
    <w:rsid w:val="01C2190C"/>
    <w:rsid w:val="01DD4866"/>
    <w:rsid w:val="01ECD302"/>
    <w:rsid w:val="01EED958"/>
    <w:rsid w:val="023672F4"/>
    <w:rsid w:val="025561CF"/>
    <w:rsid w:val="025E0000"/>
    <w:rsid w:val="027753C5"/>
    <w:rsid w:val="02B557CA"/>
    <w:rsid w:val="02F40C3D"/>
    <w:rsid w:val="03336AA1"/>
    <w:rsid w:val="0334385F"/>
    <w:rsid w:val="0344272D"/>
    <w:rsid w:val="0369EBFE"/>
    <w:rsid w:val="03872212"/>
    <w:rsid w:val="038E3E27"/>
    <w:rsid w:val="03BC33DF"/>
    <w:rsid w:val="03DAF410"/>
    <w:rsid w:val="040272A1"/>
    <w:rsid w:val="040E5683"/>
    <w:rsid w:val="045C3E8A"/>
    <w:rsid w:val="04674C72"/>
    <w:rsid w:val="04D4C9F3"/>
    <w:rsid w:val="04D90F82"/>
    <w:rsid w:val="04DF2FB1"/>
    <w:rsid w:val="051476F0"/>
    <w:rsid w:val="057958C0"/>
    <w:rsid w:val="058E3070"/>
    <w:rsid w:val="05E742CE"/>
    <w:rsid w:val="063512B6"/>
    <w:rsid w:val="0638524B"/>
    <w:rsid w:val="063F4F71"/>
    <w:rsid w:val="06BA1A15"/>
    <w:rsid w:val="06F350BB"/>
    <w:rsid w:val="06F63CB4"/>
    <w:rsid w:val="06FB4DE7"/>
    <w:rsid w:val="0745172D"/>
    <w:rsid w:val="0748117C"/>
    <w:rsid w:val="077E6CFB"/>
    <w:rsid w:val="078F6815"/>
    <w:rsid w:val="07F44EAE"/>
    <w:rsid w:val="08011F96"/>
    <w:rsid w:val="0812512E"/>
    <w:rsid w:val="0822632F"/>
    <w:rsid w:val="083EA784"/>
    <w:rsid w:val="08A45A7F"/>
    <w:rsid w:val="08B42AD4"/>
    <w:rsid w:val="08CC56F8"/>
    <w:rsid w:val="08F65717"/>
    <w:rsid w:val="08F6CF93"/>
    <w:rsid w:val="09303426"/>
    <w:rsid w:val="093C3D88"/>
    <w:rsid w:val="09476803"/>
    <w:rsid w:val="097D6718"/>
    <w:rsid w:val="09E716CF"/>
    <w:rsid w:val="09FD6A6F"/>
    <w:rsid w:val="0A040FB9"/>
    <w:rsid w:val="0A65397E"/>
    <w:rsid w:val="0ADF508F"/>
    <w:rsid w:val="0AE736FB"/>
    <w:rsid w:val="0B0A2E4E"/>
    <w:rsid w:val="0B1435C2"/>
    <w:rsid w:val="0B492513"/>
    <w:rsid w:val="0B6E2281"/>
    <w:rsid w:val="0B7551DF"/>
    <w:rsid w:val="0B835FDA"/>
    <w:rsid w:val="0B871679"/>
    <w:rsid w:val="0B9D7938"/>
    <w:rsid w:val="0B9F5186"/>
    <w:rsid w:val="0BA08867"/>
    <w:rsid w:val="0BC6F1D2"/>
    <w:rsid w:val="0C0EE901"/>
    <w:rsid w:val="0C2D3942"/>
    <w:rsid w:val="0C376ACB"/>
    <w:rsid w:val="0C57BC5C"/>
    <w:rsid w:val="0C962B0F"/>
    <w:rsid w:val="0CA957FF"/>
    <w:rsid w:val="0CD9F3FF"/>
    <w:rsid w:val="0CE76FFC"/>
    <w:rsid w:val="0D40222C"/>
    <w:rsid w:val="0D444814"/>
    <w:rsid w:val="0D454E0B"/>
    <w:rsid w:val="0D5BEA4A"/>
    <w:rsid w:val="0D6C1864"/>
    <w:rsid w:val="0D766336"/>
    <w:rsid w:val="0D766750"/>
    <w:rsid w:val="0D892575"/>
    <w:rsid w:val="0DD15005"/>
    <w:rsid w:val="0DED1DE7"/>
    <w:rsid w:val="0DF91165"/>
    <w:rsid w:val="0E116FC1"/>
    <w:rsid w:val="0E150D8B"/>
    <w:rsid w:val="0E1C2936"/>
    <w:rsid w:val="0E22282F"/>
    <w:rsid w:val="0E440B11"/>
    <w:rsid w:val="0E91B3AC"/>
    <w:rsid w:val="0EBA3D0F"/>
    <w:rsid w:val="0ED60128"/>
    <w:rsid w:val="0EEA107A"/>
    <w:rsid w:val="0F091DE5"/>
    <w:rsid w:val="0F1A6EEB"/>
    <w:rsid w:val="0F611CF7"/>
    <w:rsid w:val="0F6B1308"/>
    <w:rsid w:val="0FB1C05F"/>
    <w:rsid w:val="0FF860F6"/>
    <w:rsid w:val="10297193"/>
    <w:rsid w:val="103C741A"/>
    <w:rsid w:val="106A1212"/>
    <w:rsid w:val="10B75C87"/>
    <w:rsid w:val="11086B5C"/>
    <w:rsid w:val="111C7210"/>
    <w:rsid w:val="115327BC"/>
    <w:rsid w:val="115E22D4"/>
    <w:rsid w:val="115E561D"/>
    <w:rsid w:val="117C6359"/>
    <w:rsid w:val="119011CC"/>
    <w:rsid w:val="11A006BD"/>
    <w:rsid w:val="11C92E33"/>
    <w:rsid w:val="11D41D2F"/>
    <w:rsid w:val="12534A6C"/>
    <w:rsid w:val="126A4B86"/>
    <w:rsid w:val="126F320F"/>
    <w:rsid w:val="12A51493"/>
    <w:rsid w:val="12D76EEE"/>
    <w:rsid w:val="131D046B"/>
    <w:rsid w:val="1327349E"/>
    <w:rsid w:val="134C5ADD"/>
    <w:rsid w:val="13781A7E"/>
    <w:rsid w:val="138B5A8D"/>
    <w:rsid w:val="139A2BA0"/>
    <w:rsid w:val="13F112D8"/>
    <w:rsid w:val="13F31684"/>
    <w:rsid w:val="13FD4EBE"/>
    <w:rsid w:val="14061E89"/>
    <w:rsid w:val="14435418"/>
    <w:rsid w:val="1449051D"/>
    <w:rsid w:val="144B2329"/>
    <w:rsid w:val="14694849"/>
    <w:rsid w:val="14845562"/>
    <w:rsid w:val="14BB014F"/>
    <w:rsid w:val="14CF3310"/>
    <w:rsid w:val="14DF1495"/>
    <w:rsid w:val="14ED2B94"/>
    <w:rsid w:val="1506492D"/>
    <w:rsid w:val="1506568C"/>
    <w:rsid w:val="150BA6ED"/>
    <w:rsid w:val="150C1EB8"/>
    <w:rsid w:val="15165BC8"/>
    <w:rsid w:val="15243624"/>
    <w:rsid w:val="154C08DA"/>
    <w:rsid w:val="15701248"/>
    <w:rsid w:val="157A56C9"/>
    <w:rsid w:val="158217F1"/>
    <w:rsid w:val="159F45F6"/>
    <w:rsid w:val="15AC7E84"/>
    <w:rsid w:val="15AD313A"/>
    <w:rsid w:val="15FED2E0"/>
    <w:rsid w:val="161A0483"/>
    <w:rsid w:val="161B1FE5"/>
    <w:rsid w:val="162665CA"/>
    <w:rsid w:val="16435524"/>
    <w:rsid w:val="1671146D"/>
    <w:rsid w:val="16805FBB"/>
    <w:rsid w:val="16A71DAD"/>
    <w:rsid w:val="16D8D611"/>
    <w:rsid w:val="16E502C5"/>
    <w:rsid w:val="170468BE"/>
    <w:rsid w:val="170944B2"/>
    <w:rsid w:val="170AB26E"/>
    <w:rsid w:val="1723AD29"/>
    <w:rsid w:val="172938FF"/>
    <w:rsid w:val="173328A2"/>
    <w:rsid w:val="175F19DD"/>
    <w:rsid w:val="176E33DE"/>
    <w:rsid w:val="17887D6C"/>
    <w:rsid w:val="17922CE8"/>
    <w:rsid w:val="17931DB3"/>
    <w:rsid w:val="17A2297F"/>
    <w:rsid w:val="17AA7EB8"/>
    <w:rsid w:val="17B2164C"/>
    <w:rsid w:val="17DB5DBD"/>
    <w:rsid w:val="17EE1F50"/>
    <w:rsid w:val="1815B365"/>
    <w:rsid w:val="18250294"/>
    <w:rsid w:val="188E0589"/>
    <w:rsid w:val="18A37048"/>
    <w:rsid w:val="18AC646C"/>
    <w:rsid w:val="18BA57B0"/>
    <w:rsid w:val="18D42B21"/>
    <w:rsid w:val="18E62CAD"/>
    <w:rsid w:val="190744C9"/>
    <w:rsid w:val="190C25BA"/>
    <w:rsid w:val="192964D8"/>
    <w:rsid w:val="192F367F"/>
    <w:rsid w:val="19A15A80"/>
    <w:rsid w:val="19DB4B8C"/>
    <w:rsid w:val="1A002745"/>
    <w:rsid w:val="1A0E61A6"/>
    <w:rsid w:val="1A281749"/>
    <w:rsid w:val="1A35E86F"/>
    <w:rsid w:val="1A5C5DC7"/>
    <w:rsid w:val="1A6C2877"/>
    <w:rsid w:val="1A716B96"/>
    <w:rsid w:val="1A814D60"/>
    <w:rsid w:val="1A8A716A"/>
    <w:rsid w:val="1A995208"/>
    <w:rsid w:val="1ADF676A"/>
    <w:rsid w:val="1B0E1D56"/>
    <w:rsid w:val="1B2C00DF"/>
    <w:rsid w:val="1B2C0866"/>
    <w:rsid w:val="1BA37AB2"/>
    <w:rsid w:val="1C0E7E87"/>
    <w:rsid w:val="1C2947A8"/>
    <w:rsid w:val="1C5474E6"/>
    <w:rsid w:val="1CB615F4"/>
    <w:rsid w:val="1CBB5AF5"/>
    <w:rsid w:val="1CBC1AA4"/>
    <w:rsid w:val="1CE3262B"/>
    <w:rsid w:val="1CE4677A"/>
    <w:rsid w:val="1D33265B"/>
    <w:rsid w:val="1D4A70A8"/>
    <w:rsid w:val="1D520B6A"/>
    <w:rsid w:val="1E0274D8"/>
    <w:rsid w:val="1E041B9F"/>
    <w:rsid w:val="1E0B72E8"/>
    <w:rsid w:val="1E4C5491"/>
    <w:rsid w:val="1E551D10"/>
    <w:rsid w:val="1E5AD940"/>
    <w:rsid w:val="1E99A1D7"/>
    <w:rsid w:val="1EBB25E9"/>
    <w:rsid w:val="1EC943B8"/>
    <w:rsid w:val="1ED28671"/>
    <w:rsid w:val="1ED31627"/>
    <w:rsid w:val="1F0E2725"/>
    <w:rsid w:val="1F214E3E"/>
    <w:rsid w:val="1F550844"/>
    <w:rsid w:val="1F671E28"/>
    <w:rsid w:val="1F7D1081"/>
    <w:rsid w:val="1F8E5491"/>
    <w:rsid w:val="1F9322BB"/>
    <w:rsid w:val="1FC1C6D5"/>
    <w:rsid w:val="1FD8CB74"/>
    <w:rsid w:val="1FE3480E"/>
    <w:rsid w:val="200808D2"/>
    <w:rsid w:val="208B0D98"/>
    <w:rsid w:val="20C1DF52"/>
    <w:rsid w:val="20C335FC"/>
    <w:rsid w:val="20E66C73"/>
    <w:rsid w:val="2105BC6D"/>
    <w:rsid w:val="211E789C"/>
    <w:rsid w:val="21451F5F"/>
    <w:rsid w:val="217742E0"/>
    <w:rsid w:val="21796D01"/>
    <w:rsid w:val="21803C49"/>
    <w:rsid w:val="218368F4"/>
    <w:rsid w:val="21852AE4"/>
    <w:rsid w:val="21D65D10"/>
    <w:rsid w:val="21D74148"/>
    <w:rsid w:val="21D91475"/>
    <w:rsid w:val="21E80B68"/>
    <w:rsid w:val="21F40844"/>
    <w:rsid w:val="220C4BAB"/>
    <w:rsid w:val="222114F3"/>
    <w:rsid w:val="222F763D"/>
    <w:rsid w:val="22596EC8"/>
    <w:rsid w:val="22807A97"/>
    <w:rsid w:val="228F1E44"/>
    <w:rsid w:val="229029AA"/>
    <w:rsid w:val="22C00CF5"/>
    <w:rsid w:val="22ED6B5D"/>
    <w:rsid w:val="22EF3824"/>
    <w:rsid w:val="23067019"/>
    <w:rsid w:val="231F6037"/>
    <w:rsid w:val="234F0ECF"/>
    <w:rsid w:val="2390ED8C"/>
    <w:rsid w:val="23AC7BD9"/>
    <w:rsid w:val="23E826E3"/>
    <w:rsid w:val="23E913EA"/>
    <w:rsid w:val="240F7AB3"/>
    <w:rsid w:val="24208372"/>
    <w:rsid w:val="24415794"/>
    <w:rsid w:val="24433F1C"/>
    <w:rsid w:val="246C6614"/>
    <w:rsid w:val="24707D7F"/>
    <w:rsid w:val="24BB5EBC"/>
    <w:rsid w:val="24C55AA4"/>
    <w:rsid w:val="24C9474B"/>
    <w:rsid w:val="24DE4BCE"/>
    <w:rsid w:val="24E1A86E"/>
    <w:rsid w:val="24F26C94"/>
    <w:rsid w:val="250042F7"/>
    <w:rsid w:val="253373C6"/>
    <w:rsid w:val="25370C3F"/>
    <w:rsid w:val="258E59D0"/>
    <w:rsid w:val="25A64EFF"/>
    <w:rsid w:val="25D03B2C"/>
    <w:rsid w:val="25E8752A"/>
    <w:rsid w:val="260B00CA"/>
    <w:rsid w:val="261B23E9"/>
    <w:rsid w:val="262A02CB"/>
    <w:rsid w:val="263C6C62"/>
    <w:rsid w:val="264952C6"/>
    <w:rsid w:val="264F7384"/>
    <w:rsid w:val="265811B8"/>
    <w:rsid w:val="266B63A5"/>
    <w:rsid w:val="2678146B"/>
    <w:rsid w:val="2680B3A4"/>
    <w:rsid w:val="268A129D"/>
    <w:rsid w:val="26BD21A7"/>
    <w:rsid w:val="26C70F12"/>
    <w:rsid w:val="26E11A97"/>
    <w:rsid w:val="26E7647D"/>
    <w:rsid w:val="272B051A"/>
    <w:rsid w:val="276C748B"/>
    <w:rsid w:val="277B0E76"/>
    <w:rsid w:val="27A82BCD"/>
    <w:rsid w:val="27B846EC"/>
    <w:rsid w:val="27C88A15"/>
    <w:rsid w:val="27D26ED4"/>
    <w:rsid w:val="286805E2"/>
    <w:rsid w:val="287A103B"/>
    <w:rsid w:val="287E7867"/>
    <w:rsid w:val="28995AA5"/>
    <w:rsid w:val="28B51B6C"/>
    <w:rsid w:val="28E82760"/>
    <w:rsid w:val="28F05942"/>
    <w:rsid w:val="28FF5EBF"/>
    <w:rsid w:val="29053084"/>
    <w:rsid w:val="291D3F21"/>
    <w:rsid w:val="29982E07"/>
    <w:rsid w:val="29E52D49"/>
    <w:rsid w:val="2A46716A"/>
    <w:rsid w:val="2AA833CF"/>
    <w:rsid w:val="2ADE52CB"/>
    <w:rsid w:val="2AED33DF"/>
    <w:rsid w:val="2AF00D0F"/>
    <w:rsid w:val="2B2382DF"/>
    <w:rsid w:val="2B27677C"/>
    <w:rsid w:val="2B334F2D"/>
    <w:rsid w:val="2B927BF0"/>
    <w:rsid w:val="2B9C27E7"/>
    <w:rsid w:val="2BAB74EF"/>
    <w:rsid w:val="2BB512A2"/>
    <w:rsid w:val="2BB84222"/>
    <w:rsid w:val="2BC8623A"/>
    <w:rsid w:val="2BCA5EF0"/>
    <w:rsid w:val="2C1A0A74"/>
    <w:rsid w:val="2C34AD29"/>
    <w:rsid w:val="2C5D25AF"/>
    <w:rsid w:val="2C6B208A"/>
    <w:rsid w:val="2C864D5D"/>
    <w:rsid w:val="2C8916B8"/>
    <w:rsid w:val="2CA22EE3"/>
    <w:rsid w:val="2CD92CB7"/>
    <w:rsid w:val="2CDC52FA"/>
    <w:rsid w:val="2CDE573B"/>
    <w:rsid w:val="2CE34C8D"/>
    <w:rsid w:val="2D765006"/>
    <w:rsid w:val="2DBC96D6"/>
    <w:rsid w:val="2DBDB5CC"/>
    <w:rsid w:val="2DCE3A57"/>
    <w:rsid w:val="2E3B319B"/>
    <w:rsid w:val="2E4A3E2B"/>
    <w:rsid w:val="2E703312"/>
    <w:rsid w:val="2E79FDF7"/>
    <w:rsid w:val="2E82D7B6"/>
    <w:rsid w:val="2E900AE0"/>
    <w:rsid w:val="2EEF2C7F"/>
    <w:rsid w:val="2EF6D334"/>
    <w:rsid w:val="2F133170"/>
    <w:rsid w:val="2F2C34B9"/>
    <w:rsid w:val="2F365C8B"/>
    <w:rsid w:val="2F6754CE"/>
    <w:rsid w:val="2F676AFF"/>
    <w:rsid w:val="2F6F3228"/>
    <w:rsid w:val="2F7E138E"/>
    <w:rsid w:val="2FA430DC"/>
    <w:rsid w:val="2FB8018F"/>
    <w:rsid w:val="2FC47CDA"/>
    <w:rsid w:val="2FD143BF"/>
    <w:rsid w:val="2FD95E4E"/>
    <w:rsid w:val="302F0CCF"/>
    <w:rsid w:val="304A602C"/>
    <w:rsid w:val="3068C4FD"/>
    <w:rsid w:val="307E8B76"/>
    <w:rsid w:val="30814C1D"/>
    <w:rsid w:val="308934AE"/>
    <w:rsid w:val="3092D6FB"/>
    <w:rsid w:val="30A74D42"/>
    <w:rsid w:val="30B05046"/>
    <w:rsid w:val="30B27FAA"/>
    <w:rsid w:val="30B85F86"/>
    <w:rsid w:val="30D64AE4"/>
    <w:rsid w:val="30D928DF"/>
    <w:rsid w:val="30FC6620"/>
    <w:rsid w:val="310D015B"/>
    <w:rsid w:val="311FC1BB"/>
    <w:rsid w:val="313776BC"/>
    <w:rsid w:val="31434C18"/>
    <w:rsid w:val="31F2219C"/>
    <w:rsid w:val="321EE5B1"/>
    <w:rsid w:val="328D5F5E"/>
    <w:rsid w:val="328F234D"/>
    <w:rsid w:val="32927883"/>
    <w:rsid w:val="329632E1"/>
    <w:rsid w:val="32F21962"/>
    <w:rsid w:val="333E2FB8"/>
    <w:rsid w:val="3384FE5C"/>
    <w:rsid w:val="33C111C5"/>
    <w:rsid w:val="33F82D2E"/>
    <w:rsid w:val="340A2BBB"/>
    <w:rsid w:val="341C4D21"/>
    <w:rsid w:val="34327A1E"/>
    <w:rsid w:val="3465D67D"/>
    <w:rsid w:val="34907349"/>
    <w:rsid w:val="34AD11DE"/>
    <w:rsid w:val="34AE47F0"/>
    <w:rsid w:val="34C56693"/>
    <w:rsid w:val="34D07B27"/>
    <w:rsid w:val="3537256A"/>
    <w:rsid w:val="35904625"/>
    <w:rsid w:val="35954EF3"/>
    <w:rsid w:val="35FC3EF1"/>
    <w:rsid w:val="360D2313"/>
    <w:rsid w:val="36151FA6"/>
    <w:rsid w:val="361C4248"/>
    <w:rsid w:val="36475AF5"/>
    <w:rsid w:val="36492E0E"/>
    <w:rsid w:val="365F7894"/>
    <w:rsid w:val="36976311"/>
    <w:rsid w:val="36B73A42"/>
    <w:rsid w:val="36C13925"/>
    <w:rsid w:val="36CA6F9D"/>
    <w:rsid w:val="36FE751B"/>
    <w:rsid w:val="37054A87"/>
    <w:rsid w:val="37156754"/>
    <w:rsid w:val="3726435C"/>
    <w:rsid w:val="374B2AE9"/>
    <w:rsid w:val="37A2192B"/>
    <w:rsid w:val="37B93098"/>
    <w:rsid w:val="37C06C76"/>
    <w:rsid w:val="37DC5518"/>
    <w:rsid w:val="3808188D"/>
    <w:rsid w:val="380E6632"/>
    <w:rsid w:val="38142FE2"/>
    <w:rsid w:val="3882524A"/>
    <w:rsid w:val="388C62D1"/>
    <w:rsid w:val="389F0E0F"/>
    <w:rsid w:val="38BAFC33"/>
    <w:rsid w:val="390362C3"/>
    <w:rsid w:val="3935233A"/>
    <w:rsid w:val="395B0B01"/>
    <w:rsid w:val="396F1FE4"/>
    <w:rsid w:val="39756260"/>
    <w:rsid w:val="39BED868"/>
    <w:rsid w:val="39C4CD46"/>
    <w:rsid w:val="39CE7F43"/>
    <w:rsid w:val="39D419A0"/>
    <w:rsid w:val="39F23498"/>
    <w:rsid w:val="39F44054"/>
    <w:rsid w:val="3A263172"/>
    <w:rsid w:val="3A4D72FB"/>
    <w:rsid w:val="3A6A61A7"/>
    <w:rsid w:val="3A6D02B3"/>
    <w:rsid w:val="3ADD2F34"/>
    <w:rsid w:val="3AFA03C5"/>
    <w:rsid w:val="3B2151B4"/>
    <w:rsid w:val="3B3167A5"/>
    <w:rsid w:val="3B567F5D"/>
    <w:rsid w:val="3B69726C"/>
    <w:rsid w:val="3B833A43"/>
    <w:rsid w:val="3B86168A"/>
    <w:rsid w:val="3BC6175E"/>
    <w:rsid w:val="3BD07C7E"/>
    <w:rsid w:val="3BE8159F"/>
    <w:rsid w:val="3BE98895"/>
    <w:rsid w:val="3BEA330B"/>
    <w:rsid w:val="3C09F0F0"/>
    <w:rsid w:val="3C242C38"/>
    <w:rsid w:val="3C352CBA"/>
    <w:rsid w:val="3C4936B2"/>
    <w:rsid w:val="3C4B9506"/>
    <w:rsid w:val="3C6B77C7"/>
    <w:rsid w:val="3CB85F01"/>
    <w:rsid w:val="3CCD2B03"/>
    <w:rsid w:val="3CE356FC"/>
    <w:rsid w:val="3CF77C2D"/>
    <w:rsid w:val="3D3B52C4"/>
    <w:rsid w:val="3D6F0E12"/>
    <w:rsid w:val="3D995463"/>
    <w:rsid w:val="3DC310A1"/>
    <w:rsid w:val="3DFD3BF5"/>
    <w:rsid w:val="3E2406E2"/>
    <w:rsid w:val="3E2A0069"/>
    <w:rsid w:val="3E3D6B2B"/>
    <w:rsid w:val="3E5B4BFB"/>
    <w:rsid w:val="3E6279AA"/>
    <w:rsid w:val="3E7845A9"/>
    <w:rsid w:val="3E9543A6"/>
    <w:rsid w:val="3EA66A5A"/>
    <w:rsid w:val="3EA6AFF0"/>
    <w:rsid w:val="3ED554CE"/>
    <w:rsid w:val="3EDB3D37"/>
    <w:rsid w:val="3EE56299"/>
    <w:rsid w:val="3EF74684"/>
    <w:rsid w:val="3F332A95"/>
    <w:rsid w:val="3F3F15A0"/>
    <w:rsid w:val="3F717A24"/>
    <w:rsid w:val="3F7F5122"/>
    <w:rsid w:val="3F9F7FD2"/>
    <w:rsid w:val="3FCA1C0A"/>
    <w:rsid w:val="403D62AF"/>
    <w:rsid w:val="405821A8"/>
    <w:rsid w:val="40616103"/>
    <w:rsid w:val="40BD35ED"/>
    <w:rsid w:val="40C12189"/>
    <w:rsid w:val="40C449AE"/>
    <w:rsid w:val="40FC4C3F"/>
    <w:rsid w:val="412A3433"/>
    <w:rsid w:val="415CCFD0"/>
    <w:rsid w:val="41721ACC"/>
    <w:rsid w:val="41792995"/>
    <w:rsid w:val="418F55AC"/>
    <w:rsid w:val="41A05DA0"/>
    <w:rsid w:val="41B8355E"/>
    <w:rsid w:val="424E1856"/>
    <w:rsid w:val="42596363"/>
    <w:rsid w:val="42927B60"/>
    <w:rsid w:val="429E78CA"/>
    <w:rsid w:val="42BA7414"/>
    <w:rsid w:val="42F14560"/>
    <w:rsid w:val="430B2E6E"/>
    <w:rsid w:val="434335F7"/>
    <w:rsid w:val="43504DBE"/>
    <w:rsid w:val="43686EA5"/>
    <w:rsid w:val="43A136A6"/>
    <w:rsid w:val="43B00545"/>
    <w:rsid w:val="43F51187"/>
    <w:rsid w:val="43F93DAB"/>
    <w:rsid w:val="443973A6"/>
    <w:rsid w:val="44601E36"/>
    <w:rsid w:val="44817B3A"/>
    <w:rsid w:val="449C6B56"/>
    <w:rsid w:val="44AE7297"/>
    <w:rsid w:val="44B63651"/>
    <w:rsid w:val="44B963F2"/>
    <w:rsid w:val="44CD33CB"/>
    <w:rsid w:val="451A4648"/>
    <w:rsid w:val="4523973F"/>
    <w:rsid w:val="45256B3F"/>
    <w:rsid w:val="453C7898"/>
    <w:rsid w:val="454F3FBF"/>
    <w:rsid w:val="45724574"/>
    <w:rsid w:val="45910879"/>
    <w:rsid w:val="45BD6050"/>
    <w:rsid w:val="45DA6B9F"/>
    <w:rsid w:val="45E5517C"/>
    <w:rsid w:val="45E91C44"/>
    <w:rsid w:val="45F721A1"/>
    <w:rsid w:val="45F72A8E"/>
    <w:rsid w:val="45FD0226"/>
    <w:rsid w:val="4626771B"/>
    <w:rsid w:val="4677021F"/>
    <w:rsid w:val="468E0C5F"/>
    <w:rsid w:val="46B32A45"/>
    <w:rsid w:val="46C406C4"/>
    <w:rsid w:val="46CBF9F9"/>
    <w:rsid w:val="46EE195C"/>
    <w:rsid w:val="46EE5861"/>
    <w:rsid w:val="46FD0EB1"/>
    <w:rsid w:val="46FF4261"/>
    <w:rsid w:val="470578AE"/>
    <w:rsid w:val="470E4D17"/>
    <w:rsid w:val="472A28FB"/>
    <w:rsid w:val="475F4207"/>
    <w:rsid w:val="478055C7"/>
    <w:rsid w:val="4785332D"/>
    <w:rsid w:val="4791660D"/>
    <w:rsid w:val="47A23289"/>
    <w:rsid w:val="47AF7C1C"/>
    <w:rsid w:val="47BF4AEB"/>
    <w:rsid w:val="47CD7B38"/>
    <w:rsid w:val="47CE19D8"/>
    <w:rsid w:val="47F0E5E4"/>
    <w:rsid w:val="48593D6C"/>
    <w:rsid w:val="487A3533"/>
    <w:rsid w:val="48AC32B3"/>
    <w:rsid w:val="48C40F94"/>
    <w:rsid w:val="48CF2CE2"/>
    <w:rsid w:val="48D53EF9"/>
    <w:rsid w:val="48F88821"/>
    <w:rsid w:val="48FC3563"/>
    <w:rsid w:val="492321DD"/>
    <w:rsid w:val="49344461"/>
    <w:rsid w:val="493D6932"/>
    <w:rsid w:val="49491B55"/>
    <w:rsid w:val="49663FA8"/>
    <w:rsid w:val="49C05FC4"/>
    <w:rsid w:val="49CD0897"/>
    <w:rsid w:val="49D2190B"/>
    <w:rsid w:val="49E60792"/>
    <w:rsid w:val="49EE1450"/>
    <w:rsid w:val="49F56C35"/>
    <w:rsid w:val="49F801EC"/>
    <w:rsid w:val="4A02381D"/>
    <w:rsid w:val="4A452197"/>
    <w:rsid w:val="4A4D3ADA"/>
    <w:rsid w:val="4A72331D"/>
    <w:rsid w:val="4A7234D2"/>
    <w:rsid w:val="4A872429"/>
    <w:rsid w:val="4A8D73EA"/>
    <w:rsid w:val="4AB74B46"/>
    <w:rsid w:val="4ABE20DB"/>
    <w:rsid w:val="4AE84DE5"/>
    <w:rsid w:val="4AF26284"/>
    <w:rsid w:val="4B25790C"/>
    <w:rsid w:val="4B322417"/>
    <w:rsid w:val="4B3B5BE2"/>
    <w:rsid w:val="4B8607EF"/>
    <w:rsid w:val="4B964046"/>
    <w:rsid w:val="4B966242"/>
    <w:rsid w:val="4BAB6845"/>
    <w:rsid w:val="4BAE2AAA"/>
    <w:rsid w:val="4BE455D1"/>
    <w:rsid w:val="4C236DBA"/>
    <w:rsid w:val="4C45773E"/>
    <w:rsid w:val="4C89CD61"/>
    <w:rsid w:val="4CA44180"/>
    <w:rsid w:val="4CA587A3"/>
    <w:rsid w:val="4CA94BBB"/>
    <w:rsid w:val="4CED7344"/>
    <w:rsid w:val="4D0D3832"/>
    <w:rsid w:val="4D352599"/>
    <w:rsid w:val="4D4B42C9"/>
    <w:rsid w:val="4D5300D0"/>
    <w:rsid w:val="4D76D4E4"/>
    <w:rsid w:val="4D7C2976"/>
    <w:rsid w:val="4DBF7733"/>
    <w:rsid w:val="4DCE4644"/>
    <w:rsid w:val="4DD51ABF"/>
    <w:rsid w:val="4DD74672"/>
    <w:rsid w:val="4E170A30"/>
    <w:rsid w:val="4E3904C4"/>
    <w:rsid w:val="4E43479F"/>
    <w:rsid w:val="4E7B4367"/>
    <w:rsid w:val="4EB62A4C"/>
    <w:rsid w:val="4EB84820"/>
    <w:rsid w:val="4EC6E15C"/>
    <w:rsid w:val="4ED96C3D"/>
    <w:rsid w:val="4EDF7428"/>
    <w:rsid w:val="4EEF6F26"/>
    <w:rsid w:val="4F0C24D9"/>
    <w:rsid w:val="4F200182"/>
    <w:rsid w:val="4F3319E9"/>
    <w:rsid w:val="4F350502"/>
    <w:rsid w:val="4F782B44"/>
    <w:rsid w:val="4F8E2EAC"/>
    <w:rsid w:val="4FAF4381"/>
    <w:rsid w:val="4FE45E79"/>
    <w:rsid w:val="502F527D"/>
    <w:rsid w:val="503A700C"/>
    <w:rsid w:val="503B7E2C"/>
    <w:rsid w:val="504C6B10"/>
    <w:rsid w:val="509E27A0"/>
    <w:rsid w:val="50B75D3E"/>
    <w:rsid w:val="50C524F1"/>
    <w:rsid w:val="50EA5985"/>
    <w:rsid w:val="5117237B"/>
    <w:rsid w:val="514B5E29"/>
    <w:rsid w:val="514C01BB"/>
    <w:rsid w:val="515D3F82"/>
    <w:rsid w:val="516352F9"/>
    <w:rsid w:val="51676155"/>
    <w:rsid w:val="516A7BBB"/>
    <w:rsid w:val="51B31176"/>
    <w:rsid w:val="51C47B0A"/>
    <w:rsid w:val="52023C94"/>
    <w:rsid w:val="5203450C"/>
    <w:rsid w:val="520A2D52"/>
    <w:rsid w:val="52462715"/>
    <w:rsid w:val="527652FB"/>
    <w:rsid w:val="52AB52E4"/>
    <w:rsid w:val="52B50A93"/>
    <w:rsid w:val="52F938A3"/>
    <w:rsid w:val="53000849"/>
    <w:rsid w:val="53183133"/>
    <w:rsid w:val="533077FB"/>
    <w:rsid w:val="534E7803"/>
    <w:rsid w:val="53525838"/>
    <w:rsid w:val="53662C69"/>
    <w:rsid w:val="53784EF9"/>
    <w:rsid w:val="53B72C63"/>
    <w:rsid w:val="53BA3913"/>
    <w:rsid w:val="53BAC8B3"/>
    <w:rsid w:val="53BC59DD"/>
    <w:rsid w:val="53C4E943"/>
    <w:rsid w:val="53D40BDB"/>
    <w:rsid w:val="53FC17CE"/>
    <w:rsid w:val="5414221F"/>
    <w:rsid w:val="541C6673"/>
    <w:rsid w:val="5437502E"/>
    <w:rsid w:val="544308BF"/>
    <w:rsid w:val="5449144D"/>
    <w:rsid w:val="545D5D9B"/>
    <w:rsid w:val="54E8294F"/>
    <w:rsid w:val="55137B60"/>
    <w:rsid w:val="551F2164"/>
    <w:rsid w:val="55236764"/>
    <w:rsid w:val="55954FB0"/>
    <w:rsid w:val="559830A2"/>
    <w:rsid w:val="559C6CA5"/>
    <w:rsid w:val="55A04616"/>
    <w:rsid w:val="55DD7B77"/>
    <w:rsid w:val="55E137D0"/>
    <w:rsid w:val="55FF7504"/>
    <w:rsid w:val="561541C3"/>
    <w:rsid w:val="561C2006"/>
    <w:rsid w:val="56253C7F"/>
    <w:rsid w:val="562D336D"/>
    <w:rsid w:val="562D690B"/>
    <w:rsid w:val="562F5EFE"/>
    <w:rsid w:val="563E026C"/>
    <w:rsid w:val="5664483F"/>
    <w:rsid w:val="566719DC"/>
    <w:rsid w:val="566BF412"/>
    <w:rsid w:val="567406D4"/>
    <w:rsid w:val="569D42F1"/>
    <w:rsid w:val="56A17DE6"/>
    <w:rsid w:val="56A88EC8"/>
    <w:rsid w:val="56B52C2D"/>
    <w:rsid w:val="56D1D715"/>
    <w:rsid w:val="57235785"/>
    <w:rsid w:val="572C3A66"/>
    <w:rsid w:val="5730129E"/>
    <w:rsid w:val="577AFBB1"/>
    <w:rsid w:val="57815C85"/>
    <w:rsid w:val="57A831C9"/>
    <w:rsid w:val="57C61D7D"/>
    <w:rsid w:val="57D5E4E9"/>
    <w:rsid w:val="57DE7B77"/>
    <w:rsid w:val="57E246E6"/>
    <w:rsid w:val="57EC72F5"/>
    <w:rsid w:val="57F20E0F"/>
    <w:rsid w:val="58214470"/>
    <w:rsid w:val="583542C0"/>
    <w:rsid w:val="58504777"/>
    <w:rsid w:val="58A07E1B"/>
    <w:rsid w:val="58A37382"/>
    <w:rsid w:val="58A72A15"/>
    <w:rsid w:val="58DC1E15"/>
    <w:rsid w:val="58F72C59"/>
    <w:rsid w:val="59103C07"/>
    <w:rsid w:val="591FD831"/>
    <w:rsid w:val="594EDAF1"/>
    <w:rsid w:val="59593098"/>
    <w:rsid w:val="595E580C"/>
    <w:rsid w:val="5962BC83"/>
    <w:rsid w:val="59AC6EE1"/>
    <w:rsid w:val="59ED39B7"/>
    <w:rsid w:val="5A19DCD7"/>
    <w:rsid w:val="5A6657C1"/>
    <w:rsid w:val="5A7C5CEE"/>
    <w:rsid w:val="5A843D83"/>
    <w:rsid w:val="5A8B5169"/>
    <w:rsid w:val="5A8C22E8"/>
    <w:rsid w:val="5AFF3EBC"/>
    <w:rsid w:val="5B1155A2"/>
    <w:rsid w:val="5B1C0AFF"/>
    <w:rsid w:val="5B282809"/>
    <w:rsid w:val="5B35FA82"/>
    <w:rsid w:val="5B6663C4"/>
    <w:rsid w:val="5B66D99F"/>
    <w:rsid w:val="5B6F7D64"/>
    <w:rsid w:val="5BA03ACB"/>
    <w:rsid w:val="5BAF32FA"/>
    <w:rsid w:val="5BB66CA7"/>
    <w:rsid w:val="5BD6772F"/>
    <w:rsid w:val="5BFA612C"/>
    <w:rsid w:val="5C0A016F"/>
    <w:rsid w:val="5C0A68F1"/>
    <w:rsid w:val="5C442DF7"/>
    <w:rsid w:val="5C51AC4C"/>
    <w:rsid w:val="5C66374E"/>
    <w:rsid w:val="5C72683C"/>
    <w:rsid w:val="5C7A0EA4"/>
    <w:rsid w:val="5C897AEB"/>
    <w:rsid w:val="5CC2459D"/>
    <w:rsid w:val="5CE50AAC"/>
    <w:rsid w:val="5CEA069B"/>
    <w:rsid w:val="5CF840F2"/>
    <w:rsid w:val="5D0222AF"/>
    <w:rsid w:val="5D076C82"/>
    <w:rsid w:val="5D1C2595"/>
    <w:rsid w:val="5D365C91"/>
    <w:rsid w:val="5D747693"/>
    <w:rsid w:val="5D761735"/>
    <w:rsid w:val="5D7A5836"/>
    <w:rsid w:val="5DCD1661"/>
    <w:rsid w:val="5DFD00AD"/>
    <w:rsid w:val="5E003E17"/>
    <w:rsid w:val="5E41FAA4"/>
    <w:rsid w:val="5E9B37B5"/>
    <w:rsid w:val="5EA23333"/>
    <w:rsid w:val="5EDE33C0"/>
    <w:rsid w:val="5EE24BEA"/>
    <w:rsid w:val="5F24D4A4"/>
    <w:rsid w:val="5F376813"/>
    <w:rsid w:val="5F381500"/>
    <w:rsid w:val="5F623411"/>
    <w:rsid w:val="5FC174BF"/>
    <w:rsid w:val="5FDC30E1"/>
    <w:rsid w:val="600AEC1C"/>
    <w:rsid w:val="600C0321"/>
    <w:rsid w:val="60356E5E"/>
    <w:rsid w:val="60777BA5"/>
    <w:rsid w:val="60BA3F90"/>
    <w:rsid w:val="60F964EC"/>
    <w:rsid w:val="61007F33"/>
    <w:rsid w:val="61296FE4"/>
    <w:rsid w:val="615390A9"/>
    <w:rsid w:val="6155E654"/>
    <w:rsid w:val="61638AE9"/>
    <w:rsid w:val="61E36654"/>
    <w:rsid w:val="61EFB163"/>
    <w:rsid w:val="62804F1E"/>
    <w:rsid w:val="628B110A"/>
    <w:rsid w:val="628F23C2"/>
    <w:rsid w:val="62BA5B89"/>
    <w:rsid w:val="62C84C3C"/>
    <w:rsid w:val="62E461C6"/>
    <w:rsid w:val="631C34A7"/>
    <w:rsid w:val="637040FC"/>
    <w:rsid w:val="63C17048"/>
    <w:rsid w:val="63D25B22"/>
    <w:rsid w:val="6414CE7E"/>
    <w:rsid w:val="6415585C"/>
    <w:rsid w:val="643B5DD7"/>
    <w:rsid w:val="6456157F"/>
    <w:rsid w:val="6458B4E5"/>
    <w:rsid w:val="646B3837"/>
    <w:rsid w:val="64801FDE"/>
    <w:rsid w:val="64EE5D87"/>
    <w:rsid w:val="64EEA704"/>
    <w:rsid w:val="64F15B46"/>
    <w:rsid w:val="64F838A8"/>
    <w:rsid w:val="65076C82"/>
    <w:rsid w:val="65397F9E"/>
    <w:rsid w:val="653E53D4"/>
    <w:rsid w:val="657DA605"/>
    <w:rsid w:val="659C36D4"/>
    <w:rsid w:val="65E141CA"/>
    <w:rsid w:val="65E24DCC"/>
    <w:rsid w:val="66071AE7"/>
    <w:rsid w:val="66175E8F"/>
    <w:rsid w:val="6617E2F4"/>
    <w:rsid w:val="661E9C65"/>
    <w:rsid w:val="6621069C"/>
    <w:rsid w:val="664D7F9B"/>
    <w:rsid w:val="66997839"/>
    <w:rsid w:val="66BB4064"/>
    <w:rsid w:val="66FA4E35"/>
    <w:rsid w:val="67541570"/>
    <w:rsid w:val="675646F4"/>
    <w:rsid w:val="67781DBB"/>
    <w:rsid w:val="67D6064A"/>
    <w:rsid w:val="67E792E9"/>
    <w:rsid w:val="67F50A8B"/>
    <w:rsid w:val="68163397"/>
    <w:rsid w:val="68274004"/>
    <w:rsid w:val="68432F4E"/>
    <w:rsid w:val="6846655A"/>
    <w:rsid w:val="688095CC"/>
    <w:rsid w:val="68C36A23"/>
    <w:rsid w:val="68CC420A"/>
    <w:rsid w:val="68EA1347"/>
    <w:rsid w:val="68F60F02"/>
    <w:rsid w:val="68FA50D8"/>
    <w:rsid w:val="69041034"/>
    <w:rsid w:val="69054F96"/>
    <w:rsid w:val="691100F4"/>
    <w:rsid w:val="691762DC"/>
    <w:rsid w:val="692CBC56"/>
    <w:rsid w:val="692E30E7"/>
    <w:rsid w:val="6960590B"/>
    <w:rsid w:val="69B011A8"/>
    <w:rsid w:val="69E61596"/>
    <w:rsid w:val="69EE4381"/>
    <w:rsid w:val="69F42ED2"/>
    <w:rsid w:val="6A520D1E"/>
    <w:rsid w:val="6A5B4B1E"/>
    <w:rsid w:val="6A6F77B8"/>
    <w:rsid w:val="6A89242A"/>
    <w:rsid w:val="6AD14E1A"/>
    <w:rsid w:val="6AD17A38"/>
    <w:rsid w:val="6AD36521"/>
    <w:rsid w:val="6B567508"/>
    <w:rsid w:val="6B5A6629"/>
    <w:rsid w:val="6B6D74AD"/>
    <w:rsid w:val="6B783C30"/>
    <w:rsid w:val="6B813CCC"/>
    <w:rsid w:val="6BCF263E"/>
    <w:rsid w:val="6C0C0043"/>
    <w:rsid w:val="6C3A465A"/>
    <w:rsid w:val="6C3C01B9"/>
    <w:rsid w:val="6C670665"/>
    <w:rsid w:val="6C6A16B7"/>
    <w:rsid w:val="6C927AFA"/>
    <w:rsid w:val="6C9555EB"/>
    <w:rsid w:val="6CA004C6"/>
    <w:rsid w:val="6CB02278"/>
    <w:rsid w:val="6CC1B74F"/>
    <w:rsid w:val="6D1A2F53"/>
    <w:rsid w:val="6D336BE5"/>
    <w:rsid w:val="6D5F286C"/>
    <w:rsid w:val="6D620D3C"/>
    <w:rsid w:val="6D6B522C"/>
    <w:rsid w:val="6D7A2CA7"/>
    <w:rsid w:val="6D7A48E9"/>
    <w:rsid w:val="6D85FBCE"/>
    <w:rsid w:val="6DC33939"/>
    <w:rsid w:val="6DC44A8A"/>
    <w:rsid w:val="6DD07C38"/>
    <w:rsid w:val="6DD60E32"/>
    <w:rsid w:val="6DD7629D"/>
    <w:rsid w:val="6DE06A16"/>
    <w:rsid w:val="6DE76133"/>
    <w:rsid w:val="6DEA46B7"/>
    <w:rsid w:val="6E054C0E"/>
    <w:rsid w:val="6E0A107E"/>
    <w:rsid w:val="6E2C3207"/>
    <w:rsid w:val="6E5FC2FB"/>
    <w:rsid w:val="6E9116FB"/>
    <w:rsid w:val="6ED67A67"/>
    <w:rsid w:val="6F072688"/>
    <w:rsid w:val="6F16E1DB"/>
    <w:rsid w:val="6F32346A"/>
    <w:rsid w:val="6F4E3BE4"/>
    <w:rsid w:val="6F5D6229"/>
    <w:rsid w:val="6F915350"/>
    <w:rsid w:val="6FA7543D"/>
    <w:rsid w:val="6FFC7E4C"/>
    <w:rsid w:val="701F405A"/>
    <w:rsid w:val="7034465E"/>
    <w:rsid w:val="70394F30"/>
    <w:rsid w:val="70715E97"/>
    <w:rsid w:val="70D9CCB2"/>
    <w:rsid w:val="70F41329"/>
    <w:rsid w:val="714C256E"/>
    <w:rsid w:val="7164387A"/>
    <w:rsid w:val="719F0766"/>
    <w:rsid w:val="71A52E8F"/>
    <w:rsid w:val="71F641B1"/>
    <w:rsid w:val="7205BEA6"/>
    <w:rsid w:val="72671940"/>
    <w:rsid w:val="728873C3"/>
    <w:rsid w:val="72930AC8"/>
    <w:rsid w:val="729EDBBD"/>
    <w:rsid w:val="72AD687C"/>
    <w:rsid w:val="72E60AFA"/>
    <w:rsid w:val="72E62A82"/>
    <w:rsid w:val="72FDF143"/>
    <w:rsid w:val="730E028E"/>
    <w:rsid w:val="7310996D"/>
    <w:rsid w:val="73385847"/>
    <w:rsid w:val="734608C8"/>
    <w:rsid w:val="737939EA"/>
    <w:rsid w:val="737B75F1"/>
    <w:rsid w:val="73A46757"/>
    <w:rsid w:val="73A96C88"/>
    <w:rsid w:val="73BE3BC0"/>
    <w:rsid w:val="73DD20B5"/>
    <w:rsid w:val="740F13A0"/>
    <w:rsid w:val="742835D1"/>
    <w:rsid w:val="744F52AA"/>
    <w:rsid w:val="74625526"/>
    <w:rsid w:val="74737229"/>
    <w:rsid w:val="747B78B3"/>
    <w:rsid w:val="74B4AB20"/>
    <w:rsid w:val="74B77B26"/>
    <w:rsid w:val="74C5678E"/>
    <w:rsid w:val="74C7692B"/>
    <w:rsid w:val="74E55537"/>
    <w:rsid w:val="754B0E6C"/>
    <w:rsid w:val="755A1920"/>
    <w:rsid w:val="75650CA6"/>
    <w:rsid w:val="75A37283"/>
    <w:rsid w:val="75B17F95"/>
    <w:rsid w:val="75B67E87"/>
    <w:rsid w:val="75CD4A45"/>
    <w:rsid w:val="75D60992"/>
    <w:rsid w:val="76047964"/>
    <w:rsid w:val="760E4029"/>
    <w:rsid w:val="763027E7"/>
    <w:rsid w:val="766BD3CD"/>
    <w:rsid w:val="76E7FA49"/>
    <w:rsid w:val="76EF5DE0"/>
    <w:rsid w:val="770C08ED"/>
    <w:rsid w:val="772D266D"/>
    <w:rsid w:val="77B52D54"/>
    <w:rsid w:val="77C27C4C"/>
    <w:rsid w:val="77CEAFA5"/>
    <w:rsid w:val="77F65404"/>
    <w:rsid w:val="7827392D"/>
    <w:rsid w:val="782D2E4E"/>
    <w:rsid w:val="7847E6AD"/>
    <w:rsid w:val="78537322"/>
    <w:rsid w:val="7884B588"/>
    <w:rsid w:val="78890E39"/>
    <w:rsid w:val="789650D5"/>
    <w:rsid w:val="78973DD4"/>
    <w:rsid w:val="78A376CA"/>
    <w:rsid w:val="78BA2C76"/>
    <w:rsid w:val="78BC362E"/>
    <w:rsid w:val="78FA6DBD"/>
    <w:rsid w:val="78FB084F"/>
    <w:rsid w:val="78FF3A9E"/>
    <w:rsid w:val="7907DD4A"/>
    <w:rsid w:val="79200414"/>
    <w:rsid w:val="79283BD2"/>
    <w:rsid w:val="79291653"/>
    <w:rsid w:val="792C460A"/>
    <w:rsid w:val="794739E7"/>
    <w:rsid w:val="79992730"/>
    <w:rsid w:val="79AA3F97"/>
    <w:rsid w:val="79CD165B"/>
    <w:rsid w:val="79E96FA6"/>
    <w:rsid w:val="79FEF801"/>
    <w:rsid w:val="7A036DE6"/>
    <w:rsid w:val="7A087BD6"/>
    <w:rsid w:val="7A12251E"/>
    <w:rsid w:val="7A154DC9"/>
    <w:rsid w:val="7A185606"/>
    <w:rsid w:val="7A445D7B"/>
    <w:rsid w:val="7A5D5C88"/>
    <w:rsid w:val="7A6A36D7"/>
    <w:rsid w:val="7AD83C49"/>
    <w:rsid w:val="7AE87E01"/>
    <w:rsid w:val="7AF06B00"/>
    <w:rsid w:val="7B295B47"/>
    <w:rsid w:val="7B56B43E"/>
    <w:rsid w:val="7B6DA345"/>
    <w:rsid w:val="7BA10EA9"/>
    <w:rsid w:val="7BA961EF"/>
    <w:rsid w:val="7BD14CD9"/>
    <w:rsid w:val="7BF20D61"/>
    <w:rsid w:val="7C1D555F"/>
    <w:rsid w:val="7C560900"/>
    <w:rsid w:val="7C57649B"/>
    <w:rsid w:val="7C5B6A3F"/>
    <w:rsid w:val="7C631D89"/>
    <w:rsid w:val="7C6E7C1A"/>
    <w:rsid w:val="7C832859"/>
    <w:rsid w:val="7C894643"/>
    <w:rsid w:val="7C8F243F"/>
    <w:rsid w:val="7C9079E3"/>
    <w:rsid w:val="7CAC1CD8"/>
    <w:rsid w:val="7CDB9E54"/>
    <w:rsid w:val="7CDF5E82"/>
    <w:rsid w:val="7D0E8505"/>
    <w:rsid w:val="7D157114"/>
    <w:rsid w:val="7D221B52"/>
    <w:rsid w:val="7D2A02EF"/>
    <w:rsid w:val="7D8115D4"/>
    <w:rsid w:val="7D9B0433"/>
    <w:rsid w:val="7DA97CA5"/>
    <w:rsid w:val="7DB3F99B"/>
    <w:rsid w:val="7DB8492A"/>
    <w:rsid w:val="7DC81AF2"/>
    <w:rsid w:val="7DCDE89D"/>
    <w:rsid w:val="7DF6DB8A"/>
    <w:rsid w:val="7E14223D"/>
    <w:rsid w:val="7E4D18AA"/>
    <w:rsid w:val="7E5E26EE"/>
    <w:rsid w:val="7E64482E"/>
    <w:rsid w:val="7E6A2CF9"/>
    <w:rsid w:val="7E764D4C"/>
    <w:rsid w:val="7E922066"/>
    <w:rsid w:val="7E9FA644"/>
    <w:rsid w:val="7EBE3FD4"/>
    <w:rsid w:val="7EE3E01D"/>
    <w:rsid w:val="7F1C1F84"/>
    <w:rsid w:val="7F3660C9"/>
    <w:rsid w:val="7F6A3571"/>
    <w:rsid w:val="7F742459"/>
    <w:rsid w:val="7FA385F2"/>
    <w:rsid w:val="815D45D3"/>
    <w:rsid w:val="81C489F2"/>
    <w:rsid w:val="81CBEA39"/>
    <w:rsid w:val="81CF624E"/>
    <w:rsid w:val="825E8A63"/>
    <w:rsid w:val="82880544"/>
    <w:rsid w:val="82A1363F"/>
    <w:rsid w:val="842D8551"/>
    <w:rsid w:val="855F7A0C"/>
    <w:rsid w:val="85C8F573"/>
    <w:rsid w:val="85DE0D1E"/>
    <w:rsid w:val="85F74D40"/>
    <w:rsid w:val="863191DF"/>
    <w:rsid w:val="869A0824"/>
    <w:rsid w:val="86CF7773"/>
    <w:rsid w:val="871C433C"/>
    <w:rsid w:val="8736A10B"/>
    <w:rsid w:val="87462CC2"/>
    <w:rsid w:val="87D739E9"/>
    <w:rsid w:val="88363D3A"/>
    <w:rsid w:val="8865E0AA"/>
    <w:rsid w:val="895052C8"/>
    <w:rsid w:val="89595529"/>
    <w:rsid w:val="89A05FF8"/>
    <w:rsid w:val="8AFF99D9"/>
    <w:rsid w:val="8BA9993A"/>
    <w:rsid w:val="8C1426B3"/>
    <w:rsid w:val="8D6D93EB"/>
    <w:rsid w:val="8E387917"/>
    <w:rsid w:val="8EB53A38"/>
    <w:rsid w:val="8EEF074B"/>
    <w:rsid w:val="8FC25D5B"/>
    <w:rsid w:val="902A8A8F"/>
    <w:rsid w:val="90495A93"/>
    <w:rsid w:val="90655946"/>
    <w:rsid w:val="906764F3"/>
    <w:rsid w:val="9082A08C"/>
    <w:rsid w:val="9213F3EF"/>
    <w:rsid w:val="9255419B"/>
    <w:rsid w:val="92ECD8F6"/>
    <w:rsid w:val="92EFA03A"/>
    <w:rsid w:val="938DAA7A"/>
    <w:rsid w:val="9406F983"/>
    <w:rsid w:val="940AEFB5"/>
    <w:rsid w:val="94B38D50"/>
    <w:rsid w:val="94B6B687"/>
    <w:rsid w:val="959BDAC4"/>
    <w:rsid w:val="964BA021"/>
    <w:rsid w:val="968D08AD"/>
    <w:rsid w:val="96CDAE63"/>
    <w:rsid w:val="96D10F72"/>
    <w:rsid w:val="9746BCDC"/>
    <w:rsid w:val="988A3FC8"/>
    <w:rsid w:val="98B5ED45"/>
    <w:rsid w:val="9A1B7584"/>
    <w:rsid w:val="9A58B76F"/>
    <w:rsid w:val="9BF73E76"/>
    <w:rsid w:val="9BF90BD3"/>
    <w:rsid w:val="9C0431BC"/>
    <w:rsid w:val="9C4CE787"/>
    <w:rsid w:val="9C9CF0A7"/>
    <w:rsid w:val="9CCF0251"/>
    <w:rsid w:val="9D7B6C20"/>
    <w:rsid w:val="A0423F4C"/>
    <w:rsid w:val="A0753DE4"/>
    <w:rsid w:val="A0D61FBB"/>
    <w:rsid w:val="A1B86BA4"/>
    <w:rsid w:val="A21E7CD4"/>
    <w:rsid w:val="A29432E4"/>
    <w:rsid w:val="A411544A"/>
    <w:rsid w:val="A433B70A"/>
    <w:rsid w:val="A443D049"/>
    <w:rsid w:val="A4535C0A"/>
    <w:rsid w:val="A45EBF13"/>
    <w:rsid w:val="A5357876"/>
    <w:rsid w:val="A5D7CA9E"/>
    <w:rsid w:val="A6081D0F"/>
    <w:rsid w:val="A615308D"/>
    <w:rsid w:val="A6602DBF"/>
    <w:rsid w:val="A7344BEE"/>
    <w:rsid w:val="A75FE230"/>
    <w:rsid w:val="A82B9E91"/>
    <w:rsid w:val="A86BD89E"/>
    <w:rsid w:val="A86FC1D4"/>
    <w:rsid w:val="A88E6534"/>
    <w:rsid w:val="A8BEEB65"/>
    <w:rsid w:val="A8DA5B92"/>
    <w:rsid w:val="AA77A50B"/>
    <w:rsid w:val="AACDD43E"/>
    <w:rsid w:val="AB3B5A64"/>
    <w:rsid w:val="AD43DD82"/>
    <w:rsid w:val="AE726E54"/>
    <w:rsid w:val="B008F4B7"/>
    <w:rsid w:val="B01EDF56"/>
    <w:rsid w:val="B0299B1A"/>
    <w:rsid w:val="B10825E1"/>
    <w:rsid w:val="B16115AC"/>
    <w:rsid w:val="B25C5A21"/>
    <w:rsid w:val="B267DEDF"/>
    <w:rsid w:val="B28BDAC6"/>
    <w:rsid w:val="B2BA9AD5"/>
    <w:rsid w:val="B34B1E32"/>
    <w:rsid w:val="B38D3C80"/>
    <w:rsid w:val="B38F5CD6"/>
    <w:rsid w:val="B4F719AB"/>
    <w:rsid w:val="B517B867"/>
    <w:rsid w:val="B54724AE"/>
    <w:rsid w:val="B556C168"/>
    <w:rsid w:val="B5C884F4"/>
    <w:rsid w:val="B66B7B24"/>
    <w:rsid w:val="B6859ED6"/>
    <w:rsid w:val="B68E5B2F"/>
    <w:rsid w:val="B6B6F1DA"/>
    <w:rsid w:val="B7066DD9"/>
    <w:rsid w:val="B87AE262"/>
    <w:rsid w:val="B8B42B1F"/>
    <w:rsid w:val="B9E0510A"/>
    <w:rsid w:val="B9E080BC"/>
    <w:rsid w:val="BA36AC09"/>
    <w:rsid w:val="BA7D7EF2"/>
    <w:rsid w:val="BAFBC9FC"/>
    <w:rsid w:val="BC774970"/>
    <w:rsid w:val="BCCFBD97"/>
    <w:rsid w:val="BD069A6E"/>
    <w:rsid w:val="BDA0323A"/>
    <w:rsid w:val="BDAB9D0C"/>
    <w:rsid w:val="BE272DAF"/>
    <w:rsid w:val="BF7B4D5B"/>
    <w:rsid w:val="C0693078"/>
    <w:rsid w:val="C078693C"/>
    <w:rsid w:val="C0974243"/>
    <w:rsid w:val="C0C54371"/>
    <w:rsid w:val="C19E8C96"/>
    <w:rsid w:val="C1F0ECC3"/>
    <w:rsid w:val="C2437B8A"/>
    <w:rsid w:val="C327489A"/>
    <w:rsid w:val="C352C627"/>
    <w:rsid w:val="C35CBEFD"/>
    <w:rsid w:val="C3B498B0"/>
    <w:rsid w:val="C3D8FE08"/>
    <w:rsid w:val="C426A47F"/>
    <w:rsid w:val="C4799483"/>
    <w:rsid w:val="C6A31856"/>
    <w:rsid w:val="C6ADF10B"/>
    <w:rsid w:val="C70076C0"/>
    <w:rsid w:val="C8173597"/>
    <w:rsid w:val="C84541F7"/>
    <w:rsid w:val="C9B9DBE9"/>
    <w:rsid w:val="CADFE8D2"/>
    <w:rsid w:val="CB1D981C"/>
    <w:rsid w:val="CB4783B1"/>
    <w:rsid w:val="CB50AD2E"/>
    <w:rsid w:val="CBD4172E"/>
    <w:rsid w:val="CC53E3E9"/>
    <w:rsid w:val="CC82D264"/>
    <w:rsid w:val="CD7B8D6C"/>
    <w:rsid w:val="CE24C05A"/>
    <w:rsid w:val="CE834359"/>
    <w:rsid w:val="CE9A4710"/>
    <w:rsid w:val="CEC49205"/>
    <w:rsid w:val="CEFA3746"/>
    <w:rsid w:val="CF47F4C9"/>
    <w:rsid w:val="CFC7AE5D"/>
    <w:rsid w:val="D06D65EA"/>
    <w:rsid w:val="D0F7472E"/>
    <w:rsid w:val="D19FC85D"/>
    <w:rsid w:val="D1A612CF"/>
    <w:rsid w:val="D20AC37C"/>
    <w:rsid w:val="D263E0DF"/>
    <w:rsid w:val="D3026467"/>
    <w:rsid w:val="D4AB3698"/>
    <w:rsid w:val="D549A56F"/>
    <w:rsid w:val="D5529B35"/>
    <w:rsid w:val="D65FF33E"/>
    <w:rsid w:val="D6E05096"/>
    <w:rsid w:val="D774A8A3"/>
    <w:rsid w:val="D8174F1B"/>
    <w:rsid w:val="D826C7AF"/>
    <w:rsid w:val="D940AA7C"/>
    <w:rsid w:val="D9804CD7"/>
    <w:rsid w:val="D9918B7C"/>
    <w:rsid w:val="DA48CF4C"/>
    <w:rsid w:val="DAC9A9BC"/>
    <w:rsid w:val="DB1FDF15"/>
    <w:rsid w:val="DB5033A8"/>
    <w:rsid w:val="DB83A1A5"/>
    <w:rsid w:val="DBACCF6A"/>
    <w:rsid w:val="DCFF995B"/>
    <w:rsid w:val="DD1D316E"/>
    <w:rsid w:val="DD27902E"/>
    <w:rsid w:val="DDC5944B"/>
    <w:rsid w:val="DE032200"/>
    <w:rsid w:val="DE3DB8D3"/>
    <w:rsid w:val="DE88AB67"/>
    <w:rsid w:val="DF61F323"/>
    <w:rsid w:val="DFBC08CB"/>
    <w:rsid w:val="E0DFDE49"/>
    <w:rsid w:val="E140ADA8"/>
    <w:rsid w:val="E15F969C"/>
    <w:rsid w:val="E27DB72B"/>
    <w:rsid w:val="E30910E7"/>
    <w:rsid w:val="E3484BD9"/>
    <w:rsid w:val="E3FC5201"/>
    <w:rsid w:val="E41D66E0"/>
    <w:rsid w:val="E4202B2F"/>
    <w:rsid w:val="E46F218F"/>
    <w:rsid w:val="E4859783"/>
    <w:rsid w:val="E54FDCDC"/>
    <w:rsid w:val="E59BD697"/>
    <w:rsid w:val="E5AC5E59"/>
    <w:rsid w:val="E5D0C9A5"/>
    <w:rsid w:val="E5DC66C1"/>
    <w:rsid w:val="E6896E57"/>
    <w:rsid w:val="E7A86F72"/>
    <w:rsid w:val="E7B5A841"/>
    <w:rsid w:val="E7BEB275"/>
    <w:rsid w:val="E7E1D530"/>
    <w:rsid w:val="E829DA99"/>
    <w:rsid w:val="E866FA5E"/>
    <w:rsid w:val="E89A5BFD"/>
    <w:rsid w:val="E958C6DE"/>
    <w:rsid w:val="E95DB733"/>
    <w:rsid w:val="EC0CF28D"/>
    <w:rsid w:val="EC237187"/>
    <w:rsid w:val="EC5DFEF0"/>
    <w:rsid w:val="ED6049D3"/>
    <w:rsid w:val="EE88C759"/>
    <w:rsid w:val="EEA8D897"/>
    <w:rsid w:val="EECF9DAA"/>
    <w:rsid w:val="EF1ECBB2"/>
    <w:rsid w:val="EF709EB3"/>
    <w:rsid w:val="EF9940AB"/>
    <w:rsid w:val="EF9B5C93"/>
    <w:rsid w:val="EFB981E6"/>
    <w:rsid w:val="F022F41D"/>
    <w:rsid w:val="F095D3C1"/>
    <w:rsid w:val="F0962FDA"/>
    <w:rsid w:val="F19D0F0B"/>
    <w:rsid w:val="F19F5720"/>
    <w:rsid w:val="F1A3CD0C"/>
    <w:rsid w:val="F1BCC56D"/>
    <w:rsid w:val="F2AEB39F"/>
    <w:rsid w:val="F2CEDF74"/>
    <w:rsid w:val="F2D2431D"/>
    <w:rsid w:val="F428C0CE"/>
    <w:rsid w:val="F57F40B7"/>
    <w:rsid w:val="F5F36B7D"/>
    <w:rsid w:val="F61C54FF"/>
    <w:rsid w:val="F6288F44"/>
    <w:rsid w:val="F649FBB5"/>
    <w:rsid w:val="F6633F8B"/>
    <w:rsid w:val="F6902486"/>
    <w:rsid w:val="F7941D08"/>
    <w:rsid w:val="F819A319"/>
    <w:rsid w:val="F81A2641"/>
    <w:rsid w:val="F869D9D8"/>
    <w:rsid w:val="F8F35A9B"/>
    <w:rsid w:val="F974033D"/>
    <w:rsid w:val="FA7A8E70"/>
    <w:rsid w:val="FA9FE61C"/>
    <w:rsid w:val="FAD11090"/>
    <w:rsid w:val="FB59D600"/>
    <w:rsid w:val="FCA37699"/>
    <w:rsid w:val="FE0D56CC"/>
    <w:rsid w:val="FE951F29"/>
    <w:rsid w:val="FED2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3">
    <w:name w:val="heading 1"/>
    <w:basedOn w:val="1"/>
    <w:next w:val="1"/>
    <w:link w:val="106"/>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link w:val="58"/>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102"/>
    <w:qFormat/>
    <w:uiPriority w:val="0"/>
    <w:pPr>
      <w:keepNext/>
      <w:keepLines/>
      <w:spacing w:before="260" w:after="260" w:line="413" w:lineRule="auto"/>
      <w:outlineLvl w:val="2"/>
    </w:pPr>
    <w:rPr>
      <w:rFonts w:ascii="Times New Roman" w:hAnsi="Times New Roman"/>
      <w:b/>
      <w:bCs/>
      <w:sz w:val="32"/>
      <w:szCs w:val="32"/>
    </w:rPr>
  </w:style>
  <w:style w:type="paragraph" w:styleId="6">
    <w:name w:val="heading 4"/>
    <w:basedOn w:val="1"/>
    <w:next w:val="1"/>
    <w:link w:val="68"/>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8"/>
    <w:qFormat/>
    <w:uiPriority w:val="0"/>
    <w:pPr>
      <w:keepNext/>
      <w:keepLines/>
      <w:spacing w:before="280" w:after="290" w:line="372" w:lineRule="auto"/>
      <w:outlineLvl w:val="4"/>
    </w:pPr>
    <w:rPr>
      <w:rFonts w:ascii="Times New Roman" w:hAnsi="Times New Roman"/>
      <w:b/>
      <w:bCs/>
      <w:sz w:val="28"/>
      <w:szCs w:val="28"/>
    </w:rPr>
  </w:style>
  <w:style w:type="paragraph" w:styleId="8">
    <w:name w:val="heading 6"/>
    <w:basedOn w:val="1"/>
    <w:next w:val="1"/>
    <w:link w:val="67"/>
    <w:qFormat/>
    <w:uiPriority w:val="0"/>
    <w:pPr>
      <w:keepNext/>
      <w:keepLines/>
      <w:spacing w:before="240" w:after="64" w:line="317" w:lineRule="auto"/>
      <w:outlineLvl w:val="5"/>
    </w:pPr>
    <w:rPr>
      <w:rFonts w:ascii="Cambria" w:hAnsi="Cambria"/>
      <w:b/>
      <w:bCs/>
      <w:szCs w:val="24"/>
    </w:rPr>
  </w:style>
  <w:style w:type="paragraph" w:styleId="9">
    <w:name w:val="heading 7"/>
    <w:basedOn w:val="1"/>
    <w:next w:val="1"/>
    <w:link w:val="96"/>
    <w:qFormat/>
    <w:uiPriority w:val="0"/>
    <w:pPr>
      <w:keepNext/>
      <w:keepLines/>
      <w:spacing w:before="240" w:after="64" w:line="317" w:lineRule="auto"/>
      <w:outlineLvl w:val="6"/>
    </w:pPr>
    <w:rPr>
      <w:rFonts w:ascii="Times New Roman" w:hAnsi="Times New Roman"/>
      <w:b/>
      <w:bCs/>
      <w:szCs w:val="24"/>
    </w:rPr>
  </w:style>
  <w:style w:type="paragraph" w:styleId="10">
    <w:name w:val="heading 8"/>
    <w:basedOn w:val="1"/>
    <w:next w:val="1"/>
    <w:link w:val="98"/>
    <w:qFormat/>
    <w:uiPriority w:val="0"/>
    <w:pPr>
      <w:keepNext/>
      <w:keepLines/>
      <w:spacing w:before="240" w:after="64" w:line="317" w:lineRule="auto"/>
      <w:outlineLvl w:val="7"/>
    </w:pPr>
    <w:rPr>
      <w:rFonts w:ascii="Cambria" w:hAnsi="Cambria"/>
      <w:szCs w:val="24"/>
    </w:rPr>
  </w:style>
  <w:style w:type="paragraph" w:styleId="11">
    <w:name w:val="heading 9"/>
    <w:basedOn w:val="1"/>
    <w:next w:val="1"/>
    <w:link w:val="91"/>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ascii="Times New Roman" w:hAnsi="Times New Roman"/>
      <w:kern w:val="0"/>
      <w:szCs w:val="20"/>
    </w:rPr>
  </w:style>
  <w:style w:type="paragraph" w:styleId="12">
    <w:name w:val="toc 7"/>
    <w:basedOn w:val="1"/>
    <w:next w:val="1"/>
    <w:qFormat/>
    <w:uiPriority w:val="0"/>
    <w:pPr>
      <w:ind w:left="2520" w:leftChars="1200"/>
    </w:pPr>
    <w:rPr>
      <w:rFonts w:ascii="Times New Roman" w:hAnsi="Times New Roman"/>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59"/>
    <w:qFormat/>
    <w:uiPriority w:val="0"/>
    <w:pPr>
      <w:shd w:val="clear" w:color="auto" w:fill="000080"/>
    </w:pPr>
    <w:rPr>
      <w:rFonts w:ascii="Times New Roman" w:hAnsi="Times New Roman"/>
      <w:szCs w:val="24"/>
      <w:shd w:val="clear" w:color="auto" w:fill="000080"/>
    </w:rPr>
  </w:style>
  <w:style w:type="paragraph" w:styleId="15">
    <w:name w:val="annotation text"/>
    <w:basedOn w:val="1"/>
    <w:link w:val="85"/>
    <w:qFormat/>
    <w:uiPriority w:val="99"/>
    <w:pPr>
      <w:jc w:val="left"/>
    </w:pPr>
    <w:rPr>
      <w:rFonts w:ascii="Times New Roman" w:hAnsi="Times New Roman"/>
    </w:rPr>
  </w:style>
  <w:style w:type="paragraph" w:styleId="16">
    <w:name w:val="Body Text"/>
    <w:basedOn w:val="1"/>
    <w:link w:val="74"/>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styleId="17">
    <w:name w:val="Body Text Indent"/>
    <w:basedOn w:val="1"/>
    <w:link w:val="170"/>
    <w:qFormat/>
    <w:uiPriority w:val="0"/>
    <w:pPr>
      <w:spacing w:line="240" w:lineRule="auto"/>
      <w:ind w:left="855"/>
    </w:pPr>
    <w:rPr>
      <w:rFonts w:ascii="Times New Roman" w:hAnsi="Times New Roman"/>
      <w:sz w:val="21"/>
      <w:szCs w:val="24"/>
    </w:rPr>
  </w:style>
  <w:style w:type="paragraph" w:styleId="18">
    <w:name w:val="index 4"/>
    <w:basedOn w:val="1"/>
    <w:next w:val="1"/>
    <w:qFormat/>
    <w:uiPriority w:val="0"/>
    <w:pPr>
      <w:ind w:left="600" w:leftChars="600"/>
    </w:pPr>
    <w:rPr>
      <w:rFonts w:ascii="Times New Roman" w:hAnsi="Times New Roman"/>
      <w:szCs w:val="24"/>
    </w:rPr>
  </w:style>
  <w:style w:type="paragraph" w:styleId="19">
    <w:name w:val="toc 5"/>
    <w:basedOn w:val="1"/>
    <w:next w:val="1"/>
    <w:qFormat/>
    <w:uiPriority w:val="39"/>
    <w:pPr>
      <w:tabs>
        <w:tab w:val="right" w:leader="dot" w:pos="8296"/>
      </w:tabs>
      <w:ind w:left="1050" w:leftChars="500"/>
    </w:pPr>
    <w:rPr>
      <w:rFonts w:ascii="Times New Roman" w:hAnsi="Times New Roman"/>
    </w:rPr>
  </w:style>
  <w:style w:type="paragraph" w:styleId="20">
    <w:name w:val="toc 3"/>
    <w:basedOn w:val="1"/>
    <w:next w:val="1"/>
    <w:qFormat/>
    <w:uiPriority w:val="39"/>
    <w:pPr>
      <w:ind w:left="840" w:leftChars="400"/>
    </w:pPr>
    <w:rPr>
      <w:rFonts w:ascii="Times New Roman" w:hAnsi="Times New Roman"/>
    </w:rPr>
  </w:style>
  <w:style w:type="paragraph" w:styleId="21">
    <w:name w:val="Plain Text"/>
    <w:basedOn w:val="1"/>
    <w:next w:val="1"/>
    <w:link w:val="167"/>
    <w:qFormat/>
    <w:uiPriority w:val="0"/>
    <w:rPr>
      <w:rFonts w:ascii="宋体" w:hAnsi="Courier New" w:cs="宋体"/>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54"/>
    <w:qFormat/>
    <w:uiPriority w:val="0"/>
    <w:pPr>
      <w:ind w:left="100" w:leftChars="2500"/>
    </w:pPr>
    <w:rPr>
      <w:rFonts w:ascii="宋体" w:hAnsi="Times New Roman"/>
      <w:sz w:val="28"/>
    </w:rPr>
  </w:style>
  <w:style w:type="paragraph" w:styleId="24">
    <w:name w:val="Body Text Indent 2"/>
    <w:basedOn w:val="1"/>
    <w:link w:val="99"/>
    <w:qFormat/>
    <w:uiPriority w:val="99"/>
    <w:pPr>
      <w:spacing w:line="300" w:lineRule="auto"/>
      <w:ind w:left="418" w:leftChars="199"/>
    </w:pPr>
    <w:rPr>
      <w:rFonts w:ascii="Times New Roman" w:hAnsi="Times New Roman"/>
      <w:szCs w:val="20"/>
    </w:rPr>
  </w:style>
  <w:style w:type="paragraph" w:styleId="25">
    <w:name w:val="Balloon Text"/>
    <w:basedOn w:val="1"/>
    <w:link w:val="73"/>
    <w:qFormat/>
    <w:uiPriority w:val="99"/>
    <w:rPr>
      <w:rFonts w:ascii="宋体" w:hAnsi="Times New Roman"/>
      <w:sz w:val="18"/>
      <w:szCs w:val="18"/>
    </w:rPr>
  </w:style>
  <w:style w:type="paragraph" w:styleId="26">
    <w:name w:val="footer"/>
    <w:basedOn w:val="1"/>
    <w:link w:val="100"/>
    <w:qFormat/>
    <w:uiPriority w:val="99"/>
    <w:pPr>
      <w:tabs>
        <w:tab w:val="center" w:pos="4153"/>
        <w:tab w:val="right" w:pos="8306"/>
      </w:tabs>
      <w:snapToGrid w:val="0"/>
      <w:jc w:val="left"/>
    </w:pPr>
    <w:rPr>
      <w:rFonts w:ascii="Times New Roman" w:hAnsi="Times New Roman"/>
      <w:sz w:val="18"/>
      <w:szCs w:val="18"/>
    </w:rPr>
  </w:style>
  <w:style w:type="paragraph" w:styleId="27">
    <w:name w:val="header"/>
    <w:basedOn w:val="1"/>
    <w:link w:val="5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8">
    <w:name w:val="toc 1"/>
    <w:basedOn w:val="1"/>
    <w:next w:val="1"/>
    <w:qFormat/>
    <w:uiPriority w:val="39"/>
    <w:pPr>
      <w:tabs>
        <w:tab w:val="right" w:leader="dot" w:pos="8296"/>
      </w:tabs>
    </w:pPr>
    <w:rPr>
      <w:rFonts w:ascii="宋体" w:hAnsi="Times New Roman" w:eastAsia="楷体_GB2312" w:cs="TimesNewRomanPSMT"/>
      <w:b/>
      <w:kern w:val="0"/>
      <w:sz w:val="28"/>
      <w:szCs w:val="20"/>
    </w:rPr>
  </w:style>
  <w:style w:type="paragraph" w:styleId="29">
    <w:name w:val="toc 4"/>
    <w:basedOn w:val="1"/>
    <w:next w:val="1"/>
    <w:qFormat/>
    <w:uiPriority w:val="39"/>
    <w:pPr>
      <w:tabs>
        <w:tab w:val="left" w:pos="1890"/>
        <w:tab w:val="right" w:leader="dot" w:pos="8296"/>
      </w:tabs>
      <w:ind w:left="630" w:leftChars="300"/>
    </w:pPr>
    <w:rPr>
      <w:rFonts w:ascii="Times New Roman" w:hAnsi="Times New Roman"/>
    </w:rPr>
  </w:style>
  <w:style w:type="paragraph" w:styleId="30">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2100" w:leftChars="1000"/>
    </w:pPr>
    <w:rPr>
      <w:rFonts w:ascii="Times New Roman" w:hAnsi="Times New Roman"/>
    </w:rPr>
  </w:style>
  <w:style w:type="paragraph" w:styleId="32">
    <w:name w:val="Body Text Indent 3"/>
    <w:basedOn w:val="1"/>
    <w:link w:val="122"/>
    <w:semiHidden/>
    <w:unhideWhenUsed/>
    <w:qFormat/>
    <w:uiPriority w:val="99"/>
    <w:pPr>
      <w:spacing w:after="120"/>
      <w:ind w:left="420" w:leftChars="200"/>
    </w:pPr>
    <w:rPr>
      <w:sz w:val="16"/>
      <w:szCs w:val="16"/>
    </w:rPr>
  </w:style>
  <w:style w:type="paragraph" w:styleId="33">
    <w:name w:val="table of figures"/>
    <w:basedOn w:val="1"/>
    <w:next w:val="1"/>
    <w:qFormat/>
    <w:uiPriority w:val="0"/>
    <w:pPr>
      <w:ind w:left="200" w:leftChars="200" w:hanging="200" w:hangingChars="200"/>
    </w:pPr>
    <w:rPr>
      <w:rFonts w:ascii="Times New Roman" w:hAnsi="Times New Roman"/>
    </w:rPr>
  </w:style>
  <w:style w:type="paragraph" w:styleId="34">
    <w:name w:val="toc 2"/>
    <w:basedOn w:val="1"/>
    <w:next w:val="1"/>
    <w:qFormat/>
    <w:uiPriority w:val="0"/>
    <w:pPr>
      <w:ind w:left="420" w:leftChars="200"/>
    </w:pPr>
    <w:rPr>
      <w:rFonts w:ascii="宋体" w:hAnsi="Times New Roman"/>
      <w:b/>
      <w:sz w:val="28"/>
      <w:szCs w:val="20"/>
    </w:rPr>
  </w:style>
  <w:style w:type="paragraph" w:styleId="35">
    <w:name w:val="toc 9"/>
    <w:basedOn w:val="1"/>
    <w:next w:val="1"/>
    <w:qFormat/>
    <w:uiPriority w:val="0"/>
    <w:pPr>
      <w:ind w:left="3360" w:leftChars="1600"/>
    </w:pPr>
    <w:rPr>
      <w:rFonts w:ascii="Times New Roman" w:hAnsi="Times New Roman"/>
    </w:rPr>
  </w:style>
  <w:style w:type="paragraph" w:styleId="36">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7">
    <w:name w:val="Title"/>
    <w:basedOn w:val="1"/>
    <w:next w:val="1"/>
    <w:link w:val="82"/>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90"/>
    <w:qFormat/>
    <w:uiPriority w:val="0"/>
    <w:rPr>
      <w:rFonts w:ascii="宋体"/>
      <w:b/>
      <w:bCs/>
      <w:sz w:val="28"/>
    </w:rPr>
  </w:style>
  <w:style w:type="paragraph" w:styleId="39">
    <w:name w:val="Body Text First Indent 2"/>
    <w:basedOn w:val="17"/>
    <w:next w:val="40"/>
    <w:link w:val="171"/>
    <w:qFormat/>
    <w:uiPriority w:val="0"/>
    <w:pPr>
      <w:ind w:firstLine="420" w:firstLineChars="200"/>
    </w:pPr>
    <w:rPr>
      <w:szCs w:val="20"/>
    </w:rPr>
  </w:style>
  <w:style w:type="paragraph" w:customStyle="1" w:styleId="40">
    <w:name w:val="正文格式"/>
    <w:basedOn w:val="1"/>
    <w:qFormat/>
    <w:uiPriority w:val="0"/>
    <w:pPr>
      <w:spacing w:line="240" w:lineRule="auto"/>
    </w:pPr>
    <w:rPr>
      <w:rFonts w:ascii="Times New Roman" w:hAnsi="Times New Roman"/>
      <w:sz w:val="28"/>
      <w:szCs w:val="24"/>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rFonts w:ascii="Times New Roman" w:hAnsi="Times New Roman" w:eastAsia="宋体" w:cs="Times New Roman"/>
      <w:b/>
      <w:bCs/>
    </w:rPr>
  </w:style>
  <w:style w:type="character" w:styleId="45">
    <w:name w:val="page number"/>
    <w:qFormat/>
    <w:uiPriority w:val="0"/>
    <w:rPr>
      <w:rFonts w:ascii="Times New Roman" w:hAnsi="Times New Roman" w:eastAsia="宋体" w:cs="Times New Roman"/>
    </w:rPr>
  </w:style>
  <w:style w:type="character" w:styleId="46">
    <w:name w:val="FollowedHyperlink"/>
    <w:unhideWhenUsed/>
    <w:qFormat/>
    <w:uiPriority w:val="0"/>
    <w:rPr>
      <w:rFonts w:ascii="Times New Roman" w:hAnsi="Times New Roman" w:eastAsia="宋体" w:cs="Times New Roman"/>
      <w:color w:val="954F72"/>
      <w:u w:val="single"/>
    </w:rPr>
  </w:style>
  <w:style w:type="character" w:styleId="47">
    <w:name w:val="Emphasis"/>
    <w:qFormat/>
    <w:uiPriority w:val="0"/>
    <w:rPr>
      <w:rFonts w:ascii="Times New Roman" w:hAnsi="Times New Roman" w:eastAsia="宋体" w:cs="Times New Roman"/>
      <w:i/>
      <w:iCs/>
    </w:rPr>
  </w:style>
  <w:style w:type="character" w:styleId="48">
    <w:name w:val="Hyperlink"/>
    <w:qFormat/>
    <w:uiPriority w:val="99"/>
    <w:rPr>
      <w:rFonts w:ascii="Times New Roman" w:hAnsi="Times New Roman" w:eastAsia="宋体" w:cs="Times New Roman"/>
      <w:color w:val="0000FF"/>
      <w:u w:val="single"/>
    </w:rPr>
  </w:style>
  <w:style w:type="character" w:styleId="49">
    <w:name w:val="annotation reference"/>
    <w:qFormat/>
    <w:uiPriority w:val="99"/>
    <w:rPr>
      <w:rFonts w:ascii="Times New Roman" w:hAnsi="Times New Roman" w:eastAsia="宋体" w:cs="Times New Roman"/>
      <w:sz w:val="21"/>
      <w:szCs w:val="21"/>
    </w:rPr>
  </w:style>
  <w:style w:type="character" w:customStyle="1" w:styleId="50">
    <w:name w:val="页眉 Char"/>
    <w:link w:val="27"/>
    <w:qFormat/>
    <w:uiPriority w:val="0"/>
    <w:rPr>
      <w:rFonts w:ascii="Times New Roman" w:hAnsi="Times New Roman" w:eastAsia="宋体" w:cs="Times New Roman"/>
      <w:kern w:val="2"/>
      <w:sz w:val="18"/>
      <w:szCs w:val="18"/>
    </w:rPr>
  </w:style>
  <w:style w:type="character" w:customStyle="1" w:styleId="51">
    <w:name w:val="段 字符"/>
    <w:link w:val="52"/>
    <w:qFormat/>
    <w:uiPriority w:val="0"/>
    <w:rPr>
      <w:rFonts w:ascii="宋体" w:hAnsi="Times New Roman" w:eastAsia="宋体" w:cs="Times New Roman"/>
      <w:color w:val="000000"/>
      <w:sz w:val="21"/>
    </w:rPr>
  </w:style>
  <w:style w:type="paragraph" w:customStyle="1" w:styleId="52">
    <w:name w:val="段"/>
    <w:basedOn w:val="1"/>
    <w:link w:val="51"/>
    <w:qFormat/>
    <w:uiPriority w:val="0"/>
    <w:pPr>
      <w:widowControl/>
      <w:tabs>
        <w:tab w:val="center" w:pos="4201"/>
        <w:tab w:val="right" w:leader="dot" w:pos="9298"/>
      </w:tabs>
      <w:autoSpaceDE w:val="0"/>
      <w:autoSpaceDN w:val="0"/>
      <w:adjustRightInd w:val="0"/>
      <w:snapToGrid w:val="0"/>
      <w:ind w:firstLine="420" w:firstLineChars="200"/>
    </w:pPr>
    <w:rPr>
      <w:rFonts w:ascii="宋体" w:hAnsi="Times New Roman"/>
      <w:color w:val="000000"/>
      <w:kern w:val="0"/>
      <w:szCs w:val="20"/>
    </w:rPr>
  </w:style>
  <w:style w:type="character" w:customStyle="1" w:styleId="53">
    <w:name w:val="不明显强调1"/>
    <w:qFormat/>
    <w:uiPriority w:val="0"/>
    <w:rPr>
      <w:rFonts w:ascii="Times New Roman" w:hAnsi="Times New Roman" w:eastAsia="宋体" w:cs="Times New Roman"/>
      <w:i/>
      <w:iCs/>
      <w:color w:val="808080"/>
    </w:rPr>
  </w:style>
  <w:style w:type="character" w:customStyle="1" w:styleId="54">
    <w:name w:val="日期 Char"/>
    <w:link w:val="23"/>
    <w:qFormat/>
    <w:uiPriority w:val="0"/>
    <w:rPr>
      <w:rFonts w:ascii="宋体" w:hAnsi="Times New Roman" w:eastAsia="宋体" w:cs="Times New Roman"/>
      <w:sz w:val="28"/>
    </w:rPr>
  </w:style>
  <w:style w:type="character" w:customStyle="1" w:styleId="55">
    <w:name w:val="样式1-正文 Char"/>
    <w:link w:val="56"/>
    <w:qFormat/>
    <w:uiPriority w:val="0"/>
    <w:rPr>
      <w:rFonts w:ascii="Times New Roman" w:hAnsi="Times New Roman" w:eastAsia="仿宋_GB2312" w:cs="Times New Roman"/>
      <w:color w:val="000000"/>
      <w:sz w:val="21"/>
      <w:szCs w:val="32"/>
    </w:rPr>
  </w:style>
  <w:style w:type="paragraph" w:customStyle="1" w:styleId="56">
    <w:name w:val="样式1-正文"/>
    <w:basedOn w:val="1"/>
    <w:link w:val="55"/>
    <w:qFormat/>
    <w:uiPriority w:val="0"/>
    <w:pPr>
      <w:autoSpaceDE w:val="0"/>
      <w:autoSpaceDN w:val="0"/>
      <w:adjustRightInd w:val="0"/>
      <w:ind w:firstLine="600" w:firstLineChars="200"/>
      <w:jc w:val="left"/>
    </w:pPr>
    <w:rPr>
      <w:rFonts w:ascii="Times New Roman" w:hAnsi="Times New Roman" w:eastAsia="仿宋_GB2312"/>
      <w:color w:val="000000"/>
      <w:kern w:val="0"/>
      <w:szCs w:val="32"/>
    </w:rPr>
  </w:style>
  <w:style w:type="character" w:customStyle="1" w:styleId="57">
    <w:name w:val="textcontents"/>
    <w:qFormat/>
    <w:uiPriority w:val="0"/>
    <w:rPr>
      <w:rFonts w:ascii="Times New Roman" w:hAnsi="Times New Roman" w:eastAsia="宋体" w:cs="Times New Roman"/>
    </w:rPr>
  </w:style>
  <w:style w:type="character" w:customStyle="1" w:styleId="58">
    <w:name w:val="标题 2 Char"/>
    <w:link w:val="4"/>
    <w:qFormat/>
    <w:uiPriority w:val="0"/>
    <w:rPr>
      <w:rFonts w:ascii="Cambria" w:hAnsi="Cambria" w:eastAsia="宋体" w:cs="Times New Roman"/>
      <w:b/>
      <w:bCs/>
      <w:kern w:val="2"/>
      <w:sz w:val="32"/>
      <w:szCs w:val="32"/>
    </w:rPr>
  </w:style>
  <w:style w:type="character" w:customStyle="1" w:styleId="59">
    <w:name w:val="文档结构图 Char"/>
    <w:link w:val="14"/>
    <w:qFormat/>
    <w:uiPriority w:val="0"/>
    <w:rPr>
      <w:rFonts w:ascii="Times New Roman" w:hAnsi="Times New Roman" w:eastAsia="宋体" w:cs="Times New Roman"/>
      <w:szCs w:val="24"/>
      <w:shd w:val="clear" w:color="auto" w:fill="000080"/>
    </w:rPr>
  </w:style>
  <w:style w:type="character" w:customStyle="1" w:styleId="60">
    <w:name w:val="文档结构图 Char1"/>
    <w:qFormat/>
    <w:uiPriority w:val="0"/>
    <w:rPr>
      <w:rFonts w:ascii="宋体" w:hAnsi="Times New Roman" w:eastAsia="宋体" w:cs="Times New Roman"/>
      <w:kern w:val="2"/>
      <w:sz w:val="18"/>
      <w:szCs w:val="18"/>
    </w:rPr>
  </w:style>
  <w:style w:type="character" w:customStyle="1" w:styleId="61">
    <w:name w:val="标题5 Char Char"/>
    <w:link w:val="62"/>
    <w:qFormat/>
    <w:uiPriority w:val="0"/>
    <w:rPr>
      <w:rFonts w:ascii="Arial" w:hAnsi="Arial" w:eastAsia="宋体" w:cs="Times New Roman"/>
      <w:b/>
      <w:bCs/>
      <w:sz w:val="24"/>
      <w:szCs w:val="32"/>
    </w:rPr>
  </w:style>
  <w:style w:type="paragraph" w:customStyle="1" w:styleId="62">
    <w:name w:val="标题5"/>
    <w:basedOn w:val="5"/>
    <w:link w:val="61"/>
    <w:qFormat/>
    <w:uiPriority w:val="0"/>
    <w:rPr>
      <w:rFonts w:ascii="Arial" w:hAnsi="Arial"/>
      <w:b w:val="0"/>
      <w:bCs w:val="0"/>
      <w:sz w:val="24"/>
    </w:rPr>
  </w:style>
  <w:style w:type="character" w:customStyle="1" w:styleId="63">
    <w:name w:val="不明显参考1"/>
    <w:qFormat/>
    <w:uiPriority w:val="0"/>
    <w:rPr>
      <w:rFonts w:ascii="Times New Roman" w:hAnsi="Times New Roman" w:eastAsia="宋体" w:cs="Times New Roman"/>
      <w:smallCaps/>
      <w:color w:val="C0504D"/>
      <w:u w:val="single"/>
    </w:rPr>
  </w:style>
  <w:style w:type="character" w:customStyle="1" w:styleId="64">
    <w:name w:val="标题4 Char Char"/>
    <w:link w:val="65"/>
    <w:qFormat/>
    <w:uiPriority w:val="0"/>
    <w:rPr>
      <w:rFonts w:ascii="Arial" w:hAnsi="Arial" w:eastAsia="宋体" w:cs="Times New Roman"/>
      <w:b/>
      <w:bCs/>
      <w:sz w:val="24"/>
      <w:szCs w:val="32"/>
    </w:rPr>
  </w:style>
  <w:style w:type="paragraph" w:customStyle="1" w:styleId="65">
    <w:name w:val="标题4"/>
    <w:basedOn w:val="4"/>
    <w:next w:val="18"/>
    <w:link w:val="64"/>
    <w:qFormat/>
    <w:uiPriority w:val="0"/>
    <w:rPr>
      <w:rFonts w:ascii="Arial" w:hAnsi="Arial"/>
      <w:b w:val="0"/>
      <w:bCs w:val="0"/>
      <w:sz w:val="24"/>
    </w:rPr>
  </w:style>
  <w:style w:type="character" w:customStyle="1" w:styleId="66">
    <w:name w:val="明显强调1"/>
    <w:qFormat/>
    <w:uiPriority w:val="0"/>
    <w:rPr>
      <w:rFonts w:ascii="Times New Roman" w:hAnsi="Times New Roman" w:eastAsia="宋体" w:cs="Times New Roman"/>
      <w:b/>
      <w:bCs/>
      <w:i/>
      <w:iCs/>
      <w:color w:val="4F81BD"/>
    </w:rPr>
  </w:style>
  <w:style w:type="character" w:customStyle="1" w:styleId="67">
    <w:name w:val="标题 6 Char"/>
    <w:link w:val="8"/>
    <w:qFormat/>
    <w:uiPriority w:val="0"/>
    <w:rPr>
      <w:rFonts w:ascii="Cambria" w:hAnsi="Cambria" w:eastAsia="宋体" w:cs="Times New Roman"/>
      <w:b/>
      <w:bCs/>
      <w:kern w:val="2"/>
      <w:sz w:val="24"/>
      <w:szCs w:val="24"/>
    </w:rPr>
  </w:style>
  <w:style w:type="character" w:customStyle="1" w:styleId="68">
    <w:name w:val="标题 4 Char"/>
    <w:link w:val="6"/>
    <w:qFormat/>
    <w:uiPriority w:val="0"/>
    <w:rPr>
      <w:rFonts w:ascii="Cambria" w:hAnsi="Cambria" w:eastAsia="宋体" w:cs="Times New Roman"/>
      <w:b/>
      <w:bCs/>
      <w:kern w:val="2"/>
      <w:sz w:val="28"/>
      <w:szCs w:val="28"/>
    </w:rPr>
  </w:style>
  <w:style w:type="character" w:customStyle="1" w:styleId="69">
    <w:name w:val="引用 Char"/>
    <w:link w:val="70"/>
    <w:qFormat/>
    <w:uiPriority w:val="0"/>
    <w:rPr>
      <w:rFonts w:ascii="Times New Roman" w:hAnsi="Times New Roman" w:eastAsia="宋体" w:cs="Times New Roman"/>
      <w:i/>
      <w:iCs/>
      <w:color w:val="000000"/>
      <w:kern w:val="2"/>
      <w:sz w:val="21"/>
      <w:szCs w:val="22"/>
    </w:rPr>
  </w:style>
  <w:style w:type="paragraph" w:styleId="70">
    <w:name w:val="Quote"/>
    <w:basedOn w:val="1"/>
    <w:next w:val="1"/>
    <w:link w:val="69"/>
    <w:qFormat/>
    <w:uiPriority w:val="0"/>
    <w:rPr>
      <w:rFonts w:ascii="Times New Roman" w:hAnsi="Times New Roman"/>
      <w:i/>
      <w:iCs/>
      <w:color w:val="000000"/>
    </w:rPr>
  </w:style>
  <w:style w:type="character" w:customStyle="1" w:styleId="71">
    <w:name w:val="样式2-标题1 Char"/>
    <w:link w:val="72"/>
    <w:qFormat/>
    <w:uiPriority w:val="0"/>
    <w:rPr>
      <w:rFonts w:ascii="华文中宋" w:hAnsi="华文中宋" w:eastAsia="华文中宋" w:cs="Times New Roman"/>
      <w:b/>
      <w:bCs/>
      <w:kern w:val="2"/>
      <w:sz w:val="36"/>
      <w:szCs w:val="44"/>
    </w:rPr>
  </w:style>
  <w:style w:type="paragraph" w:customStyle="1" w:styleId="72">
    <w:name w:val="样式2-标题1"/>
    <w:basedOn w:val="5"/>
    <w:link w:val="71"/>
    <w:qFormat/>
    <w:uiPriority w:val="0"/>
    <w:pPr>
      <w:jc w:val="center"/>
      <w:outlineLvl w:val="0"/>
    </w:pPr>
    <w:rPr>
      <w:rFonts w:ascii="华文中宋" w:hAnsi="华文中宋" w:eastAsia="华文中宋"/>
      <w:sz w:val="36"/>
      <w:szCs w:val="44"/>
    </w:rPr>
  </w:style>
  <w:style w:type="character" w:customStyle="1" w:styleId="73">
    <w:name w:val="批注框文本 Char"/>
    <w:link w:val="25"/>
    <w:qFormat/>
    <w:uiPriority w:val="99"/>
    <w:rPr>
      <w:rFonts w:ascii="宋体" w:hAnsi="Times New Roman" w:eastAsia="宋体" w:cs="Times New Roman"/>
      <w:sz w:val="18"/>
      <w:szCs w:val="18"/>
    </w:rPr>
  </w:style>
  <w:style w:type="character" w:customStyle="1" w:styleId="74">
    <w:name w:val="正文文本 Char"/>
    <w:link w:val="16"/>
    <w:qFormat/>
    <w:uiPriority w:val="0"/>
    <w:rPr>
      <w:rFonts w:ascii="Times New Roman" w:hAnsi="Times New Roman" w:eastAsia="宋体" w:cs="Times New Roman"/>
    </w:rPr>
  </w:style>
  <w:style w:type="character" w:customStyle="1" w:styleId="75">
    <w:name w:val="明显参考1"/>
    <w:qFormat/>
    <w:uiPriority w:val="0"/>
    <w:rPr>
      <w:rFonts w:ascii="Times New Roman" w:hAnsi="Times New Roman" w:eastAsia="宋体" w:cs="Times New Roman"/>
      <w:b/>
      <w:bCs/>
      <w:smallCaps/>
      <w:color w:val="C0504D"/>
      <w:spacing w:val="5"/>
      <w:u w:val="single"/>
    </w:rPr>
  </w:style>
  <w:style w:type="character" w:customStyle="1" w:styleId="76">
    <w:name w:val="样式3-标题2 Char"/>
    <w:link w:val="77"/>
    <w:qFormat/>
    <w:uiPriority w:val="0"/>
    <w:rPr>
      <w:rFonts w:ascii="Times New Roman" w:hAnsi="Times New Roman" w:eastAsia="黑体" w:cs="Times New Roman"/>
      <w:bCs/>
      <w:color w:val="000000"/>
      <w:kern w:val="2"/>
      <w:sz w:val="30"/>
      <w:szCs w:val="32"/>
    </w:rPr>
  </w:style>
  <w:style w:type="paragraph" w:customStyle="1" w:styleId="77">
    <w:name w:val="样式3-标题2"/>
    <w:basedOn w:val="6"/>
    <w:link w:val="76"/>
    <w:qFormat/>
    <w:uiPriority w:val="0"/>
    <w:pPr>
      <w:spacing w:before="120" w:after="120" w:line="360" w:lineRule="auto"/>
      <w:outlineLvl w:val="1"/>
    </w:pPr>
    <w:rPr>
      <w:rFonts w:ascii="Times New Roman" w:hAnsi="Times New Roman" w:eastAsia="黑体"/>
      <w:b w:val="0"/>
      <w:color w:val="000000"/>
      <w:sz w:val="30"/>
      <w:szCs w:val="32"/>
    </w:rPr>
  </w:style>
  <w:style w:type="character" w:customStyle="1" w:styleId="78">
    <w:name w:val="样式5-标题4 Char"/>
    <w:link w:val="79"/>
    <w:qFormat/>
    <w:uiPriority w:val="0"/>
    <w:rPr>
      <w:rFonts w:ascii="Times New Roman" w:hAnsi="Times New Roman" w:eastAsia="仿宋_GB2312" w:cs="Times New Roman"/>
      <w:b/>
      <w:color w:val="000000"/>
      <w:sz w:val="21"/>
      <w:szCs w:val="32"/>
    </w:rPr>
  </w:style>
  <w:style w:type="paragraph" w:customStyle="1" w:styleId="79">
    <w:name w:val="样式5-标题4"/>
    <w:basedOn w:val="56"/>
    <w:link w:val="78"/>
    <w:qFormat/>
    <w:uiPriority w:val="0"/>
    <w:pPr>
      <w:ind w:firstLine="200"/>
      <w:outlineLvl w:val="3"/>
    </w:pPr>
    <w:rPr>
      <w:rFonts w:eastAsia="宋体"/>
      <w:b/>
    </w:rPr>
  </w:style>
  <w:style w:type="character" w:customStyle="1" w:styleId="80">
    <w:name w:val="样式4-标题3 Char"/>
    <w:link w:val="81"/>
    <w:qFormat/>
    <w:uiPriority w:val="0"/>
    <w:rPr>
      <w:rFonts w:ascii="Times New Roman" w:hAnsi="Times New Roman" w:eastAsia="黑体" w:cs="Times New Roman"/>
      <w:bCs/>
      <w:color w:val="000000"/>
      <w:kern w:val="2"/>
      <w:sz w:val="24"/>
      <w:szCs w:val="32"/>
    </w:rPr>
  </w:style>
  <w:style w:type="paragraph" w:customStyle="1" w:styleId="81">
    <w:name w:val="样式4-标题3"/>
    <w:basedOn w:val="7"/>
    <w:link w:val="80"/>
    <w:qFormat/>
    <w:uiPriority w:val="0"/>
    <w:pPr>
      <w:spacing w:before="120" w:after="120" w:line="360" w:lineRule="auto"/>
      <w:ind w:firstLine="200" w:firstLineChars="200"/>
      <w:outlineLvl w:val="2"/>
    </w:pPr>
    <w:rPr>
      <w:rFonts w:eastAsia="黑体"/>
      <w:b w:val="0"/>
      <w:color w:val="000000"/>
      <w:sz w:val="24"/>
      <w:szCs w:val="32"/>
    </w:rPr>
  </w:style>
  <w:style w:type="character" w:customStyle="1" w:styleId="82">
    <w:name w:val="标题 Char"/>
    <w:link w:val="37"/>
    <w:qFormat/>
    <w:uiPriority w:val="0"/>
    <w:rPr>
      <w:rFonts w:ascii="Cambria" w:hAnsi="Cambria" w:eastAsia="宋体" w:cs="Times New Roman"/>
      <w:b/>
      <w:bCs/>
      <w:kern w:val="2"/>
      <w:sz w:val="32"/>
      <w:szCs w:val="32"/>
    </w:rPr>
  </w:style>
  <w:style w:type="character" w:customStyle="1" w:styleId="83">
    <w:name w:val="表格文字"/>
    <w:qFormat/>
    <w:uiPriority w:val="0"/>
    <w:rPr>
      <w:rFonts w:ascii="宋体" w:hAnsi="Times New Roman" w:eastAsia="宋体" w:cs="Times New Roman"/>
      <w:sz w:val="18"/>
    </w:rPr>
  </w:style>
  <w:style w:type="character" w:customStyle="1" w:styleId="84">
    <w:name w:val="副标题 Char"/>
    <w:link w:val="30"/>
    <w:qFormat/>
    <w:uiPriority w:val="0"/>
    <w:rPr>
      <w:rFonts w:ascii="Cambria" w:hAnsi="Cambria" w:eastAsia="宋体" w:cs="Times New Roman"/>
      <w:b/>
      <w:bCs/>
      <w:kern w:val="28"/>
      <w:sz w:val="32"/>
      <w:szCs w:val="32"/>
    </w:rPr>
  </w:style>
  <w:style w:type="character" w:customStyle="1" w:styleId="85">
    <w:name w:val="批注文字 Char"/>
    <w:link w:val="15"/>
    <w:qFormat/>
    <w:uiPriority w:val="99"/>
    <w:rPr>
      <w:rFonts w:ascii="Times New Roman" w:hAnsi="Times New Roman" w:eastAsia="宋体" w:cs="Times New Roman"/>
      <w:kern w:val="2"/>
      <w:sz w:val="21"/>
      <w:szCs w:val="22"/>
    </w:rPr>
  </w:style>
  <w:style w:type="character" w:customStyle="1" w:styleId="86">
    <w:name w:val="正文哈哈 Char"/>
    <w:link w:val="87"/>
    <w:qFormat/>
    <w:uiPriority w:val="0"/>
    <w:rPr>
      <w:rFonts w:ascii="宋体" w:hAnsi="宋体" w:eastAsia="楷体_GB2312" w:cs="Times New Roman"/>
      <w:bCs/>
      <w:sz w:val="21"/>
      <w:szCs w:val="28"/>
    </w:rPr>
  </w:style>
  <w:style w:type="paragraph" w:customStyle="1" w:styleId="87">
    <w:name w:val="正文哈哈"/>
    <w:basedOn w:val="1"/>
    <w:link w:val="86"/>
    <w:qFormat/>
    <w:uiPriority w:val="0"/>
    <w:pPr>
      <w:numPr>
        <w:ilvl w:val="0"/>
        <w:numId w:val="1"/>
      </w:numPr>
      <w:adjustRightInd w:val="0"/>
      <w:snapToGrid w:val="0"/>
      <w:jc w:val="left"/>
    </w:pPr>
    <w:rPr>
      <w:rFonts w:ascii="宋体" w:hAnsi="宋体" w:eastAsia="楷体_GB2312"/>
      <w:bCs/>
      <w:kern w:val="0"/>
      <w:szCs w:val="28"/>
    </w:rPr>
  </w:style>
  <w:style w:type="character" w:customStyle="1" w:styleId="88">
    <w:name w:val="标题 5 Char"/>
    <w:link w:val="7"/>
    <w:qFormat/>
    <w:uiPriority w:val="0"/>
    <w:rPr>
      <w:rFonts w:ascii="Times New Roman" w:hAnsi="Times New Roman" w:eastAsia="宋体" w:cs="Times New Roman"/>
      <w:b/>
      <w:bCs/>
      <w:kern w:val="2"/>
      <w:sz w:val="28"/>
      <w:szCs w:val="28"/>
    </w:rPr>
  </w:style>
  <w:style w:type="character" w:customStyle="1" w:styleId="89">
    <w:name w:val="书籍标题1"/>
    <w:qFormat/>
    <w:uiPriority w:val="0"/>
    <w:rPr>
      <w:rFonts w:ascii="Times New Roman" w:hAnsi="Times New Roman" w:eastAsia="宋体" w:cs="Times New Roman"/>
      <w:b/>
      <w:bCs/>
      <w:smallCaps/>
      <w:spacing w:val="5"/>
    </w:rPr>
  </w:style>
  <w:style w:type="character" w:customStyle="1" w:styleId="90">
    <w:name w:val="批注主题 Char"/>
    <w:link w:val="38"/>
    <w:qFormat/>
    <w:uiPriority w:val="0"/>
    <w:rPr>
      <w:rFonts w:ascii="宋体" w:hAnsi="Times New Roman" w:eastAsia="宋体" w:cs="Times New Roman"/>
      <w:b/>
      <w:bCs/>
      <w:sz w:val="28"/>
    </w:rPr>
  </w:style>
  <w:style w:type="character" w:customStyle="1" w:styleId="91">
    <w:name w:val="标题 9 Char"/>
    <w:link w:val="11"/>
    <w:qFormat/>
    <w:uiPriority w:val="0"/>
    <w:rPr>
      <w:rFonts w:ascii="Cambria" w:hAnsi="Cambria" w:eastAsia="宋体" w:cs="Times New Roman"/>
      <w:kern w:val="2"/>
      <w:sz w:val="21"/>
      <w:szCs w:val="21"/>
    </w:rPr>
  </w:style>
  <w:style w:type="character" w:customStyle="1" w:styleId="92">
    <w:name w:val="二级标题 Char"/>
    <w:link w:val="93"/>
    <w:qFormat/>
    <w:uiPriority w:val="0"/>
    <w:rPr>
      <w:rFonts w:ascii="楷体" w:hAnsi="楷体" w:eastAsia="楷体" w:cs="Times New Roman"/>
      <w:b/>
      <w:bCs/>
      <w:kern w:val="2"/>
      <w:sz w:val="24"/>
      <w:szCs w:val="24"/>
    </w:rPr>
  </w:style>
  <w:style w:type="paragraph" w:customStyle="1" w:styleId="93">
    <w:name w:val="二级标题"/>
    <w:basedOn w:val="5"/>
    <w:link w:val="92"/>
    <w:qFormat/>
    <w:uiPriority w:val="0"/>
    <w:pPr>
      <w:adjustRightInd w:val="0"/>
      <w:snapToGrid w:val="0"/>
      <w:spacing w:before="0" w:after="0" w:line="360" w:lineRule="auto"/>
      <w:jc w:val="left"/>
    </w:pPr>
    <w:rPr>
      <w:rFonts w:ascii="楷体" w:hAnsi="楷体" w:eastAsia="楷体"/>
      <w:sz w:val="24"/>
      <w:szCs w:val="24"/>
    </w:rPr>
  </w:style>
  <w:style w:type="character" w:customStyle="1" w:styleId="94">
    <w:name w:val="批注文字 Char Char"/>
    <w:qFormat/>
    <w:uiPriority w:val="0"/>
    <w:rPr>
      <w:rFonts w:ascii="宋体" w:hAnsi="Times New Roman" w:eastAsia="宋体" w:cs="Times New Roman"/>
      <w:sz w:val="28"/>
      <w:szCs w:val="20"/>
    </w:rPr>
  </w:style>
  <w:style w:type="character" w:customStyle="1" w:styleId="95">
    <w:name w:val="正文文本 Char1"/>
    <w:qFormat/>
    <w:uiPriority w:val="99"/>
    <w:rPr>
      <w:rFonts w:ascii="Times New Roman" w:hAnsi="Times New Roman" w:eastAsia="宋体" w:cs="Times New Roman"/>
      <w:kern w:val="2"/>
      <w:sz w:val="21"/>
      <w:szCs w:val="22"/>
    </w:rPr>
  </w:style>
  <w:style w:type="character" w:customStyle="1" w:styleId="96">
    <w:name w:val="标题 7 Char"/>
    <w:link w:val="9"/>
    <w:qFormat/>
    <w:uiPriority w:val="0"/>
    <w:rPr>
      <w:rFonts w:ascii="Times New Roman" w:hAnsi="Times New Roman" w:eastAsia="宋体" w:cs="Times New Roman"/>
      <w:b/>
      <w:bCs/>
      <w:kern w:val="2"/>
      <w:sz w:val="24"/>
      <w:szCs w:val="24"/>
    </w:rPr>
  </w:style>
  <w:style w:type="character" w:customStyle="1" w:styleId="97">
    <w:name w:val="批注框文本 Char1"/>
    <w:qFormat/>
    <w:uiPriority w:val="0"/>
    <w:rPr>
      <w:rFonts w:ascii="Times New Roman" w:hAnsi="Times New Roman" w:eastAsia="宋体" w:cs="Times New Roman"/>
      <w:kern w:val="2"/>
      <w:sz w:val="18"/>
      <w:szCs w:val="18"/>
    </w:rPr>
  </w:style>
  <w:style w:type="character" w:customStyle="1" w:styleId="98">
    <w:name w:val="标题 8 Char"/>
    <w:link w:val="10"/>
    <w:qFormat/>
    <w:uiPriority w:val="0"/>
    <w:rPr>
      <w:rFonts w:ascii="Cambria" w:hAnsi="Cambria" w:eastAsia="宋体" w:cs="Times New Roman"/>
      <w:kern w:val="2"/>
      <w:sz w:val="24"/>
      <w:szCs w:val="24"/>
    </w:rPr>
  </w:style>
  <w:style w:type="character" w:customStyle="1" w:styleId="99">
    <w:name w:val="正文文本缩进 2 Char"/>
    <w:link w:val="24"/>
    <w:qFormat/>
    <w:uiPriority w:val="99"/>
    <w:rPr>
      <w:rFonts w:ascii="Times New Roman" w:hAnsi="Times New Roman" w:eastAsia="宋体" w:cs="Times New Roman"/>
      <w:kern w:val="2"/>
      <w:sz w:val="24"/>
    </w:rPr>
  </w:style>
  <w:style w:type="character" w:customStyle="1" w:styleId="100">
    <w:name w:val="页脚 Char"/>
    <w:link w:val="26"/>
    <w:qFormat/>
    <w:uiPriority w:val="99"/>
    <w:rPr>
      <w:rFonts w:ascii="Times New Roman" w:hAnsi="Times New Roman" w:eastAsia="宋体" w:cs="Times New Roman"/>
      <w:kern w:val="2"/>
      <w:sz w:val="18"/>
      <w:szCs w:val="18"/>
    </w:rPr>
  </w:style>
  <w:style w:type="character" w:customStyle="1" w:styleId="101">
    <w:name w:val="日期 Char1"/>
    <w:qFormat/>
    <w:uiPriority w:val="0"/>
    <w:rPr>
      <w:rFonts w:ascii="Times New Roman" w:hAnsi="Times New Roman" w:eastAsia="宋体" w:cs="Times New Roman"/>
      <w:kern w:val="2"/>
      <w:sz w:val="21"/>
      <w:szCs w:val="22"/>
    </w:rPr>
  </w:style>
  <w:style w:type="character" w:customStyle="1" w:styleId="102">
    <w:name w:val="标题 3 Char"/>
    <w:link w:val="5"/>
    <w:qFormat/>
    <w:uiPriority w:val="0"/>
    <w:rPr>
      <w:rFonts w:ascii="Times New Roman" w:hAnsi="Times New Roman" w:eastAsia="宋体" w:cs="Times New Roman"/>
      <w:b/>
      <w:bCs/>
      <w:kern w:val="2"/>
      <w:sz w:val="32"/>
      <w:szCs w:val="32"/>
    </w:rPr>
  </w:style>
  <w:style w:type="character" w:customStyle="1" w:styleId="103">
    <w:name w:val="明显引用 Char"/>
    <w:link w:val="104"/>
    <w:qFormat/>
    <w:uiPriority w:val="0"/>
    <w:rPr>
      <w:rFonts w:ascii="Times New Roman" w:hAnsi="Times New Roman" w:eastAsia="宋体" w:cs="Times New Roman"/>
      <w:b/>
      <w:bCs/>
      <w:i/>
      <w:iCs/>
      <w:color w:val="4F81BD"/>
      <w:kern w:val="2"/>
      <w:sz w:val="21"/>
      <w:szCs w:val="22"/>
    </w:rPr>
  </w:style>
  <w:style w:type="paragraph" w:styleId="104">
    <w:name w:val="Intense Quote"/>
    <w:basedOn w:val="1"/>
    <w:next w:val="1"/>
    <w:link w:val="103"/>
    <w:qFormat/>
    <w:uiPriority w:val="0"/>
    <w:pPr>
      <w:pBdr>
        <w:bottom w:val="single" w:color="4F81BD" w:sz="4" w:space="4"/>
      </w:pBdr>
      <w:spacing w:before="200" w:after="280"/>
      <w:ind w:left="936" w:right="936"/>
    </w:pPr>
    <w:rPr>
      <w:rFonts w:ascii="Times New Roman" w:hAnsi="Times New Roman"/>
      <w:b/>
      <w:bCs/>
      <w:i/>
      <w:iCs/>
      <w:color w:val="4F81BD"/>
    </w:rPr>
  </w:style>
  <w:style w:type="character" w:customStyle="1" w:styleId="105">
    <w:name w:val="批注主题 Char1"/>
    <w:qFormat/>
    <w:uiPriority w:val="0"/>
    <w:rPr>
      <w:rFonts w:ascii="Times New Roman" w:hAnsi="Times New Roman" w:eastAsia="宋体" w:cs="Times New Roman"/>
      <w:b/>
      <w:bCs/>
      <w:kern w:val="2"/>
      <w:sz w:val="21"/>
      <w:szCs w:val="22"/>
    </w:rPr>
  </w:style>
  <w:style w:type="character" w:customStyle="1" w:styleId="106">
    <w:name w:val="标题 1 Char"/>
    <w:link w:val="3"/>
    <w:qFormat/>
    <w:uiPriority w:val="0"/>
    <w:rPr>
      <w:rFonts w:ascii="Times New Roman" w:hAnsi="Times New Roman" w:eastAsia="宋体" w:cs="Times New Roman"/>
      <w:b/>
      <w:bCs/>
      <w:kern w:val="44"/>
      <w:sz w:val="44"/>
      <w:szCs w:val="44"/>
    </w:rPr>
  </w:style>
  <w:style w:type="paragraph" w:customStyle="1" w:styleId="10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8">
    <w:name w:val="列出段落12"/>
    <w:basedOn w:val="1"/>
    <w:qFormat/>
    <w:uiPriority w:val="0"/>
    <w:pPr>
      <w:ind w:firstLine="420" w:firstLineChars="200"/>
    </w:pPr>
    <w:rPr>
      <w:rFonts w:ascii="Times New Roman" w:hAnsi="Times New Roman"/>
    </w:rPr>
  </w:style>
  <w:style w:type="paragraph" w:customStyle="1" w:styleId="109">
    <w:name w:val="智慧工地--【条文说明】"/>
    <w:basedOn w:val="1"/>
    <w:next w:val="1"/>
    <w:qFormat/>
    <w:uiPriority w:val="0"/>
    <w:rPr>
      <w:rFonts w:ascii="Times New Roman" w:hAnsi="Times New Roman"/>
      <w:i/>
      <w:szCs w:val="24"/>
    </w:rPr>
  </w:style>
  <w:style w:type="paragraph" w:customStyle="1" w:styleId="110">
    <w:name w:val="1"/>
    <w:basedOn w:val="1"/>
    <w:next w:val="111"/>
    <w:qFormat/>
    <w:uiPriority w:val="0"/>
    <w:pPr>
      <w:ind w:firstLine="420" w:firstLineChars="200"/>
    </w:pPr>
    <w:rPr>
      <w:rFonts w:ascii="Times New Roman" w:hAnsi="Times New Roman"/>
      <w:szCs w:val="24"/>
    </w:rPr>
  </w:style>
  <w:style w:type="paragraph" w:styleId="111">
    <w:name w:val="List Paragraph"/>
    <w:basedOn w:val="1"/>
    <w:link w:val="154"/>
    <w:qFormat/>
    <w:uiPriority w:val="99"/>
    <w:pPr>
      <w:ind w:firstLine="420" w:firstLineChars="200"/>
    </w:pPr>
    <w:rPr>
      <w:rFonts w:ascii="Times New Roman" w:hAnsi="Times New Roman"/>
    </w:rPr>
  </w:style>
  <w:style w:type="paragraph" w:customStyle="1" w:styleId="112">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13">
    <w:name w:val="修订1"/>
    <w:qFormat/>
    <w:uiPriority w:val="99"/>
    <w:rPr>
      <w:rFonts w:ascii="Calibri" w:hAnsi="Calibri" w:eastAsia="宋体" w:cs="Times New Roman"/>
      <w:kern w:val="2"/>
      <w:sz w:val="21"/>
      <w:szCs w:val="24"/>
      <w:lang w:val="en-US" w:eastAsia="zh-CN" w:bidi="ar-SA"/>
    </w:rPr>
  </w:style>
  <w:style w:type="paragraph" w:customStyle="1" w:styleId="114">
    <w:name w:val="TOC 标题1"/>
    <w:basedOn w:val="3"/>
    <w:next w:val="1"/>
    <w:qFormat/>
    <w:uiPriority w:val="0"/>
    <w:pPr>
      <w:outlineLvl w:val="9"/>
    </w:pPr>
  </w:style>
  <w:style w:type="paragraph" w:customStyle="1" w:styleId="11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styleId="11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Blockquote"/>
    <w:basedOn w:val="1"/>
    <w:qFormat/>
    <w:uiPriority w:val="0"/>
    <w:pPr>
      <w:autoSpaceDE w:val="0"/>
      <w:autoSpaceDN w:val="0"/>
      <w:adjustRightInd w:val="0"/>
      <w:spacing w:before="100" w:after="100"/>
      <w:ind w:left="360" w:right="360"/>
      <w:jc w:val="left"/>
    </w:pPr>
    <w:rPr>
      <w:kern w:val="0"/>
      <w:szCs w:val="20"/>
    </w:rPr>
  </w:style>
  <w:style w:type="paragraph" w:customStyle="1" w:styleId="118">
    <w:name w:val="居中 ctrl+m"/>
    <w:basedOn w:val="1"/>
    <w:qFormat/>
    <w:uiPriority w:val="0"/>
    <w:pPr>
      <w:widowControl/>
      <w:adjustRightInd w:val="0"/>
      <w:snapToGrid w:val="0"/>
      <w:jc w:val="center"/>
    </w:pPr>
    <w:rPr>
      <w:rFonts w:ascii="宋体" w:cs="宋体"/>
      <w:szCs w:val="20"/>
    </w:rPr>
  </w:style>
  <w:style w:type="paragraph" w:customStyle="1" w:styleId="119">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20">
    <w:name w:val="样式 正文缩进正文（首行缩进两字）正文（首行缩进两字） Char Char2正文（首行缩进两字） Char Char Ch..."/>
    <w:basedOn w:val="2"/>
    <w:qFormat/>
    <w:uiPriority w:val="0"/>
    <w:pPr>
      <w:snapToGrid w:val="0"/>
      <w:spacing w:line="480" w:lineRule="auto"/>
      <w:ind w:firstLine="437"/>
    </w:pPr>
    <w:rPr>
      <w:rFonts w:ascii="宋体" w:hAnsi="宋体"/>
    </w:rPr>
  </w:style>
  <w:style w:type="table" w:customStyle="1" w:styleId="121">
    <w:name w:val="网格型1"/>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正文文本缩进 3 Char"/>
    <w:basedOn w:val="43"/>
    <w:link w:val="32"/>
    <w:semiHidden/>
    <w:qFormat/>
    <w:uiPriority w:val="99"/>
    <w:rPr>
      <w:kern w:val="2"/>
      <w:sz w:val="16"/>
      <w:szCs w:val="16"/>
    </w:rPr>
  </w:style>
  <w:style w:type="paragraph" w:customStyle="1" w:styleId="123">
    <w:name w:val="font5"/>
    <w:basedOn w:val="1"/>
    <w:qFormat/>
    <w:uiPriority w:val="0"/>
    <w:pPr>
      <w:widowControl/>
      <w:spacing w:before="100" w:beforeAutospacing="1" w:after="100" w:afterAutospacing="1"/>
      <w:jc w:val="left"/>
    </w:pPr>
    <w:rPr>
      <w:rFonts w:ascii="宋体" w:hAnsi="宋体" w:cs="宋体"/>
      <w:b/>
      <w:bCs/>
      <w:kern w:val="0"/>
      <w:sz w:val="22"/>
    </w:rPr>
  </w:style>
  <w:style w:type="paragraph" w:customStyle="1" w:styleId="124">
    <w:name w:val="font6"/>
    <w:basedOn w:val="1"/>
    <w:qFormat/>
    <w:uiPriority w:val="0"/>
    <w:pPr>
      <w:widowControl/>
      <w:spacing w:before="100" w:beforeAutospacing="1" w:after="100" w:afterAutospacing="1"/>
      <w:jc w:val="left"/>
    </w:pPr>
    <w:rPr>
      <w:rFonts w:ascii="宋体" w:hAnsi="宋体" w:cs="宋体"/>
      <w:b/>
      <w:bCs/>
      <w:color w:val="FF0000"/>
      <w:kern w:val="0"/>
      <w:sz w:val="22"/>
    </w:rPr>
  </w:style>
  <w:style w:type="paragraph" w:customStyle="1" w:styleId="125">
    <w:name w:val="xl67"/>
    <w:basedOn w:val="1"/>
    <w:qFormat/>
    <w:uiPriority w:val="0"/>
    <w:pPr>
      <w:widowControl/>
      <w:spacing w:before="100" w:beforeAutospacing="1" w:after="100" w:afterAutospacing="1"/>
      <w:jc w:val="left"/>
    </w:pPr>
    <w:rPr>
      <w:rFonts w:ascii="宋体" w:hAnsi="宋体" w:cs="宋体"/>
      <w:color w:val="FF0000"/>
      <w:kern w:val="0"/>
      <w:szCs w:val="24"/>
    </w:rPr>
  </w:style>
  <w:style w:type="paragraph" w:customStyle="1" w:styleId="126">
    <w:name w:val="xl68"/>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4"/>
    </w:rPr>
  </w:style>
  <w:style w:type="paragraph" w:customStyle="1" w:styleId="1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FF00"/>
      <w:kern w:val="0"/>
      <w:sz w:val="20"/>
      <w:szCs w:val="20"/>
    </w:rPr>
  </w:style>
  <w:style w:type="paragraph" w:customStyle="1" w:styleId="1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4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8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6">
    <w:name w:val="修订2"/>
    <w:hidden/>
    <w:unhideWhenUsed/>
    <w:qFormat/>
    <w:uiPriority w:val="99"/>
    <w:rPr>
      <w:rFonts w:ascii="Calibri" w:hAnsi="Calibri" w:eastAsia="宋体" w:cs="Times New Roman"/>
      <w:kern w:val="2"/>
      <w:sz w:val="21"/>
      <w:szCs w:val="22"/>
      <w:lang w:val="en-US" w:eastAsia="zh-CN" w:bidi="ar-SA"/>
    </w:rPr>
  </w:style>
  <w:style w:type="character" w:customStyle="1" w:styleId="147">
    <w:name w:val="fontstyle01"/>
    <w:qFormat/>
    <w:uiPriority w:val="0"/>
    <w:rPr>
      <w:rFonts w:hint="eastAsia" w:ascii="仿宋" w:hAnsi="仿宋" w:eastAsia="仿宋"/>
      <w:color w:val="000000"/>
      <w:sz w:val="28"/>
      <w:szCs w:val="28"/>
    </w:rPr>
  </w:style>
  <w:style w:type="paragraph" w:customStyle="1" w:styleId="148">
    <w:name w:val="_Style 143"/>
    <w:basedOn w:val="1"/>
    <w:next w:val="111"/>
    <w:qFormat/>
    <w:uiPriority w:val="0"/>
    <w:pPr>
      <w:widowControl/>
      <w:ind w:firstLine="420" w:firstLineChars="200"/>
      <w:jc w:val="left"/>
    </w:pPr>
    <w:rPr>
      <w:rFonts w:ascii="宋体" w:hAnsi="宋体" w:eastAsia="等线" w:cs="宋体"/>
      <w:kern w:val="0"/>
    </w:rPr>
  </w:style>
  <w:style w:type="paragraph" w:customStyle="1" w:styleId="149">
    <w:name w:val="1.1"/>
    <w:basedOn w:val="1"/>
    <w:qFormat/>
    <w:uiPriority w:val="0"/>
    <w:pPr>
      <w:widowControl/>
      <w:numPr>
        <w:ilvl w:val="1"/>
        <w:numId w:val="1"/>
      </w:numPr>
      <w:jc w:val="left"/>
    </w:pPr>
    <w:rPr>
      <w:rFonts w:ascii="Arial" w:hAnsi="Arial" w:eastAsia="等线" w:cs="Arial"/>
      <w:kern w:val="0"/>
      <w:sz w:val="20"/>
      <w:szCs w:val="20"/>
    </w:rPr>
  </w:style>
  <w:style w:type="character" w:customStyle="1" w:styleId="150">
    <w:name w:val="WW-Zeilennummer"/>
    <w:qFormat/>
    <w:uiPriority w:val="0"/>
    <w:rPr>
      <w:rFonts w:ascii="Arial" w:hAnsi="Arial"/>
      <w:sz w:val="18"/>
    </w:rPr>
  </w:style>
  <w:style w:type="paragraph" w:customStyle="1" w:styleId="151">
    <w:name w:val="Normal_1"/>
    <w:basedOn w:val="1"/>
    <w:qFormat/>
    <w:uiPriority w:val="0"/>
    <w:rPr>
      <w:rFonts w:ascii="等线" w:hAnsi="等线" w:eastAsia="等线" w:cs="Calibri"/>
      <w:kern w:val="0"/>
      <w:szCs w:val="24"/>
    </w:rPr>
  </w:style>
  <w:style w:type="paragraph" w:customStyle="1" w:styleId="152">
    <w:name w:val="修订3"/>
    <w:hidden/>
    <w:semiHidden/>
    <w:qFormat/>
    <w:uiPriority w:val="99"/>
    <w:rPr>
      <w:rFonts w:ascii="Calibri" w:hAnsi="Calibri" w:eastAsia="宋体" w:cs="Times New Roman"/>
      <w:kern w:val="2"/>
      <w:sz w:val="21"/>
      <w:szCs w:val="22"/>
      <w:lang w:val="en-US" w:eastAsia="zh-CN" w:bidi="ar-SA"/>
    </w:rPr>
  </w:style>
  <w:style w:type="paragraph" w:customStyle="1" w:styleId="153">
    <w:name w:val="修订4"/>
    <w:hidden/>
    <w:unhideWhenUsed/>
    <w:qFormat/>
    <w:uiPriority w:val="99"/>
    <w:rPr>
      <w:rFonts w:ascii="Calibri" w:hAnsi="Calibri" w:eastAsia="宋体" w:cs="Times New Roman"/>
      <w:kern w:val="2"/>
      <w:sz w:val="21"/>
      <w:szCs w:val="22"/>
      <w:lang w:val="en-US" w:eastAsia="zh-CN" w:bidi="ar-SA"/>
    </w:rPr>
  </w:style>
  <w:style w:type="character" w:customStyle="1" w:styleId="154">
    <w:name w:val="列出段落 Char"/>
    <w:basedOn w:val="43"/>
    <w:link w:val="111"/>
    <w:qFormat/>
    <w:uiPriority w:val="0"/>
    <w:rPr>
      <w:rFonts w:ascii="Times New Roman" w:hAnsi="Times New Roman"/>
      <w:kern w:val="2"/>
      <w:sz w:val="21"/>
      <w:szCs w:val="22"/>
    </w:rPr>
  </w:style>
  <w:style w:type="paragraph" w:customStyle="1" w:styleId="155">
    <w:name w:val="Table Text"/>
    <w:basedOn w:val="1"/>
    <w:semiHidden/>
    <w:qFormat/>
    <w:uiPriority w:val="0"/>
    <w:rPr>
      <w:rFonts w:ascii="宋体" w:hAnsi="宋体" w:cs="宋体"/>
      <w:szCs w:val="21"/>
      <w:lang w:eastAsia="en-US"/>
    </w:rPr>
  </w:style>
  <w:style w:type="table" w:customStyle="1" w:styleId="156">
    <w:name w:val="Table Normal"/>
    <w:semiHidden/>
    <w:unhideWhenUsed/>
    <w:qFormat/>
    <w:uiPriority w:val="0"/>
    <w:tblPr>
      <w:tblCellMar>
        <w:top w:w="0" w:type="dxa"/>
        <w:left w:w="0" w:type="dxa"/>
        <w:bottom w:w="0" w:type="dxa"/>
        <w:right w:w="0" w:type="dxa"/>
      </w:tblCellMar>
    </w:tblPr>
  </w:style>
  <w:style w:type="character" w:customStyle="1" w:styleId="157">
    <w:name w:val="文一 Char Char"/>
    <w:link w:val="158"/>
    <w:qFormat/>
    <w:uiPriority w:val="0"/>
    <w:rPr>
      <w:snapToGrid w:val="0"/>
      <w:spacing w:val="4"/>
      <w:sz w:val="24"/>
    </w:rPr>
  </w:style>
  <w:style w:type="paragraph" w:customStyle="1" w:styleId="158">
    <w:name w:val="文一"/>
    <w:basedOn w:val="1"/>
    <w:link w:val="157"/>
    <w:qFormat/>
    <w:uiPriority w:val="0"/>
    <w:pPr>
      <w:widowControl/>
      <w:topLinePunct/>
      <w:adjustRightInd w:val="0"/>
      <w:snapToGrid w:val="0"/>
      <w:spacing w:before="100" w:beforeAutospacing="1" w:after="200"/>
      <w:ind w:firstLine="200" w:firstLineChars="200"/>
      <w:jc w:val="left"/>
    </w:pPr>
    <w:rPr>
      <w:rFonts w:ascii="Times New Roman" w:hAnsi="Times New Roman"/>
      <w:snapToGrid w:val="0"/>
      <w:spacing w:val="4"/>
      <w:kern w:val="0"/>
      <w:szCs w:val="20"/>
    </w:rPr>
  </w:style>
  <w:style w:type="paragraph" w:customStyle="1" w:styleId="159">
    <w:name w:val="真正文"/>
    <w:basedOn w:val="1"/>
    <w:qFormat/>
    <w:uiPriority w:val="0"/>
    <w:pPr>
      <w:widowControl/>
      <w:spacing w:before="156" w:beforeLines="50" w:after="156" w:afterLines="50"/>
      <w:ind w:firstLine="899" w:firstLineChars="200"/>
      <w:jc w:val="left"/>
    </w:pPr>
    <w:rPr>
      <w:rFonts w:ascii="Times New Roman" w:hAnsi="Times New Roman"/>
      <w:kern w:val="0"/>
      <w:szCs w:val="20"/>
    </w:rPr>
  </w:style>
  <w:style w:type="paragraph" w:customStyle="1" w:styleId="160">
    <w:name w:val="第一部分"/>
    <w:basedOn w:val="158"/>
    <w:next w:val="158"/>
    <w:qFormat/>
    <w:uiPriority w:val="0"/>
    <w:pPr>
      <w:spacing w:before="156" w:beforeLines="50" w:after="156" w:afterLines="50"/>
      <w:ind w:firstLine="0" w:firstLineChars="0"/>
      <w:jc w:val="center"/>
      <w:outlineLvl w:val="0"/>
    </w:pPr>
    <w:rPr>
      <w:rFonts w:eastAsia="黑体"/>
      <w:b/>
      <w:sz w:val="36"/>
      <w:szCs w:val="36"/>
    </w:rPr>
  </w:style>
  <w:style w:type="paragraph" w:customStyle="1" w:styleId="161">
    <w:name w:val="第二节"/>
    <w:basedOn w:val="158"/>
    <w:next w:val="158"/>
    <w:qFormat/>
    <w:uiPriority w:val="0"/>
    <w:pPr>
      <w:spacing w:before="156" w:beforeLines="50" w:after="156" w:afterLines="50"/>
      <w:ind w:firstLine="0" w:firstLineChars="0"/>
      <w:jc w:val="center"/>
      <w:outlineLvl w:val="1"/>
    </w:pPr>
    <w:rPr>
      <w:rFonts w:eastAsia="黑体"/>
      <w:b/>
      <w:sz w:val="30"/>
      <w:szCs w:val="30"/>
    </w:rPr>
  </w:style>
  <w:style w:type="paragraph" w:customStyle="1" w:styleId="162">
    <w:name w:val="三、"/>
    <w:basedOn w:val="158"/>
    <w:next w:val="158"/>
    <w:qFormat/>
    <w:uiPriority w:val="0"/>
    <w:pPr>
      <w:spacing w:before="156" w:beforeLines="50" w:beforeAutospacing="0" w:after="156" w:afterLines="50"/>
      <w:ind w:firstLine="0" w:firstLineChars="0"/>
      <w:outlineLvl w:val="2"/>
    </w:pPr>
    <w:rPr>
      <w:rFonts w:ascii="黑体" w:hAnsi="黑体" w:eastAsia="黑体"/>
      <w:b/>
    </w:rPr>
  </w:style>
  <w:style w:type="paragraph" w:customStyle="1" w:styleId="163">
    <w:name w:val="章节二"/>
    <w:basedOn w:val="158"/>
    <w:next w:val="158"/>
    <w:qFormat/>
    <w:uiPriority w:val="0"/>
    <w:pPr>
      <w:spacing w:before="156" w:beforeLines="50" w:beforeAutospacing="0" w:after="156" w:afterLines="50"/>
      <w:ind w:firstLine="0" w:firstLineChars="0"/>
      <w:jc w:val="center"/>
      <w:outlineLvl w:val="1"/>
    </w:pPr>
    <w:rPr>
      <w:rFonts w:eastAsia="黑体"/>
      <w:b/>
      <w:sz w:val="30"/>
      <w:szCs w:val="30"/>
    </w:rPr>
  </w:style>
  <w:style w:type="paragraph" w:customStyle="1" w:styleId="164">
    <w:name w:val="修订5"/>
    <w:hidden/>
    <w:semiHidden/>
    <w:qFormat/>
    <w:uiPriority w:val="99"/>
    <w:rPr>
      <w:rFonts w:ascii="Calibri" w:hAnsi="Calibri" w:eastAsia="宋体" w:cs="Times New Roman"/>
      <w:kern w:val="2"/>
      <w:sz w:val="21"/>
      <w:szCs w:val="22"/>
      <w:lang w:val="en-US" w:eastAsia="zh-CN" w:bidi="ar-SA"/>
    </w:rPr>
  </w:style>
  <w:style w:type="paragraph" w:customStyle="1" w:styleId="165">
    <w:name w:val="Normal_4"/>
    <w:qFormat/>
    <w:uiPriority w:val="0"/>
    <w:pPr>
      <w:spacing w:after="200" w:line="276" w:lineRule="auto"/>
    </w:pPr>
    <w:rPr>
      <w:rFonts w:ascii="Calibri" w:hAnsi="Calibri" w:eastAsia="宋体" w:cs="Times New Roman"/>
      <w:sz w:val="22"/>
      <w:lang w:val="en-US" w:eastAsia="zh-CN" w:bidi="ar-SA"/>
    </w:rPr>
  </w:style>
  <w:style w:type="paragraph" w:customStyle="1" w:styleId="166">
    <w:name w:val="Body Text_0"/>
    <w:basedOn w:val="165"/>
    <w:qFormat/>
    <w:uiPriority w:val="0"/>
    <w:pPr>
      <w:spacing w:line="320" w:lineRule="exact"/>
    </w:pPr>
    <w:rPr>
      <w:rFonts w:ascii="宋体" w:hAnsi="宋体" w:cs="宋体"/>
      <w:b/>
      <w:bCs/>
      <w:sz w:val="24"/>
      <w:szCs w:val="24"/>
    </w:rPr>
  </w:style>
  <w:style w:type="character" w:customStyle="1" w:styleId="167">
    <w:name w:val="纯文本 Char"/>
    <w:link w:val="21"/>
    <w:qFormat/>
    <w:locked/>
    <w:uiPriority w:val="0"/>
    <w:rPr>
      <w:rFonts w:ascii="宋体" w:hAnsi="Courier New" w:cs="宋体"/>
      <w:kern w:val="2"/>
      <w:sz w:val="24"/>
      <w:szCs w:val="22"/>
    </w:rPr>
  </w:style>
  <w:style w:type="paragraph" w:customStyle="1" w:styleId="168">
    <w:name w:val="修订6"/>
    <w:hidden/>
    <w:unhideWhenUsed/>
    <w:qFormat/>
    <w:uiPriority w:val="99"/>
    <w:rPr>
      <w:rFonts w:ascii="Calibri" w:hAnsi="Calibri" w:eastAsia="宋体" w:cs="Times New Roman"/>
      <w:kern w:val="2"/>
      <w:sz w:val="24"/>
      <w:szCs w:val="22"/>
      <w:lang w:val="en-US" w:eastAsia="zh-CN" w:bidi="ar-SA"/>
    </w:rPr>
  </w:style>
  <w:style w:type="paragraph" w:customStyle="1" w:styleId="169">
    <w:name w:val="修订7"/>
    <w:hidden/>
    <w:unhideWhenUsed/>
    <w:qFormat/>
    <w:uiPriority w:val="99"/>
    <w:rPr>
      <w:rFonts w:ascii="Calibri" w:hAnsi="Calibri" w:eastAsia="宋体" w:cs="Times New Roman"/>
      <w:kern w:val="2"/>
      <w:sz w:val="24"/>
      <w:szCs w:val="22"/>
      <w:lang w:val="en-US" w:eastAsia="zh-CN" w:bidi="ar-SA"/>
    </w:rPr>
  </w:style>
  <w:style w:type="character" w:customStyle="1" w:styleId="170">
    <w:name w:val="正文文本缩进 Char"/>
    <w:basedOn w:val="43"/>
    <w:link w:val="17"/>
    <w:qFormat/>
    <w:uiPriority w:val="0"/>
    <w:rPr>
      <w:kern w:val="2"/>
      <w:sz w:val="21"/>
      <w:szCs w:val="24"/>
    </w:rPr>
  </w:style>
  <w:style w:type="character" w:customStyle="1" w:styleId="171">
    <w:name w:val="正文首行缩进 2 Char"/>
    <w:basedOn w:val="170"/>
    <w:link w:val="39"/>
    <w:qFormat/>
    <w:uiPriority w:val="0"/>
    <w:rPr>
      <w:kern w:val="2"/>
      <w:sz w:val="21"/>
      <w:szCs w:val="24"/>
    </w:rPr>
  </w:style>
  <w:style w:type="character" w:customStyle="1" w:styleId="172">
    <w:name w:val="填空说明"/>
    <w:basedOn w:val="43"/>
    <w:qFormat/>
    <w:uiPriority w:val="1"/>
    <w:rPr>
      <w:rFonts w:ascii="Times New Roman" w:hAnsi="Times New Roman" w:eastAsia="楷体"/>
      <w:color w:val="FF0000"/>
      <w:sz w:val="24"/>
      <w:u w:val="single"/>
    </w:rPr>
  </w:style>
  <w:style w:type="paragraph" w:customStyle="1" w:styleId="173">
    <w:name w:val="_Style 2"/>
    <w:basedOn w:val="3"/>
    <w:next w:val="1"/>
    <w:qFormat/>
    <w:uiPriority w:val="0"/>
    <w:pPr>
      <w:outlineLvl w:val="9"/>
    </w:pPr>
    <w:rPr>
      <w:rFonts w:ascii="Calibri" w:hAnsi="Calibri"/>
    </w:rPr>
  </w:style>
  <w:style w:type="paragraph" w:customStyle="1" w:styleId="174">
    <w:name w:val="_Style 3"/>
    <w:basedOn w:val="3"/>
    <w:next w:val="1"/>
    <w:qFormat/>
    <w:uiPriority w:val="0"/>
    <w:pPr>
      <w:outlineLvl w:val="9"/>
    </w:pPr>
    <w:rPr>
      <w:rFonts w:ascii="Calibri" w:hAnsi="Calibri"/>
    </w:rPr>
  </w:style>
  <w:style w:type="paragraph" w:customStyle="1" w:styleId="175">
    <w:name w:val="修订11"/>
    <w:qFormat/>
    <w:uiPriority w:val="0"/>
    <w:rPr>
      <w:rFonts w:ascii="Times New Roman" w:hAnsi="Times New Roman" w:eastAsia="宋体" w:cs="Times New Roman"/>
      <w:kern w:val="2"/>
      <w:sz w:val="21"/>
      <w:szCs w:val="24"/>
      <w:lang w:val="en-US" w:eastAsia="zh-CN" w:bidi="ar-SA"/>
    </w:rPr>
  </w:style>
  <w:style w:type="paragraph" w:customStyle="1" w:styleId="176">
    <w:name w:val="p0"/>
    <w:basedOn w:val="1"/>
    <w:qFormat/>
    <w:uiPriority w:val="0"/>
    <w:pPr>
      <w:widowControl/>
      <w:spacing w:line="240" w:lineRule="auto"/>
    </w:pPr>
    <w:rPr>
      <w:rFonts w:ascii="Times New Roman" w:hAnsi="Times New Roman"/>
      <w:kern w:val="0"/>
      <w:sz w:val="21"/>
      <w:szCs w:val="21"/>
    </w:rPr>
  </w:style>
  <w:style w:type="paragraph" w:customStyle="1" w:styleId="177">
    <w:name w:val="Char"/>
    <w:basedOn w:val="1"/>
    <w:qFormat/>
    <w:uiPriority w:val="0"/>
    <w:pPr>
      <w:spacing w:line="240" w:lineRule="auto"/>
    </w:pPr>
    <w:rPr>
      <w:rFonts w:ascii="Times New Roman" w:hAnsi="Times New Roman"/>
      <w:sz w:val="21"/>
      <w:szCs w:val="24"/>
    </w:rPr>
  </w:style>
  <w:style w:type="paragraph" w:customStyle="1" w:styleId="178">
    <w:name w:val="Char Char"/>
    <w:basedOn w:val="1"/>
    <w:qFormat/>
    <w:uiPriority w:val="0"/>
    <w:pPr>
      <w:spacing w:line="240" w:lineRule="auto"/>
    </w:pPr>
    <w:rPr>
      <w:rFonts w:ascii="Times New Roman" w:hAnsi="Times New Roman"/>
      <w:sz w:val="21"/>
      <w:szCs w:val="24"/>
    </w:rPr>
  </w:style>
  <w:style w:type="paragraph" w:customStyle="1" w:styleId="179">
    <w:name w:val="Char Char1"/>
    <w:basedOn w:val="1"/>
    <w:qFormat/>
    <w:uiPriority w:val="0"/>
    <w:pPr>
      <w:spacing w:line="240" w:lineRule="auto"/>
    </w:pPr>
    <w:rPr>
      <w:rFonts w:ascii="Times New Roman" w:hAnsi="Times New Roman"/>
      <w:sz w:val="32"/>
      <w:szCs w:val="24"/>
    </w:rPr>
  </w:style>
  <w:style w:type="paragraph" w:customStyle="1" w:styleId="18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81">
    <w:name w:val="style9"/>
    <w:basedOn w:val="1"/>
    <w:qFormat/>
    <w:uiPriority w:val="0"/>
    <w:pPr>
      <w:widowControl/>
      <w:spacing w:before="100" w:beforeAutospacing="1" w:after="100" w:afterAutospacing="1" w:line="360" w:lineRule="atLeast"/>
      <w:jc w:val="left"/>
    </w:pPr>
    <w:rPr>
      <w:rFonts w:hint="eastAsia" w:ascii="宋体" w:hAnsi="宋体"/>
      <w:color w:val="000000"/>
      <w:spacing w:val="15"/>
      <w:kern w:val="0"/>
      <w:szCs w:val="24"/>
    </w:rPr>
  </w:style>
  <w:style w:type="paragraph" w:customStyle="1" w:styleId="182">
    <w:name w:val="首行缩进2字符"/>
    <w:basedOn w:val="1"/>
    <w:qFormat/>
    <w:uiPriority w:val="99"/>
    <w:pPr>
      <w:spacing w:line="240" w:lineRule="auto"/>
      <w:ind w:firstLine="200" w:firstLineChars="200"/>
    </w:pPr>
    <w:rPr>
      <w:rFonts w:ascii="Times New Roman" w:hAnsi="Times New Roman"/>
      <w:sz w:val="21"/>
      <w:szCs w:val="24"/>
    </w:rPr>
  </w:style>
  <w:style w:type="paragraph" w:customStyle="1" w:styleId="183">
    <w:name w:val="列表段落1"/>
    <w:basedOn w:val="1"/>
    <w:qFormat/>
    <w:uiPriority w:val="99"/>
    <w:pPr>
      <w:spacing w:line="240" w:lineRule="auto"/>
      <w:ind w:firstLine="420" w:firstLineChars="200"/>
    </w:pPr>
    <w:rPr>
      <w:rFonts w:ascii="Times New Roman" w:hAnsi="Times New Roman"/>
      <w:sz w:val="21"/>
      <w:szCs w:val="24"/>
    </w:rPr>
  </w:style>
  <w:style w:type="paragraph" w:customStyle="1" w:styleId="1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0FBEF-8A68-419F-92B6-857AE158DA83}">
  <ds:schemaRefs/>
</ds:datastoreItem>
</file>

<file path=docProps/app.xml><?xml version="1.0" encoding="utf-8"?>
<Properties xmlns="http://schemas.openxmlformats.org/officeDocument/2006/extended-properties" xmlns:vt="http://schemas.openxmlformats.org/officeDocument/2006/docPropsVTypes">
  <Template>Normal.dotm</Template>
  <Pages>225</Pages>
  <Words>155597</Words>
  <Characters>162038</Characters>
  <Lines>1234</Lines>
  <Paragraphs>347</Paragraphs>
  <TotalTime>73</TotalTime>
  <ScaleCrop>false</ScaleCrop>
  <LinksUpToDate>false</LinksUpToDate>
  <CharactersWithSpaces>165777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2024-08-27T02:34:00Z</dcterms:created>
  <dc:creator>Administrator</dc:creator>
  <cp:lastModifiedBy>雅竹</cp:lastModifiedBy>
  <cp:lastPrinted>2021-01-05T06:26:00Z</cp:lastPrinted>
  <dcterms:modified xsi:type="dcterms:W3CDTF">2024-08-27T06:27:35Z</dcterms:modified>
  <dc:title>建设工程施工合同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6734394C88C74736BDD1D7599A7E6297</vt:lpwstr>
  </property>
</Properties>
</file>