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440115-2024-03245</w:t>
      </w:r>
    </w:p>
    <w:p>
      <w:pPr>
        <w:pStyle w:val="null3"/>
        <w:jc w:val="center"/>
        <w:outlineLvl w:val="3"/>
      </w:pPr>
      <w:r>
        <w:rPr>
          <w:sz w:val="24"/>
          <w:b/>
        </w:rPr>
        <w:t>采购项目编号：</w:t>
      </w:r>
      <w:r>
        <w:rPr>
          <w:sz w:val="24"/>
          <w:b/>
        </w:rPr>
        <w:t>CZ2024-0937</w:t>
      </w:r>
    </w:p>
    <w:p>
      <w:pPr>
        <w:pStyle w:val="null3"/>
        <w:jc w:val="center"/>
        <w:outlineLvl w:val="3"/>
      </w:pPr>
      <w:r>
        <w:rPr>
          <w:sz w:val="24"/>
          <w:b/>
        </w:rPr>
        <w:t>项目名称：</w:t>
      </w:r>
      <w:r>
        <w:rPr>
          <w:sz w:val="24"/>
          <w:b/>
        </w:rPr>
        <w:t>新建综合楼投入使用开办经费-医疗办公家具采购项目</w:t>
      </w:r>
    </w:p>
    <w:p>
      <w:pPr>
        <w:pStyle w:val="null3"/>
        <w:jc w:val="center"/>
        <w:outlineLvl w:val="3"/>
      </w:pPr>
      <w:r>
        <w:rPr>
          <w:sz w:val="24"/>
          <w:b/>
        </w:rPr>
        <w:t>采购人：</w:t>
      </w:r>
      <w:r>
        <w:rPr>
          <w:sz w:val="24"/>
          <w:b/>
        </w:rPr>
        <w:t>广州市南沙区人民医院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广州市南沙区人民医院</w:t>
      </w:r>
      <w:r>
        <w:rPr/>
        <w:t>的委托，采用</w:t>
      </w:r>
      <w:r>
        <w:rPr/>
        <w:t>公开招标</w:t>
      </w:r>
      <w:r>
        <w:rPr/>
        <w:t>方式组织采购</w:t>
      </w:r>
      <w:r>
        <w:rPr/>
        <w:t>新建综合楼投入使用开办经费-医疗办公家具采购项目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新建综合楼投入使用开办经费-医疗办公家具采购项目</w:t>
      </w:r>
    </w:p>
    <w:p>
      <w:pPr>
        <w:pStyle w:val="null3"/>
        <w:ind w:firstLine="480"/>
      </w:pPr>
      <w:r>
        <w:rPr/>
        <w:t>采购计划编号：</w:t>
      </w:r>
      <w:r>
        <w:rPr/>
        <w:t>440115-2024-03245</w:t>
      </w:r>
    </w:p>
    <w:p>
      <w:pPr>
        <w:pStyle w:val="null3"/>
        <w:ind w:firstLine="480"/>
      </w:pPr>
      <w:r>
        <w:rPr/>
        <w:t>采购项目编号：</w:t>
      </w:r>
      <w:r>
        <w:rPr/>
        <w:t>CZ2024-0937</w:t>
      </w:r>
    </w:p>
    <w:p>
      <w:pPr>
        <w:pStyle w:val="null3"/>
        <w:ind w:firstLine="480"/>
      </w:pPr>
      <w:r>
        <w:rPr/>
        <w:t>采购方式：</w:t>
      </w:r>
      <w:r>
        <w:rPr/>
        <w:t>公开招标</w:t>
      </w:r>
    </w:p>
    <w:p>
      <w:pPr>
        <w:pStyle w:val="null3"/>
        <w:ind w:firstLine="480"/>
      </w:pPr>
      <w:r>
        <w:rPr/>
        <w:t>预算金额：</w:t>
      </w:r>
      <w:r>
        <w:rPr/>
        <w:t>4,076,168.00</w:t>
      </w:r>
      <w:r>
        <w:rPr/>
        <w:t>元</w:t>
      </w:r>
    </w:p>
    <w:p>
      <w:pPr>
        <w:pStyle w:val="null3"/>
        <w:outlineLvl w:val="3"/>
      </w:pPr>
      <w:r>
        <w:rPr>
          <w:sz w:val="24"/>
          <w:b/>
        </w:rPr>
        <w:t>2.项目内容及需求情况（采购项目技术规格、参数及要求）</w:t>
      </w:r>
    </w:p>
    <w:p>
      <w:pPr>
        <w:pStyle w:val="null3"/>
      </w:pPr>
      <w:r>
        <w:rPr/>
        <w:t>采购包1(医疗办公家具):</w:t>
      </w:r>
    </w:p>
    <w:p>
      <w:pPr>
        <w:pStyle w:val="null3"/>
      </w:pPr>
      <w:r>
        <w:rPr/>
        <w:t>采购包预算金额：4,076,168.00元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办公桌</w:t>
            </w:r>
          </w:p>
        </w:tc>
        <w:tc>
          <w:tcPr>
            <w:tcW w:type="dxa" w:w="2136"/>
          </w:tcPr>
          <w:p>
            <w:pPr>
              <w:pStyle w:val="null3"/>
            </w:pPr>
            <w:r>
              <w:rPr/>
              <w:t>办公椅、衣柜、配药柜等一批医疗办公设备。</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 35个日历天内完成到货并安装。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采购包1（医疗办公家具）：</w:t>
      </w: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p>
      <w:pPr>
        <w:pStyle w:val="null3"/>
        <w:outlineLvl w:val="3"/>
      </w:pPr>
      <w:r>
        <w:rPr>
          <w:sz w:val="24"/>
          <w:b/>
        </w:rPr>
        <w:t>3.本项目特定的资格要求：</w:t>
      </w:r>
    </w:p>
    <w:p>
      <w:pPr>
        <w:pStyle w:val="null3"/>
      </w:pPr>
      <w:r>
        <w:rPr/>
        <w:t>采购包1（医疗办公家具）：</w:t>
      </w:r>
    </w:p>
    <w:p>
      <w:pPr>
        <w:pStyle w:val="null3"/>
      </w:pPr>
      <w:r>
        <w:rPr/>
        <w:t>1)1.本项目不接受联合体投标。2.供应商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广州市南沙区人民医院</w:t>
      </w:r>
    </w:p>
    <w:p>
      <w:pPr>
        <w:pStyle w:val="null3"/>
        <w:ind w:firstLine="480"/>
      </w:pPr>
      <w:r>
        <w:rPr/>
        <w:t xml:space="preserve"> 地址：</w:t>
      </w:r>
      <w:r>
        <w:rPr/>
        <w:t>广州市南沙区大岗镇兴业路7号</w:t>
      </w:r>
    </w:p>
    <w:p>
      <w:pPr>
        <w:pStyle w:val="null3"/>
        <w:ind w:firstLine="480"/>
      </w:pPr>
      <w:r>
        <w:rPr/>
        <w:t xml:space="preserve"> 联系方式：</w:t>
      </w:r>
      <w:r>
        <w:rPr/>
        <w:t>020-34999630</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28667429、28866163</w:t>
      </w:r>
    </w:p>
    <w:p>
      <w:pPr>
        <w:pStyle w:val="null3"/>
        <w:outlineLvl w:val="3"/>
      </w:pPr>
      <w:r>
        <w:rPr>
          <w:sz w:val="24"/>
          <w:b/>
        </w:rPr>
        <w:t xml:space="preserve"> 3.项目联系方式</w:t>
      </w:r>
    </w:p>
    <w:p>
      <w:pPr>
        <w:pStyle w:val="null3"/>
        <w:ind w:firstLine="480"/>
      </w:pPr>
      <w:r>
        <w:rPr/>
        <w:t xml:space="preserve"> 项目联系人：</w:t>
      </w:r>
      <w:r>
        <w:rPr/>
        <w:t>郭艾丹（采购文件咨询）、何晓蕾（质疑受理）</w:t>
      </w:r>
    </w:p>
    <w:p>
      <w:pPr>
        <w:pStyle w:val="null3"/>
        <w:ind w:firstLine="480"/>
      </w:pPr>
      <w:r>
        <w:rPr/>
        <w:t xml:space="preserve"> 电话：</w:t>
      </w:r>
      <w:r>
        <w:rPr/>
        <w:t>28667429、28866163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详见附件“采购需求”。</w:t>
      </w:r>
    </w:p>
    <w:p>
      <w:pPr>
        <w:pStyle w:val="null3"/>
      </w:pPr>
      <w:r>
        <w:rPr/>
        <w:t>采购包1（医疗办公家具）</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 35个日历天内完成到货并安装。</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1期：支付比例100%,详见第二章采购需求。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收取比例：5%,说明：1、本项目合同签订后20个工作日内，中标人应以支票、汇票、本票、保函等非现金形式缴交合同金额5%的履约保证金，若中标人没有违约行为，履约保证金在合同有效期满后15个工作日内由采购人无息退还中标人。采购人逾期退还履约保证金的，除应当退还履约保证金的本金外，还应当按中国人民银行授权的全国银行间同业拆借中心在逾期当月20日（遇节假日顺延）9时30分公布的贷款市场报价利率上浮20％后的利率支付超期资金占用费，但因中标人自身原因导致无法及时退还的除外。 如未能按时交纳履约担保的，采购人有权报政府采购监管部门取消其中标资格。 2、如中标人未履行本合同约定、出现违约行为或因中标人过错致采购人或第三方损失时，采购人有权不予退还履约保证金，履约保证金不足以覆盖损失时，采购人还有权继续对中标人进行追讨。</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办公桌</w:t>
            </w:r>
          </w:p>
        </w:tc>
        <w:tc>
          <w:tcPr>
            <w:tcW w:type="dxa" w:w="831"/>
          </w:tcPr>
          <w:p>
            <w:pPr>
              <w:pStyle w:val="null3"/>
              <w:jc w:val="left"/>
            </w:pPr>
            <w:r>
              <w:rPr/>
              <w:t>办公椅、衣柜、配药柜等一批医疗办公设备。</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4,076,168.00</w:t>
            </w:r>
          </w:p>
        </w:tc>
        <w:tc>
          <w:tcPr>
            <w:tcW w:type="dxa" w:w="831"/>
          </w:tcPr>
          <w:p>
            <w:pPr>
              <w:pStyle w:val="null3"/>
              <w:jc w:val="right"/>
            </w:pPr>
            <w:r>
              <w:rPr/>
              <w:t>4,076,168.00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办公椅、衣柜、配药柜等一批医疗办公设备。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广州市南沙区人民医院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政府采购监督管理机构名称：广州市南沙区财政局财政监督管理处</w:t>
      </w:r>
    </w:p>
    <w:p>
      <w:pPr>
        <w:pStyle w:val="null3"/>
      </w:pPr>
      <w:r>
        <w:rPr/>
        <w:t>地 址：广州市南沙区凤凰大道1号D栋3楼</w:t>
      </w:r>
    </w:p>
    <w:p>
      <w:pPr>
        <w:pStyle w:val="null3"/>
      </w:pPr>
      <w:r>
        <w:rPr/>
        <w:t>电 话：020-39078089</w:t>
      </w:r>
    </w:p>
    <w:p>
      <w:pPr>
        <w:pStyle w:val="null3"/>
      </w:pPr>
      <w:r>
        <w:rPr/>
        <w:t>邮 编：511455</w:t>
      </w:r>
    </w:p>
    <w:p>
      <w:pPr>
        <w:pStyle w:val="null3"/>
      </w:pPr>
      <w:r>
        <w:rPr/>
        <w:t>传 真：020-84986648</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采购包1(医疗办公家具)：综合评分法,是指投标文件满足招标文件全部实质性要求，且按照评审因素的量化指标评审得分最高的投标人为中标候选人的评标方法。（最低报价不是中标的唯一依据。）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采购包1（医疗办公家具）：</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采购包1（医疗办公家具）：</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供应商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3.供应商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tc>
      </w:tr>
    </w:tbl>
    <w:p>
      <w:pPr>
        <w:pStyle w:val="null3"/>
        <w:ind w:firstLine="480"/>
      </w:pPr>
      <w:r>
        <w:rPr/>
        <w:t>表二符合性审查表：</w:t>
      </w:r>
    </w:p>
    <w:p>
      <w:pPr>
        <w:pStyle w:val="null3"/>
      </w:pPr>
      <w:r>
        <w:rPr/>
        <w:t>采购包1（医疗办公家具）：</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采购包1(医疗办公家具):</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商务部分6.0分</w:t>
            </w:r>
          </w:p>
          <w:p>
            <w:pPr>
              <w:pStyle w:val="null3"/>
            </w:pPr>
            <w:r>
              <w:rPr/>
              <w:t>技术部分59.0分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原材料检测情况 (20.0分)</w:t>
            </w:r>
          </w:p>
        </w:tc>
        <w:tc>
          <w:tcPr>
            <w:tcW w:type="dxa" w:w="5076"/>
          </w:tcPr>
          <w:p>
            <w:pPr>
              <w:pStyle w:val="null3"/>
              <w:jc w:val="left"/>
            </w:pPr>
            <w:r>
              <w:rPr/>
              <w:t>提供家具原材料检测报告扫描件，包括：(1)实木颗粒板、(2)缓冲铰链、(3)电解钢板、(4)缓冲导轨、(5)三合一偏心连接件、(6)锁具、(7)塑料封边条、(8)拉手、(9)挂衣杆、(10)实木多层板、(11)海绵、(12)清漆、(13)螺丝、(14)冷轧钢板、(15)封边热熔胶、(16)白乳胶、(17)玻璃、(18) 304不锈钢、(19)橡木、(20)水性漆。 每一项▲原材料检测结果完全满足或优于采购需求的得1分，其它情形不得分，此项最高得20分。 备注：检测报告须具有CMA或CNAS标识（为保证检测报告的真实性，须提供国家认证认可监督管理委员会官方网站查询结果截图和颁发机构官网截图）。</w:t>
            </w:r>
          </w:p>
        </w:tc>
      </w:tr>
      <w:tr>
        <w:tc>
          <w:tcPr>
            <w:tcW w:type="dxa" w:w="922"/>
            <w:gridSpan w:val="2"/>
            <w:vMerge/>
          </w:tcPr>
          <w:p/>
        </w:tc>
        <w:tc>
          <w:tcPr>
            <w:tcW w:type="dxa" w:w="2307"/>
          </w:tcPr>
          <w:p>
            <w:pPr>
              <w:pStyle w:val="null3"/>
              <w:jc w:val="left"/>
            </w:pPr>
            <w:r>
              <w:rPr/>
              <w:t>成品技术指标响应情况 (18.0分)</w:t>
            </w:r>
          </w:p>
        </w:tc>
        <w:tc>
          <w:tcPr>
            <w:tcW w:type="dxa" w:w="5076"/>
          </w:tcPr>
          <w:p>
            <w:pPr>
              <w:pStyle w:val="null3"/>
              <w:jc w:val="left"/>
            </w:pPr>
            <w:r>
              <w:rPr/>
              <w:t>对投标产品的成品技术指标参数响应情况进行评分： 投标人所投采购需求清单中每一项▲产品(▲共12项)（洗手槽、会议桌、病房物品柜、配药柜、储物柜、药品柜、鞋柜、更衣柜、隔帘（窗帘）、值班床、办公桌、办公椅）完全满足或优于技术参数要求，每满足一项▲得1.5分，总分18分。 备注：检测报告须具有CMA或CNAS标识（为保证检测报告的真实性，须提供国家认证认可监督管理委员会官方网站查询结果截图和颁发机构官网截图）。</w:t>
            </w:r>
          </w:p>
        </w:tc>
      </w:tr>
      <w:tr>
        <w:tc>
          <w:tcPr>
            <w:tcW w:type="dxa" w:w="922"/>
            <w:gridSpan w:val="2"/>
            <w:vMerge/>
          </w:tcPr>
          <w:p/>
        </w:tc>
        <w:tc>
          <w:tcPr>
            <w:tcW w:type="dxa" w:w="2307"/>
          </w:tcPr>
          <w:p>
            <w:pPr>
              <w:pStyle w:val="null3"/>
              <w:jc w:val="left"/>
            </w:pPr>
            <w:r>
              <w:rPr/>
              <w:t>样品 (12.0分)</w:t>
            </w:r>
          </w:p>
        </w:tc>
        <w:tc>
          <w:tcPr>
            <w:tcW w:type="dxa" w:w="5076"/>
          </w:tcPr>
          <w:p>
            <w:pPr>
              <w:pStyle w:val="null3"/>
              <w:jc w:val="left"/>
            </w:pPr>
            <w:r>
              <w:rPr/>
              <w:t>根据投标人提供的成品样品情况进行综合评审（没有提供样品或提供不全的不得分）； 投标人须提供需求清单中序号11：储物柜；序号180：配药柜；序号318：药品柜；共3项成品样品。 1.序号11：储物柜 （1）投标人投标样品材质、用料、规格尺寸符合技术参数，做工精细且结实，材料环保，质量、喷漆、性能等完全满足或优于采购要求的，得4分；（2）投标人投标样品在材质或用料或规格尺寸部分与技术参数要求存在欠缺，在做工或制造工艺水平或实用性以及材料环保上部分满足采购要求的，得2分；（3）投标人投标样品材质、用料、规格尺寸不符合技术参数，在制造工艺水平或实用性或材料环保上存在重大缺陷，不满足采购要求的，得0.5分。其他情况不得分。 2.序号180：配药柜 （1）投标人投标样品材质、用料、规格尺寸符合技术参数，做工精细且结实，材料环保，质量、喷漆、性能等完全满足或优于采购要求的，得4分；（2）投标人投标样品在材质或用料或规格尺寸部分与技术参数要求存在欠缺，在做工或制造工艺水平或实用性以及材料环保上部分满足采购要求的，得2分；（3）投标人投标样品材质、用料、规格尺寸不符合技术参数，在制造工艺水平或实用性或材料环保上存在重大缺陷，不满足采购要求的，得0.5分。其他情况不得分。 3.序号318：药品柜 （1）投标人投标样品材质、用料、规格尺寸符合技术参数，做工精细且结实，材料环保，质量、喷漆、性能等完全满足或优于采购要求的，得4分；（2）投标人投标样品在材质或用料或规格尺寸部分与技术参数要求存在欠缺，在做工或制造工艺水平或实用性以及材料环保上部分满足采购要求的，得2分；（3）投标人投标样品材质、用料、规格尺寸不符合技术参数，在制造工艺水平或实用性或材料环保上存在重大缺陷，不满足采购要求的，得0.5分。其他情况不得分。</w:t>
            </w:r>
          </w:p>
        </w:tc>
      </w:tr>
      <w:tr>
        <w:tc>
          <w:tcPr>
            <w:tcW w:type="dxa" w:w="922"/>
            <w:gridSpan w:val="2"/>
            <w:vMerge/>
          </w:tcPr>
          <w:p/>
        </w:tc>
        <w:tc>
          <w:tcPr>
            <w:tcW w:type="dxa" w:w="2307"/>
          </w:tcPr>
          <w:p>
            <w:pPr>
              <w:pStyle w:val="null3"/>
              <w:jc w:val="left"/>
            </w:pPr>
            <w:r>
              <w:rPr/>
              <w:t>投标产品环保认证 (3.0分)</w:t>
            </w:r>
          </w:p>
        </w:tc>
        <w:tc>
          <w:tcPr>
            <w:tcW w:type="dxa" w:w="5076"/>
          </w:tcPr>
          <w:p>
            <w:pPr>
              <w:pStyle w:val="null3"/>
              <w:jc w:val="left"/>
            </w:pPr>
            <w:r>
              <w:rPr/>
              <w:t>具有中国环保产品认证证书（证书范围包括家具类）的，得 3分，没有不得分。</w:t>
            </w:r>
          </w:p>
        </w:tc>
      </w:tr>
      <w:tr>
        <w:tc>
          <w:tcPr>
            <w:tcW w:type="dxa" w:w="922"/>
            <w:gridSpan w:val="2"/>
            <w:vMerge/>
          </w:tcPr>
          <w:p/>
        </w:tc>
        <w:tc>
          <w:tcPr>
            <w:tcW w:type="dxa" w:w="2307"/>
          </w:tcPr>
          <w:p>
            <w:pPr>
              <w:pStyle w:val="null3"/>
              <w:jc w:val="left"/>
            </w:pPr>
            <w:r>
              <w:rPr/>
              <w:t>对优先采购产品类别的评审优惠 (1.0分)</w:t>
            </w:r>
          </w:p>
        </w:tc>
        <w:tc>
          <w:tcPr>
            <w:tcW w:type="dxa" w:w="5076"/>
          </w:tcPr>
          <w:p>
            <w:pPr>
              <w:pStyle w:val="null3"/>
              <w:jc w:val="left"/>
            </w:pPr>
            <w:r>
              <w:rPr/>
              <w:t>每提供一份环境标志产品认证证书，得0.5分，最高得1分。</w:t>
            </w:r>
          </w:p>
        </w:tc>
      </w:tr>
      <w:tr>
        <w:tc>
          <w:tcPr>
            <w:tcW w:type="dxa" w:w="922"/>
            <w:gridSpan w:val="2"/>
            <w:vMerge/>
          </w:tcPr>
          <w:p/>
        </w:tc>
        <w:tc>
          <w:tcPr>
            <w:tcW w:type="dxa" w:w="2307"/>
          </w:tcPr>
          <w:p>
            <w:pPr>
              <w:pStyle w:val="null3"/>
              <w:jc w:val="left"/>
            </w:pPr>
            <w:r>
              <w:rPr/>
              <w:t>实施方案响应情况1 (2.0分)</w:t>
            </w:r>
          </w:p>
        </w:tc>
        <w:tc>
          <w:tcPr>
            <w:tcW w:type="dxa" w:w="5076"/>
          </w:tcPr>
          <w:p>
            <w:pPr>
              <w:pStyle w:val="null3"/>
              <w:jc w:val="left"/>
            </w:pPr>
            <w:r>
              <w:rPr/>
              <w:t>1.能提供项目实施方案的，得1分，不提供不得分。2.项目实施方案能同时包括：项目生产实施方案、品质管理管控方案、货物安装、培训计划、售后服务能力的，得1分，不提供不得分。</w:t>
            </w:r>
          </w:p>
        </w:tc>
      </w:tr>
      <w:tr>
        <w:tc>
          <w:tcPr>
            <w:tcW w:type="dxa" w:w="922"/>
            <w:gridSpan w:val="2"/>
            <w:vMerge/>
          </w:tcPr>
          <w:p/>
        </w:tc>
        <w:tc>
          <w:tcPr>
            <w:tcW w:type="dxa" w:w="2307"/>
          </w:tcPr>
          <w:p>
            <w:pPr>
              <w:pStyle w:val="null3"/>
              <w:jc w:val="left"/>
            </w:pPr>
            <w:r>
              <w:rPr/>
              <w:t>实施方案响应情况2 (3.0分)</w:t>
            </w:r>
          </w:p>
        </w:tc>
        <w:tc>
          <w:tcPr>
            <w:tcW w:type="dxa" w:w="5076"/>
          </w:tcPr>
          <w:p>
            <w:pPr>
              <w:pStyle w:val="null3"/>
              <w:jc w:val="left"/>
            </w:pPr>
            <w:r>
              <w:rPr/>
              <w:t>针对项目实施方案内容进行评审：其中项目生产实施方案、品质管理管控方案、货物安装、培训计划、售后服务能力能优于采购需求的，得3分；完全满足采购需求的，得2分；部分满足采购需求的，得1分，不能满足采购需求或其他情况的，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(3.0分)</w:t>
            </w:r>
          </w:p>
        </w:tc>
        <w:tc>
          <w:tcPr>
            <w:tcW w:type="dxa" w:w="5076"/>
          </w:tcPr>
          <w:p>
            <w:pPr>
              <w:pStyle w:val="null3"/>
              <w:jc w:val="left"/>
            </w:pPr>
            <w:r>
              <w:rPr/>
              <w:t>投标人通过以下认证： （1）质量管理体系认证证书（ISO9001）； （2）环境管理体系认证证书（ISO14001）； （3）职业健康安全管理体系认证证书（ISO45001）； 以上证书认证范围需包括：家具设计开发类（或生产类）或销售类、售后服务类（含安装服务类），每提供一个得1分，最高得3分，不提供不得分。（如因参选投标人成立时间不足三个月，导致未能取得相关认证且提供书面说明的，对应证书可得分）</w:t>
            </w:r>
          </w:p>
        </w:tc>
      </w:tr>
      <w:tr>
        <w:tc>
          <w:tcPr>
            <w:tcW w:type="dxa" w:w="922"/>
            <w:gridSpan w:val="2"/>
            <w:vMerge/>
          </w:tcPr>
          <w:p/>
        </w:tc>
        <w:tc>
          <w:tcPr>
            <w:tcW w:type="dxa" w:w="2307"/>
          </w:tcPr>
          <w:p>
            <w:pPr>
              <w:pStyle w:val="null3"/>
              <w:jc w:val="left"/>
            </w:pPr>
            <w:r>
              <w:rPr/>
              <w:t>同类项目业绩【以合同签订时间为准。分支机构投标的，总公司（总所）业绩可纳入评审】 (2.0分)</w:t>
            </w:r>
          </w:p>
        </w:tc>
        <w:tc>
          <w:tcPr>
            <w:tcW w:type="dxa" w:w="5076"/>
          </w:tcPr>
          <w:p>
            <w:pPr>
              <w:pStyle w:val="null3"/>
              <w:jc w:val="left"/>
            </w:pPr>
            <w:r>
              <w:rPr/>
              <w:t>提供2021年以来（以合同签订时间为准）家具业绩合同，每提供一个得0.5分，满分2分，不提供不得分。 注：须提供合同关键页（包括签订合同双方的单位名称、合同项目名称、合同内容、签订合同双方的落款盖章、签订日期）描扫件作为证明资料。</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政处罚或经营异常的投标人每一条记录扣0.1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both"/>
      </w:pPr>
      <w:r>
        <w:rPr>
          <w:sz w:val="48"/>
          <w:b/>
        </w:rPr>
        <w:t>合　同　书</w:t>
      </w:r>
    </w:p>
    <w:p>
      <w:pPr>
        <w:pStyle w:val="null3"/>
        <w:jc w:val="center"/>
      </w:pPr>
      <w:r>
        <w:br/>
      </w:r>
      <w:r>
        <w:br/>
      </w:r>
      <w:r>
        <w:br/>
      </w:r>
      <w:r>
        <w:br/>
      </w:r>
      <w:r>
        <w:br/>
      </w:r>
    </w:p>
    <w:p>
      <w:pPr>
        <w:pStyle w:val="null3"/>
        <w:jc w:val="center"/>
      </w:pPr>
      <w:r>
        <w:rPr>
          <w:sz w:val="28"/>
          <w:color w:val="222222"/>
          <w:shd w:fill="FFFFFF" w:val="clear"/>
        </w:rPr>
        <w:t>采购计划编号：</w:t>
      </w:r>
    </w:p>
    <w:p>
      <w:pPr>
        <w:pStyle w:val="null3"/>
        <w:spacing w:before="150" w:after="150"/>
        <w:jc w:val="both"/>
      </w:pPr>
      <w:r>
        <w:rPr>
          <w:sz w:val="28"/>
          <w:color w:val="222222"/>
          <w:shd w:fill="FFFFFF" w:val="clear"/>
        </w:rPr>
        <w:t>项目编号：</w:t>
      </w:r>
    </w:p>
    <w:p>
      <w:pPr>
        <w:pStyle w:val="null3"/>
        <w:spacing w:before="150" w:after="150"/>
        <w:jc w:val="both"/>
      </w:pPr>
      <w:r>
        <w:rPr>
          <w:sz w:val="28"/>
          <w:color w:val="222222"/>
          <w:shd w:fill="FFFFFF" w:val="clear"/>
        </w:rPr>
        <w:t>项目名称：</w:t>
      </w:r>
    </w:p>
    <w:p>
      <w:pPr>
        <w:pStyle w:val="null3"/>
        <w:jc w:val="center"/>
      </w:pPr>
      <w:r>
        <w:br/>
      </w:r>
    </w:p>
    <w:p>
      <w:pPr>
        <w:pStyle w:val="null3"/>
        <w:jc w:val="center"/>
      </w:pPr>
      <w:r>
        <w:br/>
      </w:r>
    </w:p>
    <w:p>
      <w:pPr>
        <w:pStyle w:val="null3"/>
        <w:jc w:val="center"/>
      </w:pPr>
      <w:r>
        <w:br/>
      </w:r>
    </w:p>
    <w:p>
      <w:pPr>
        <w:pStyle w:val="null3"/>
        <w:jc w:val="center"/>
      </w:pPr>
      <w:r>
        <w:br/>
      </w:r>
    </w:p>
    <w:p>
      <w:pPr>
        <w:pStyle w:val="null3"/>
        <w:jc w:val="both"/>
      </w:pPr>
      <w:r>
        <w:rPr>
          <w:sz w:val="27"/>
          <w:b/>
        </w:rPr>
        <w:t>甲　　方（采购人）：</w:t>
      </w:r>
    </w:p>
    <w:p>
      <w:pPr>
        <w:pStyle w:val="null3"/>
        <w:jc w:val="both"/>
      </w:pPr>
      <w:r>
        <w:rPr>
          <w:sz w:val="27"/>
        </w:rPr>
        <w:t>电　　话：</w:t>
      </w:r>
      <w:r>
        <w:rPr>
          <w:sz w:val="27"/>
        </w:rPr>
        <w:t>　　传　　真：</w:t>
      </w:r>
      <w:r>
        <w:rPr>
          <w:sz w:val="27"/>
        </w:rPr>
        <w:t>　　地　　址：</w:t>
      </w:r>
    </w:p>
    <w:p>
      <w:pPr>
        <w:pStyle w:val="null3"/>
        <w:jc w:val="both"/>
      </w:pPr>
      <w:r>
        <w:rPr>
          <w:sz w:val="27"/>
          <w:b/>
        </w:rPr>
        <w:t>乙　　方（中标人）：</w:t>
      </w:r>
    </w:p>
    <w:p>
      <w:pPr>
        <w:pStyle w:val="null3"/>
        <w:jc w:val="both"/>
      </w:pPr>
      <w:r>
        <w:rPr>
          <w:sz w:val="27"/>
        </w:rPr>
        <w:t>电　　话：</w:t>
      </w:r>
      <w:r>
        <w:rPr>
          <w:sz w:val="27"/>
        </w:rPr>
        <w:t>　　传　　真：</w:t>
      </w:r>
      <w:r>
        <w:rPr>
          <w:sz w:val="27"/>
        </w:rPr>
        <w:t>　　地　　址：</w:t>
      </w:r>
    </w:p>
    <w:p>
      <w:pPr>
        <w:pStyle w:val="null3"/>
        <w:jc w:val="both"/>
      </w:pPr>
      <w:r>
        <w:rPr>
          <w:sz w:val="27"/>
        </w:rPr>
        <w:t>根据</w:t>
      </w:r>
      <w:r>
        <w:rPr>
          <w:sz w:val="27"/>
          <w:u w:val="single"/>
        </w:rPr>
        <w:t xml:space="preserve">              </w:t>
      </w:r>
      <w:r>
        <w:rPr>
          <w:sz w:val="27"/>
          <w:u w:val="single"/>
        </w:rPr>
        <w:t>项目</w:t>
      </w:r>
      <w:r>
        <w:rPr>
          <w:sz w:val="27"/>
        </w:rPr>
        <w:t>的采购结果，按照《中华人民共和国政府采购法》、《中华人民共和国民法典</w:t>
      </w:r>
      <w:r>
        <w:rPr>
          <w:sz w:val="27"/>
        </w:rPr>
        <w:t>(合同编)》的规定，就甲方向乙方采购货物，经甲乙双方协商，本着平等互利和诚实信用的原则，一致同意签订本合同如下。</w:t>
      </w:r>
    </w:p>
    <w:p>
      <w:pPr>
        <w:pStyle w:val="null3"/>
        <w:ind w:firstLine="542"/>
        <w:jc w:val="both"/>
      </w:pPr>
      <w:r>
        <w:rPr>
          <w:sz w:val="27"/>
          <w:b/>
        </w:rPr>
        <w:t>一、货物内容</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696"/>
        <w:gridCol w:w="3540"/>
        <w:gridCol w:w="696"/>
        <w:gridCol w:w="469"/>
        <w:gridCol w:w="469"/>
        <w:gridCol w:w="847"/>
        <w:gridCol w:w="1589"/>
      </w:tblGrid>
      <w:tr>
        <w:tc>
          <w:tcPr>
            <w:tcW w:type="dxa" w:w="696"/>
            <w:tcBorders>
              <w:top w:val="single" w:color="CCCCCC" w:sz="4"/>
              <w:left w:val="single" w:color="CCCCCC" w:sz="4"/>
              <w:bottom w:val="single" w:color="CCCCCC" w:sz="4"/>
              <w:right w:val="single" w:color="CCCCCC" w:sz="4"/>
            </w:tcBorders>
            <w:tcMar>
              <w:top w:type="dxa" w:w="30"/>
              <w:left w:type="dxa" w:w="60"/>
              <w:bottom w:type="dxa" w:w="30"/>
              <w:right w:type="dxa" w:w="60"/>
            </w:tcMar>
            <w:vAlign w:val="top"/>
          </w:tcPr>
          <w:p>
            <w:pPr>
              <w:pStyle w:val="null3"/>
              <w:jc w:val="both"/>
            </w:pPr>
            <w:r>
              <w:rPr>
                <w:sz w:val="24"/>
              </w:rPr>
              <w:t>名称</w:t>
            </w:r>
          </w:p>
        </w:tc>
        <w:tc>
          <w:tcPr>
            <w:tcW w:type="dxa" w:w="3540"/>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rPr>
              <w:t>品牌、规格、标准</w:t>
            </w:r>
            <w:r>
              <w:rPr>
                <w:sz w:val="24"/>
              </w:rPr>
              <w:t>/主要服务内容</w:t>
            </w:r>
          </w:p>
        </w:tc>
        <w:tc>
          <w:tcPr>
            <w:tcW w:type="dxa" w:w="696"/>
            <w:tcBorders>
              <w:top w:val="single" w:color="CCCCCC" w:sz="4"/>
              <w:left w:val="single" w:color="000000" w:sz="4"/>
              <w:bottom w:val="single" w:color="CCCCCC" w:sz="4"/>
              <w:right w:val="single" w:color="CCCCCC" w:sz="4"/>
            </w:tcBorders>
            <w:tcMar>
              <w:top w:type="dxa" w:w="30"/>
              <w:left w:type="dxa" w:w="60"/>
              <w:bottom w:type="dxa" w:w="30"/>
              <w:right w:type="dxa" w:w="60"/>
            </w:tcMar>
            <w:vAlign w:val="top"/>
          </w:tcPr>
          <w:p>
            <w:pPr>
              <w:pStyle w:val="null3"/>
              <w:jc w:val="both"/>
            </w:pPr>
            <w:r>
              <w:rPr>
                <w:sz w:val="24"/>
              </w:rPr>
              <w:t>产地</w:t>
            </w:r>
          </w:p>
        </w:tc>
        <w:tc>
          <w:tcPr>
            <w:tcW w:type="dxa" w:w="469"/>
            <w:tcBorders>
              <w:top w:val="single" w:color="CCCCCC" w:sz="4"/>
              <w:left w:val="single" w:color="000000" w:sz="4"/>
              <w:bottom w:val="single" w:color="CCCCCC" w:sz="4"/>
              <w:right w:val="single" w:color="CCCCCC" w:sz="4"/>
            </w:tcBorders>
            <w:tcMar>
              <w:top w:type="dxa" w:w="30"/>
              <w:left w:type="dxa" w:w="60"/>
              <w:bottom w:type="dxa" w:w="30"/>
              <w:right w:type="dxa" w:w="60"/>
            </w:tcMar>
            <w:vAlign w:val="top"/>
          </w:tcPr>
          <w:p>
            <w:pPr>
              <w:pStyle w:val="null3"/>
              <w:spacing w:before="150" w:after="150"/>
              <w:jc w:val="center"/>
            </w:pPr>
            <w:r>
              <w:rPr>
                <w:sz w:val="24"/>
              </w:rPr>
              <w:t>数量</w:t>
            </w:r>
          </w:p>
        </w:tc>
        <w:tc>
          <w:tcPr>
            <w:tcW w:type="dxa" w:w="469"/>
            <w:tcBorders>
              <w:top w:val="single" w:color="CCCCCC" w:sz="4"/>
              <w:left w:val="single" w:color="000000" w:sz="4"/>
              <w:bottom w:val="single" w:color="CCCCCC" w:sz="4"/>
              <w:right w:val="single" w:color="CCCCCC" w:sz="4"/>
            </w:tcBorders>
            <w:tcMar>
              <w:top w:type="dxa" w:w="30"/>
              <w:left w:type="dxa" w:w="60"/>
              <w:bottom w:type="dxa" w:w="30"/>
              <w:right w:type="dxa" w:w="60"/>
            </w:tcMar>
            <w:vAlign w:val="top"/>
          </w:tcPr>
          <w:p>
            <w:pPr>
              <w:pStyle w:val="null3"/>
              <w:jc w:val="center"/>
            </w:pPr>
            <w:r>
              <w:rPr>
                <w:sz w:val="24"/>
              </w:rPr>
              <w:t>单位</w:t>
            </w:r>
          </w:p>
        </w:tc>
        <w:tc>
          <w:tcPr>
            <w:tcW w:type="dxa" w:w="847"/>
            <w:tcBorders>
              <w:top w:val="single" w:color="CCCCCC" w:sz="4"/>
              <w:left w:val="single" w:color="000000" w:sz="4"/>
              <w:bottom w:val="single" w:color="CCCCCC" w:sz="4"/>
              <w:right w:val="single" w:color="CCCCCC" w:sz="4"/>
            </w:tcBorders>
            <w:tcMar>
              <w:top w:type="dxa" w:w="30"/>
              <w:left w:type="dxa" w:w="60"/>
              <w:bottom w:type="dxa" w:w="30"/>
              <w:right w:type="dxa" w:w="60"/>
            </w:tcMar>
            <w:vAlign w:val="top"/>
          </w:tcPr>
          <w:p>
            <w:pPr>
              <w:pStyle w:val="null3"/>
              <w:jc w:val="center"/>
            </w:pPr>
            <w:r>
              <w:rPr>
                <w:sz w:val="24"/>
              </w:rPr>
              <w:t>单价</w:t>
            </w:r>
          </w:p>
          <w:p>
            <w:pPr>
              <w:pStyle w:val="null3"/>
              <w:jc w:val="center"/>
            </w:pPr>
            <w:r>
              <w:rPr>
                <w:sz w:val="24"/>
              </w:rPr>
              <w:t>（元）</w:t>
            </w:r>
          </w:p>
        </w:tc>
        <w:tc>
          <w:tcPr>
            <w:tcW w:type="dxa" w:w="1589"/>
            <w:tcBorders>
              <w:top w:val="single" w:color="CCCCCC" w:sz="4"/>
              <w:left w:val="single" w:color="000000" w:sz="4"/>
              <w:bottom w:val="single" w:color="CCCCCC" w:sz="4"/>
              <w:right w:val="single" w:color="CCCCCC" w:sz="4"/>
            </w:tcBorders>
            <w:tcMar>
              <w:top w:type="dxa" w:w="30"/>
              <w:left w:type="dxa" w:w="60"/>
              <w:bottom w:type="dxa" w:w="30"/>
              <w:right w:type="dxa" w:w="60"/>
            </w:tcMar>
            <w:vAlign w:val="top"/>
          </w:tcPr>
          <w:p>
            <w:pPr>
              <w:pStyle w:val="null3"/>
              <w:jc w:val="center"/>
            </w:pPr>
            <w:r>
              <w:rPr>
                <w:sz w:val="24"/>
              </w:rPr>
              <w:t>金额</w:t>
            </w:r>
          </w:p>
          <w:p>
            <w:pPr>
              <w:pStyle w:val="null3"/>
              <w:jc w:val="center"/>
            </w:pPr>
            <w:r>
              <w:rPr>
                <w:sz w:val="24"/>
              </w:rPr>
              <w:t>（元）</w:t>
            </w:r>
          </w:p>
        </w:tc>
      </w:tr>
      <w:tr>
        <w:tc>
          <w:tcPr>
            <w:tcW w:type="dxa" w:w="696"/>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24"/>
              </w:rPr>
              <w:t>**</w:t>
            </w:r>
          </w:p>
        </w:tc>
        <w:tc>
          <w:tcPr>
            <w:tcW w:type="dxa" w:w="354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p>
        </w:tc>
        <w:tc>
          <w:tcPr>
            <w:tcW w:type="dxa" w:w="696"/>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pPr>
              <w:pStyle w:val="null3"/>
              <w:jc w:val="center"/>
            </w:pPr>
            <w:r>
              <w:rPr>
                <w:sz w:val="24"/>
              </w:rPr>
              <w:t>**</w:t>
            </w:r>
          </w:p>
        </w:tc>
        <w:tc>
          <w:tcPr>
            <w:tcW w:type="dxa" w:w="469"/>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pPr>
              <w:pStyle w:val="null3"/>
              <w:jc w:val="center"/>
            </w:pPr>
            <w:r>
              <w:rPr>
                <w:sz w:val="24"/>
              </w:rPr>
              <w:t>**</w:t>
            </w:r>
          </w:p>
        </w:tc>
        <w:tc>
          <w:tcPr>
            <w:tcW w:type="dxa" w:w="469"/>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pPr>
              <w:pStyle w:val="null3"/>
              <w:jc w:val="center"/>
            </w:pPr>
            <w:r>
              <w:rPr>
                <w:sz w:val="24"/>
              </w:rPr>
              <w:t>**</w:t>
            </w:r>
          </w:p>
        </w:tc>
        <w:tc>
          <w:tcPr>
            <w:tcW w:type="dxa" w:w="847"/>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pPr>
              <w:pStyle w:val="null3"/>
              <w:jc w:val="center"/>
            </w:pPr>
            <w:r>
              <w:rPr>
                <w:sz w:val="24"/>
              </w:rPr>
              <w:t>**</w:t>
            </w:r>
          </w:p>
        </w:tc>
        <w:tc>
          <w:tcPr>
            <w:tcW w:type="dxa" w:w="1589"/>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pPr>
              <w:pStyle w:val="null3"/>
              <w:jc w:val="center"/>
            </w:pPr>
            <w:r>
              <w:rPr>
                <w:sz w:val="24"/>
              </w:rPr>
              <w:t>**</w:t>
            </w:r>
          </w:p>
        </w:tc>
      </w:tr>
      <w:tr>
        <w:tc>
          <w:tcPr>
            <w:tcW w:type="dxa" w:w="696"/>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p>
        </w:tc>
        <w:tc>
          <w:tcPr>
            <w:tcW w:type="dxa" w:w="354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tc>
        <w:tc>
          <w:tcPr>
            <w:tcW w:type="dxa" w:w="696"/>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tc>
        <w:tc>
          <w:tcPr>
            <w:tcW w:type="dxa" w:w="469"/>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tc>
        <w:tc>
          <w:tcPr>
            <w:tcW w:type="dxa" w:w="469"/>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tc>
        <w:tc>
          <w:tcPr>
            <w:tcW w:type="dxa" w:w="847"/>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tc>
        <w:tc>
          <w:tcPr>
            <w:tcW w:type="dxa" w:w="1589"/>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tc>
      </w:tr>
      <w:tr>
        <w:tc>
          <w:tcPr>
            <w:tcW w:type="dxa" w:w="696"/>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tc>
        <w:tc>
          <w:tcPr>
            <w:tcW w:type="dxa" w:w="354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tc>
        <w:tc>
          <w:tcPr>
            <w:tcW w:type="dxa" w:w="696"/>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tc>
        <w:tc>
          <w:tcPr>
            <w:tcW w:type="dxa" w:w="469"/>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tc>
        <w:tc>
          <w:tcPr>
            <w:tcW w:type="dxa" w:w="469"/>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tc>
        <w:tc>
          <w:tcPr>
            <w:tcW w:type="dxa" w:w="847"/>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tc>
        <w:tc>
          <w:tcPr>
            <w:tcW w:type="dxa" w:w="1589"/>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tc>
      </w:tr>
      <w:tr>
        <w:tc>
          <w:tcPr>
            <w:tcW w:type="dxa" w:w="696"/>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tc>
        <w:tc>
          <w:tcPr>
            <w:tcW w:type="dxa" w:w="354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tc>
        <w:tc>
          <w:tcPr>
            <w:tcW w:type="dxa" w:w="696"/>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tc>
        <w:tc>
          <w:tcPr>
            <w:tcW w:type="dxa" w:w="469"/>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tc>
        <w:tc>
          <w:tcPr>
            <w:tcW w:type="dxa" w:w="469"/>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tc>
        <w:tc>
          <w:tcPr>
            <w:tcW w:type="dxa" w:w="847"/>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tc>
        <w:tc>
          <w:tcPr>
            <w:tcW w:type="dxa" w:w="1589"/>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tc>
      </w:tr>
      <w:tr>
        <w:tc>
          <w:tcPr>
            <w:tcW w:type="dxa" w:w="696"/>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tc>
        <w:tc>
          <w:tcPr>
            <w:tcW w:type="dxa" w:w="354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tc>
        <w:tc>
          <w:tcPr>
            <w:tcW w:type="dxa" w:w="696"/>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tc>
        <w:tc>
          <w:tcPr>
            <w:tcW w:type="dxa" w:w="469"/>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tc>
        <w:tc>
          <w:tcPr>
            <w:tcW w:type="dxa" w:w="469"/>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tc>
        <w:tc>
          <w:tcPr>
            <w:tcW w:type="dxa" w:w="847"/>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tc>
        <w:tc>
          <w:tcPr>
            <w:tcW w:type="dxa" w:w="1589"/>
            <w:tcBorders>
              <w:top w:val="single" w:color="000000" w:sz="4"/>
              <w:left w:val="single" w:color="000000" w:sz="4"/>
              <w:bottom w:val="single" w:color="CCCCCC" w:sz="4"/>
              <w:right w:val="single" w:color="CCCCCC" w:sz="4"/>
            </w:tcBorders>
            <w:tcMar>
              <w:top w:type="dxa" w:w="45"/>
              <w:left w:type="dxa" w:w="60"/>
              <w:bottom w:type="dxa" w:w="30"/>
              <w:right w:type="dxa" w:w="60"/>
            </w:tcMar>
            <w:vAlign w:val="top"/>
          </w:tcPr>
          <w:p/>
        </w:tc>
      </w:tr>
      <w:tr>
        <w:tc>
          <w:tcPr>
            <w:tcW w:type="dxa" w:w="6717"/>
            <w:gridSpan w:val="6"/>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24"/>
              </w:rPr>
              <w:t>合计：人民币大写：</w:t>
            </w:r>
            <w:r>
              <w:rPr>
                <w:sz w:val="24"/>
              </w:rPr>
              <w:t>**元整</w:t>
            </w:r>
          </w:p>
        </w:tc>
        <w:tc>
          <w:tcPr>
            <w:tcW w:type="dxa" w:w="1589"/>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rPr>
              <w:t>￥：</w:t>
            </w:r>
            <w:r>
              <w:rPr>
                <w:sz w:val="24"/>
              </w:rPr>
              <w:t>**</w:t>
            </w:r>
          </w:p>
        </w:tc>
      </w:tr>
      <w:tr>
        <w:tc>
          <w:tcPr>
            <w:tcW w:type="dxa" w:w="69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35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9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4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4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8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jc w:val="both"/>
      </w:pPr>
      <w:r>
        <w:rPr>
          <w:sz w:val="27"/>
        </w:rPr>
        <w:t>合同总额包括乙方设计、安装、随机零配件、标配工具、运输保险、调试、培训、质保期服务、各项税费及合同实施过程中不可预见费用等。</w:t>
      </w:r>
    </w:p>
    <w:p>
      <w:pPr>
        <w:pStyle w:val="null3"/>
        <w:ind w:firstLine="400"/>
        <w:jc w:val="both"/>
      </w:pPr>
      <w:r>
        <w:rPr>
          <w:sz w:val="27"/>
        </w:rPr>
        <w:t>注：货物名称内容必须与投标文件中货物名称内容一致。</w:t>
      </w:r>
    </w:p>
    <w:p>
      <w:pPr>
        <w:pStyle w:val="null3"/>
        <w:ind w:firstLine="407"/>
        <w:jc w:val="both"/>
      </w:pPr>
      <w:r>
        <w:rPr>
          <w:sz w:val="27"/>
          <w:b/>
        </w:rPr>
        <w:t>二、合同金额</w:t>
      </w:r>
    </w:p>
    <w:p>
      <w:pPr>
        <w:pStyle w:val="null3"/>
        <w:jc w:val="both"/>
      </w:pPr>
      <w:r>
        <w:rPr>
          <w:sz w:val="27"/>
        </w:rPr>
        <w:t>合同金额为（大写）：</w:t>
      </w:r>
      <w:r>
        <w:rPr>
          <w:sz w:val="27"/>
        </w:rPr>
        <w:t>_________________元（￥_______________元）人民币。</w:t>
      </w:r>
    </w:p>
    <w:p>
      <w:pPr>
        <w:pStyle w:val="null3"/>
        <w:ind w:firstLine="542"/>
        <w:jc w:val="both"/>
      </w:pPr>
      <w:r>
        <w:rPr>
          <w:sz w:val="27"/>
          <w:b/>
        </w:rPr>
        <w:t>三、货物要求</w:t>
      </w:r>
    </w:p>
    <w:p>
      <w:pPr>
        <w:pStyle w:val="null3"/>
        <w:ind w:firstLine="540"/>
        <w:jc w:val="both"/>
      </w:pPr>
      <w:r>
        <w:rPr>
          <w:sz w:val="27"/>
        </w:rPr>
        <w:t>货物为原制造商制造的全新产品，整机无污染，无侵权行为、表面无划损、无任何缺陷隐患，在中国境内可依常规安全合法使用。</w:t>
      </w:r>
    </w:p>
    <w:p>
      <w:pPr>
        <w:pStyle w:val="null3"/>
        <w:ind w:firstLine="542"/>
        <w:jc w:val="both"/>
      </w:pPr>
      <w:r>
        <w:rPr>
          <w:sz w:val="27"/>
          <w:b/>
        </w:rPr>
        <w:t>四、交货期、交货方式及交货地点</w:t>
      </w:r>
    </w:p>
    <w:p>
      <w:pPr>
        <w:pStyle w:val="null3"/>
        <w:jc w:val="both"/>
      </w:pPr>
      <w:r>
        <w:rPr>
          <w:sz w:val="27"/>
        </w:rPr>
        <w:t>1.交货期：本合同生效之日起日内。</w:t>
      </w:r>
    </w:p>
    <w:p>
      <w:pPr>
        <w:pStyle w:val="null3"/>
        <w:jc w:val="both"/>
      </w:pPr>
      <w:r>
        <w:rPr>
          <w:sz w:val="27"/>
        </w:rPr>
        <w:t>2.交货方式：由乙方运到甲方指定的地点。</w:t>
      </w:r>
    </w:p>
    <w:p>
      <w:pPr>
        <w:pStyle w:val="null3"/>
        <w:jc w:val="both"/>
      </w:pPr>
      <w:r>
        <w:rPr>
          <w:sz w:val="27"/>
        </w:rPr>
        <w:t xml:space="preserve">3.交货地点：                     </w:t>
      </w:r>
    </w:p>
    <w:p>
      <w:pPr>
        <w:pStyle w:val="null3"/>
        <w:ind w:firstLine="542"/>
        <w:jc w:val="both"/>
      </w:pPr>
      <w:r>
        <w:rPr>
          <w:sz w:val="27"/>
          <w:b/>
        </w:rPr>
        <w:t>五、付款方式</w:t>
      </w:r>
    </w:p>
    <w:p>
      <w:pPr>
        <w:pStyle w:val="null3"/>
        <w:jc w:val="both"/>
      </w:pPr>
      <w:r>
        <w:rPr>
          <w:sz w:val="27"/>
        </w:rPr>
        <w:t>由甲方按下列程序在内付款：</w:t>
      </w:r>
    </w:p>
    <w:p>
      <w:pPr>
        <w:pStyle w:val="null3"/>
        <w:jc w:val="both"/>
      </w:pPr>
      <w:r>
        <w:rPr>
          <w:sz w:val="27"/>
        </w:rPr>
        <w:t>1.本合同生效及全部货物到达采购人指定地点后，采购人向中标人支付合同总价的60%进度款。</w:t>
      </w:r>
      <w:r>
        <w:rPr>
          <w:sz w:val="27"/>
        </w:rPr>
        <w:t>（凭中标通知书、中标人提供的送货清单）</w:t>
      </w:r>
    </w:p>
    <w:p>
      <w:pPr>
        <w:pStyle w:val="null3"/>
        <w:jc w:val="both"/>
      </w:pPr>
      <w:r>
        <w:rPr>
          <w:sz w:val="27"/>
        </w:rPr>
        <w:t>2.货物安装调试结束，乙方向甲方提交全部报告等材料，调试完成并经甲方验收合格后，支付至合同金额的100%，保修期满后15天无息退还乙方的合同履约保证金。</w:t>
      </w:r>
    </w:p>
    <w:p>
      <w:pPr>
        <w:pStyle w:val="null3"/>
        <w:jc w:val="both"/>
      </w:pPr>
      <w:r>
        <w:rPr>
          <w:sz w:val="27"/>
        </w:rPr>
        <w:t>3.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ind w:firstLine="542"/>
        <w:jc w:val="both"/>
      </w:pPr>
      <w:r>
        <w:rPr>
          <w:sz w:val="27"/>
          <w:b/>
        </w:rPr>
        <w:t>六、质保期及售后服务要求</w:t>
      </w:r>
    </w:p>
    <w:p>
      <w:pPr>
        <w:pStyle w:val="null3"/>
        <w:jc w:val="both"/>
      </w:pPr>
      <w:r>
        <w:rPr>
          <w:sz w:val="27"/>
        </w:rPr>
        <w:t>1.本合同的质量保证期（简称“质保期”）为年，质保期内乙方对所供货物实行包修、包换、包退及合同约定的其它事项，期满后可同时提供终身</w:t>
      </w:r>
      <w:r>
        <w:rPr>
          <w:sz w:val="27"/>
          <w:u w:val="single"/>
        </w:rPr>
        <w:t>(免费/有偿)</w:t>
      </w:r>
      <w:r>
        <w:rPr>
          <w:sz w:val="27"/>
        </w:rPr>
        <w:t>维修保养服务。质保期自货物经调试完成及甲方验收合格之日起算。</w:t>
      </w:r>
    </w:p>
    <w:p>
      <w:pPr>
        <w:pStyle w:val="null3"/>
        <w:jc w:val="both"/>
      </w:pPr>
      <w:r>
        <w:rPr>
          <w:sz w:val="27"/>
        </w:rPr>
        <w:t>2.质保期内，如设备或零部件因质量原因出现故障而造成短期停用时，则质保期和免费维修期相应顺延。如停用时间累计超过60天则质保期重新计算。</w:t>
      </w:r>
    </w:p>
    <w:p>
      <w:pPr>
        <w:pStyle w:val="null3"/>
        <w:jc w:val="both"/>
      </w:pPr>
      <w:r>
        <w:rPr>
          <w:sz w:val="27"/>
        </w:rPr>
        <w:t>3.对甲方的服务通知，乙方在接报后1小时内响应，4小时内到达现场，48小时内处理完毕。若在48小时内仍未能有效解决，乙方须免费提供同级别的设备予甲方临时使用。否则造成甲方的损失全部由乙方承担。</w:t>
      </w:r>
    </w:p>
    <w:p>
      <w:pPr>
        <w:pStyle w:val="null3"/>
        <w:ind w:firstLine="542"/>
        <w:jc w:val="both"/>
      </w:pPr>
      <w:r>
        <w:rPr>
          <w:sz w:val="27"/>
          <w:b/>
        </w:rPr>
        <w:t>七、安装与调试</w:t>
      </w:r>
    </w:p>
    <w:p>
      <w:pPr>
        <w:pStyle w:val="null3"/>
        <w:jc w:val="both"/>
      </w:pPr>
      <w:r>
        <w:rPr>
          <w:sz w:val="27"/>
        </w:rPr>
        <w:t>1.乙方必须依照招标文件的要求和报价文件的承诺，将设备、系统安装并调试至正常运行的最佳状态。</w:t>
      </w:r>
    </w:p>
    <w:p>
      <w:pPr>
        <w:pStyle w:val="null3"/>
        <w:jc w:val="both"/>
      </w:pPr>
      <w:r>
        <w:rPr>
          <w:sz w:val="27"/>
        </w:rPr>
        <w:t>2、乙方工作人员在工作过程中应严格按照国家、行为标准规范作业，工作过程中发生的一切安全责任事故由乙方自行承担，造成甲方或第三人员的人身、财产损害的法律责任全部由乙方承担。</w:t>
      </w:r>
    </w:p>
    <w:p>
      <w:pPr>
        <w:pStyle w:val="null3"/>
        <w:ind w:firstLine="542"/>
        <w:jc w:val="both"/>
      </w:pPr>
      <w:r>
        <w:rPr>
          <w:sz w:val="27"/>
          <w:b/>
        </w:rPr>
        <w:t>八、验收：</w:t>
      </w:r>
    </w:p>
    <w:p>
      <w:pPr>
        <w:pStyle w:val="null3"/>
        <w:jc w:val="both"/>
      </w:pPr>
      <w:r>
        <w:rPr>
          <w:sz w:val="27"/>
        </w:rPr>
        <w:t>1.交付验收标准依次序对照适用标准为：①提供符合中华人民共和国国家安全质量标准、环保标准或行业标准等检测报告；②符合招标文件和响应承诺中甲方认可的合理最佳配置、参数及各项要求；③货物来源国官方标准。</w:t>
      </w:r>
    </w:p>
    <w:p>
      <w:pPr>
        <w:pStyle w:val="null3"/>
        <w:jc w:val="both"/>
      </w:pPr>
      <w:r>
        <w:rPr>
          <w:sz w:val="27"/>
        </w:rPr>
        <w:t>2.进口产品必须具备原产地证明和商检局的检验证明及合法进货渠道证明。</w:t>
      </w:r>
    </w:p>
    <w:p>
      <w:pPr>
        <w:pStyle w:val="null3"/>
        <w:jc w:val="both"/>
      </w:pPr>
      <w:r>
        <w:rPr>
          <w:sz w:val="27"/>
        </w:rPr>
        <w:t>3.货物为原厂商未启封全新包装，具出厂合格证，序列号、包装箱号与出厂批号一致，并可追索查阅。所有随设备的附件必须齐全。</w:t>
      </w:r>
    </w:p>
    <w:p>
      <w:pPr>
        <w:pStyle w:val="null3"/>
        <w:jc w:val="both"/>
      </w:pPr>
      <w:r>
        <w:rPr>
          <w:sz w:val="27"/>
        </w:rPr>
        <w:t>4.乙方应将关键主机设备的用户手册、保修手册、有关单证资料及配备件、随机工具等交付给甲方，使用操作及安全须知等重要资料应附有中文说明。</w:t>
      </w:r>
    </w:p>
    <w:p>
      <w:pPr>
        <w:pStyle w:val="null3"/>
        <w:jc w:val="both"/>
      </w:pPr>
      <w:r>
        <w:rPr>
          <w:sz w:val="27"/>
        </w:rPr>
        <w:t>5.甲方组成验收小组按国家有关规定、规范进行验收，必要时邀请相关的专业人员或机构参与验收。因货物质量问题发生争议时，由甲方所在地质量技术监督部门鉴定。货物符合质量技术标准的，鉴定费由甲方承担；否则鉴定费由乙方承担。</w:t>
      </w:r>
    </w:p>
    <w:p>
      <w:pPr>
        <w:pStyle w:val="null3"/>
        <w:ind w:firstLine="542"/>
        <w:jc w:val="both"/>
      </w:pPr>
      <w:r>
        <w:rPr>
          <w:sz w:val="27"/>
          <w:b/>
        </w:rPr>
        <w:t>九、违约责任与赔偿损失</w:t>
      </w:r>
    </w:p>
    <w:p>
      <w:pPr>
        <w:pStyle w:val="null3"/>
        <w:jc w:val="both"/>
      </w:pPr>
      <w:r>
        <w:rPr>
          <w:sz w:val="27"/>
        </w:rPr>
        <w:t>1.乙方交付的货物、工程/提供的服务不符合本合同规定的，甲方有权解除本合同，并且乙方须向甲方支付本合同总价30%的违约金。</w:t>
      </w:r>
    </w:p>
    <w:p>
      <w:pPr>
        <w:pStyle w:val="null3"/>
        <w:jc w:val="both"/>
      </w:pPr>
      <w:r>
        <w:rPr>
          <w:sz w:val="27"/>
        </w:rPr>
        <w:t>2.乙方未能按本合同规定的交货时间交付货物的/提供服务，从逾期之日起每日按本合同总价3‰的数额向甲方支付违约金；逾期半个月以上的，甲方有权解除合同，乙方需向甲方支付本合同总价款30%的违约金，由此造成的甲方经济损失由乙方承担。</w:t>
      </w:r>
    </w:p>
    <w:p>
      <w:pPr>
        <w:pStyle w:val="null3"/>
        <w:jc w:val="both"/>
      </w:pPr>
      <w:r>
        <w:rPr>
          <w:sz w:val="27"/>
        </w:rPr>
        <w:t>3.甲方无正当理由拒收货物/接受服务，到期拒付货物/服务款项的，甲方向乙方偿付本合同总的5%的违约金。甲方人逾期付款，则每日按本合同总价的3‰向乙方偿付违约金。</w:t>
      </w:r>
    </w:p>
    <w:p>
      <w:pPr>
        <w:pStyle w:val="null3"/>
        <w:jc w:val="both"/>
      </w:pPr>
      <w:r>
        <w:rPr>
          <w:sz w:val="27"/>
        </w:rPr>
        <w:t>4.对于因甲方或者因政策原因导致变更、中止或者终止政府采购合同的，甲方应当依照以下合同约定对供应商受到的损失予以赔偿或者补偿：无需赔偿或者补偿。</w:t>
      </w:r>
    </w:p>
    <w:p>
      <w:pPr>
        <w:pStyle w:val="null3"/>
        <w:jc w:val="both"/>
      </w:pPr>
      <w:r>
        <w:rPr>
          <w:sz w:val="27"/>
        </w:rPr>
        <w:t>5.如一方违约，违约方应承担守约方因维护自身权益而支付的诉讼费、律师费等全部费用。</w:t>
      </w:r>
    </w:p>
    <w:p>
      <w:pPr>
        <w:pStyle w:val="null3"/>
        <w:jc w:val="both"/>
      </w:pPr>
      <w:r>
        <w:rPr>
          <w:sz w:val="27"/>
        </w:rPr>
        <w:t>6.其它违约责任按《中华人民共和国民法典(合同编)》处理。</w:t>
      </w:r>
    </w:p>
    <w:p>
      <w:pPr>
        <w:pStyle w:val="null3"/>
        <w:ind w:firstLine="407"/>
        <w:jc w:val="both"/>
      </w:pPr>
      <w:r>
        <w:rPr>
          <w:sz w:val="27"/>
          <w:b/>
        </w:rPr>
        <w:t>十、争议的解决</w:t>
      </w:r>
      <w:r>
        <w:rPr>
          <w:sz w:val="27"/>
        </w:rPr>
        <w:t xml:space="preserve">   </w:t>
      </w:r>
      <w:r>
        <w:rPr>
          <w:sz w:val="27"/>
        </w:rPr>
        <w:t>合同执行过程中发生的任何争议，如双方不能通过友好协商解决，</w:t>
      </w:r>
      <w:r>
        <w:rPr>
          <w:sz w:val="27"/>
        </w:rPr>
        <w:t>则向甲方所在地的人民法院提起诉讼。</w:t>
      </w:r>
    </w:p>
    <w:p>
      <w:pPr>
        <w:pStyle w:val="null3"/>
        <w:ind w:firstLine="542"/>
        <w:jc w:val="both"/>
      </w:pPr>
      <w:r>
        <w:rPr>
          <w:sz w:val="27"/>
          <w:b/>
        </w:rPr>
        <w:t>十一、不可抗力</w:t>
      </w:r>
    </w:p>
    <w:p>
      <w:pPr>
        <w:pStyle w:val="null3"/>
        <w:jc w:val="both"/>
      </w:pPr>
      <w:r>
        <w:rPr>
          <w:sz w:val="27"/>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542"/>
        <w:jc w:val="both"/>
      </w:pPr>
      <w:r>
        <w:rPr>
          <w:sz w:val="27"/>
          <w:b/>
        </w:rPr>
        <w:t>十二、税费</w:t>
      </w:r>
    </w:p>
    <w:p>
      <w:pPr>
        <w:pStyle w:val="null3"/>
        <w:jc w:val="both"/>
      </w:pPr>
      <w:r>
        <w:rPr>
          <w:sz w:val="27"/>
        </w:rPr>
        <w:t>1.在中国境内、外发生的与本合同执行有关的一切税费均由乙方负担。</w:t>
      </w:r>
    </w:p>
    <w:p>
      <w:pPr>
        <w:pStyle w:val="null3"/>
        <w:ind w:firstLine="542"/>
        <w:jc w:val="both"/>
      </w:pPr>
      <w:r>
        <w:rPr>
          <w:sz w:val="27"/>
          <w:b/>
        </w:rPr>
        <w:t>十三、其它</w:t>
      </w:r>
    </w:p>
    <w:p>
      <w:pPr>
        <w:pStyle w:val="null3"/>
        <w:jc w:val="both"/>
      </w:pPr>
      <w:r>
        <w:rPr>
          <w:sz w:val="27"/>
        </w:rPr>
        <w:t>1.本合同所有附件、招标文件、投标文件、中标通知书均为合同的有效组成部分，与本合同具有同等法律效力。</w:t>
      </w:r>
    </w:p>
    <w:p>
      <w:pPr>
        <w:pStyle w:val="null3"/>
        <w:jc w:val="both"/>
      </w:pPr>
      <w:r>
        <w:rPr>
          <w:sz w:val="27"/>
        </w:rPr>
        <w:t>2.在执行本合同的过程中，所有经双方签署确认的文件（包括会议纪要、补充协议、往来信函）即成为本合同的有效组成部分。</w:t>
      </w:r>
    </w:p>
    <w:p>
      <w:pPr>
        <w:pStyle w:val="null3"/>
        <w:jc w:val="both"/>
      </w:pPr>
      <w:r>
        <w:rPr>
          <w:sz w:val="27"/>
        </w:rPr>
        <w:t>3.如一方地址、电话、传真号码有变更，应在变更当日内书面通知对方，否则，应承担相应责任。</w:t>
      </w:r>
    </w:p>
    <w:p>
      <w:pPr>
        <w:pStyle w:val="null3"/>
        <w:jc w:val="both"/>
      </w:pPr>
      <w:r>
        <w:rPr>
          <w:sz w:val="27"/>
        </w:rPr>
        <w:t>4.除甲方事先书面同意外，乙方不得部分或全部转让其应履行的合同项下的义务。</w:t>
      </w:r>
    </w:p>
    <w:p>
      <w:pPr>
        <w:pStyle w:val="null3"/>
        <w:jc w:val="both"/>
      </w:pPr>
      <w:r>
        <w:rPr>
          <w:sz w:val="27"/>
          <w:color w:val="222222"/>
        </w:rPr>
        <w:t>5.</w:t>
      </w:r>
      <w:r>
        <w:rPr>
          <w:sz w:val="27"/>
          <w:color w:val="222222"/>
        </w:rPr>
        <w:t>乙方须完全遵守《中华人民共和国劳动合同法》有关规定和《中华人民共和国妇女权益保障法》中关于“劳动和社会保障权益”的有关要求。</w:t>
      </w:r>
    </w:p>
    <w:p>
      <w:pPr>
        <w:pStyle w:val="null3"/>
        <w:ind w:firstLine="542"/>
        <w:jc w:val="both"/>
      </w:pPr>
      <w:r>
        <w:rPr>
          <w:sz w:val="27"/>
          <w:b/>
        </w:rPr>
        <w:t>十四、合同生效</w:t>
      </w:r>
    </w:p>
    <w:p>
      <w:pPr>
        <w:pStyle w:val="null3"/>
        <w:jc w:val="both"/>
      </w:pPr>
      <w:r>
        <w:rPr>
          <w:sz w:val="27"/>
        </w:rPr>
        <w:t>1.本合同在甲乙双方法人代表或其授权代表签字</w:t>
      </w:r>
      <w:r>
        <w:rPr>
          <w:sz w:val="24"/>
        </w:rPr>
        <w:t>及甲乙双方</w:t>
      </w:r>
      <w:r>
        <w:rPr>
          <w:sz w:val="27"/>
        </w:rPr>
        <w:t>盖章后生效。</w:t>
      </w:r>
    </w:p>
    <w:p>
      <w:pPr>
        <w:pStyle w:val="null3"/>
        <w:jc w:val="both"/>
      </w:pPr>
      <w:r>
        <w:rPr>
          <w:sz w:val="27"/>
        </w:rPr>
        <w:t>2.合同一式份。</w:t>
      </w:r>
    </w:p>
    <w:p>
      <w:pPr>
        <w:pStyle w:val="null3"/>
        <w:jc w:val="both"/>
      </w:pPr>
      <w:r>
        <w:rPr>
          <w:sz w:val="27"/>
        </w:rPr>
        <w:t>3.</w:t>
      </w:r>
      <w:r>
        <w:rPr/>
        <w:t xml:space="preserve"> </w:t>
      </w:r>
      <w:r>
        <w:rPr>
          <w:sz w:val="27"/>
        </w:rPr>
        <w:t>本合同为中小企业预留合同。</w:t>
      </w:r>
    </w:p>
    <w:p>
      <w:pPr>
        <w:pStyle w:val="null3"/>
        <w:jc w:val="both"/>
      </w:pPr>
      <w:r>
        <w:rPr>
          <w:sz w:val="27"/>
          <w:b/>
        </w:rPr>
        <w:t>甲方（盖章）：</w:t>
      </w:r>
      <w:r>
        <w:rPr>
          <w:sz w:val="27"/>
          <w:b/>
        </w:rPr>
        <w:t xml:space="preserve">                    </w:t>
      </w:r>
      <w:r>
        <w:rPr>
          <w:sz w:val="27"/>
          <w:b/>
        </w:rPr>
        <w:t>乙方（盖章）：</w:t>
      </w:r>
    </w:p>
    <w:p>
      <w:pPr>
        <w:pStyle w:val="null3"/>
        <w:jc w:val="both"/>
      </w:pPr>
      <w:r>
        <w:rPr>
          <w:sz w:val="27"/>
          <w:b/>
        </w:rPr>
        <w:t>代表：</w:t>
      </w:r>
      <w:r>
        <w:rPr>
          <w:sz w:val="27"/>
          <w:b/>
        </w:rPr>
        <w:t xml:space="preserve">                            </w:t>
      </w:r>
      <w:r>
        <w:rPr>
          <w:sz w:val="27"/>
          <w:b/>
        </w:rPr>
        <w:t>代表：</w:t>
      </w:r>
    </w:p>
    <w:p>
      <w:pPr>
        <w:pStyle w:val="null3"/>
        <w:jc w:val="both"/>
      </w:pPr>
      <w:r>
        <w:rPr>
          <w:sz w:val="27"/>
        </w:rPr>
        <w:t>联系人：</w:t>
      </w:r>
      <w:r>
        <w:rPr>
          <w:sz w:val="27"/>
        </w:rPr>
        <w:t xml:space="preserve">                          </w:t>
      </w:r>
      <w:r>
        <w:rPr>
          <w:sz w:val="27"/>
        </w:rPr>
        <w:t>联系人：</w:t>
      </w:r>
    </w:p>
    <w:p>
      <w:pPr>
        <w:pStyle w:val="null3"/>
        <w:jc w:val="both"/>
      </w:pPr>
      <w:r>
        <w:rPr>
          <w:sz w:val="27"/>
        </w:rPr>
        <w:t>联系电话：</w:t>
      </w:r>
      <w:r>
        <w:rPr>
          <w:sz w:val="27"/>
        </w:rPr>
        <w:t xml:space="preserve">                      </w:t>
      </w:r>
      <w:r>
        <w:rPr>
          <w:sz w:val="27"/>
        </w:rPr>
        <w:t>联系电话：</w:t>
      </w:r>
    </w:p>
    <w:p>
      <w:pPr>
        <w:pStyle w:val="null3"/>
        <w:jc w:val="both"/>
      </w:pPr>
      <w:r>
        <w:rPr>
          <w:sz w:val="27"/>
        </w:rPr>
        <w:t>签订日期：　　年　　月　　日</w:t>
      </w:r>
      <w:r>
        <w:rPr>
          <w:sz w:val="27"/>
        </w:rPr>
        <w:t xml:space="preserve">    </w:t>
      </w:r>
      <w:r>
        <w:rPr>
          <w:sz w:val="27"/>
        </w:rPr>
        <w:t>签订日期：　　年　　月　　日</w:t>
      </w:r>
    </w:p>
    <w:p>
      <w:pPr>
        <w:pStyle w:val="null3"/>
        <w:ind w:firstLine="4320"/>
        <w:jc w:val="both"/>
      </w:pPr>
      <w:r>
        <w:rPr>
          <w:sz w:val="27"/>
        </w:rPr>
        <w:t>开户名称：</w:t>
      </w:r>
    </w:p>
    <w:p>
      <w:pPr>
        <w:pStyle w:val="null3"/>
        <w:ind w:firstLine="4320"/>
        <w:jc w:val="both"/>
      </w:pPr>
      <w:r>
        <w:rPr>
          <w:sz w:val="27"/>
        </w:rPr>
        <w:t>银行帐号：</w:t>
      </w:r>
    </w:p>
    <w:p>
      <w:pPr>
        <w:pStyle w:val="null3"/>
        <w:ind w:firstLine="4320"/>
        <w:jc w:val="both"/>
      </w:pPr>
      <w:r>
        <w:rPr>
          <w:sz w:val="27"/>
        </w:rPr>
        <w:t>开</w:t>
      </w:r>
      <w:r>
        <w:rPr>
          <w:sz w:val="27"/>
        </w:rPr>
        <w:t>户</w:t>
      </w:r>
      <w:r>
        <w:rPr>
          <w:sz w:val="27"/>
        </w:rPr>
        <w:t>行：</w:t>
      </w:r>
    </w:p>
    <w:p>
      <w:pPr>
        <w:pStyle w:val="null3"/>
        <w:spacing w:before="0" w:after="0" w:lineRule="auto" w:line="360"/>
        <w:ind w:left="0" w:right="0"/>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440115-2024-03245</w:t>
      </w:r>
    </w:p>
    <w:p>
      <w:pPr>
        <w:pStyle w:val="null3"/>
        <w:jc w:val="center"/>
        <w:outlineLvl w:val="3"/>
      </w:pPr>
      <w:r>
        <w:rPr>
          <w:sz w:val="24"/>
          <w:b/>
        </w:rPr>
        <w:t>采购项目编号：</w:t>
      </w:r>
      <w:r>
        <w:rPr>
          <w:sz w:val="24"/>
          <w:b/>
        </w:rPr>
        <w:t>CZ2024-0937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新建综合楼投入使用开办经费-医疗办公家具采购项目</w:t>
      </w:r>
      <w:r>
        <w:rPr>
          <w:u w:val="single"/>
        </w:rPr>
        <w:t>”</w:t>
      </w:r>
      <w:r>
        <w:rPr/>
        <w:t>项目的招标[采购项目编号为：</w:t>
      </w:r>
      <w:r>
        <w:rPr>
          <w:u w:val="single"/>
        </w:rPr>
        <w:t>CZ2024-0937</w:t>
      </w:r>
      <w:r>
        <w:rPr/>
        <w:t>]，我方愿参与投标。</w:t>
      </w:r>
    </w:p>
    <w:p>
      <w:pPr>
        <w:pStyle w:val="null3"/>
        <w:ind w:firstLine="480"/>
      </w:pPr>
      <w:r>
        <w:rPr/>
        <w:t>我方确认收到贵方提供的</w:t>
      </w:r>
      <w:r>
        <w:rPr>
          <w:u w:val="single"/>
        </w:rPr>
        <w:t>“</w:t>
      </w:r>
      <w:r>
        <w:rPr>
          <w:u w:val="single"/>
        </w:rPr>
        <w:t>新建综合楼投入使用开办经费-医疗办公家具采购项目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新建综合楼投入使用开办经费-医疗办公家具采购项目</w:t>
      </w:r>
      <w:r>
        <w:rPr/>
        <w:t>”项目采购[采购项目编号为</w:t>
      </w:r>
      <w:r>
        <w:rPr/>
        <w:t>CZ2024-0937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广州市南沙区人民医院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pPr>
      <w:r>
        <w:rPr/>
        <w:t xml:space="preserve">  </w:t>
      </w:r>
    </w:p>
    <w:p>
      <w:pPr>
        <w:pStyle w:val="null3"/>
        <w:ind w:firstLine="480"/>
      </w:pPr>
      <w:r>
        <w:rPr/>
        <w:t>中小企业声明函（所响应产品制造商为中小企业时提交本函，所属行业应符合询价通知书中明确的本项目所属行业）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1.（标的名称），属于（询价通知书中明确的所属行业）行业；制造商为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2.（标的名称），属于（询价通知书中明确的所属行业）行业；制造商为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新建综合楼投入使用开办经费-医疗办公家具采购项目</w:t>
      </w:r>
      <w:r>
        <w:rPr/>
        <w:t>招标中获中标（采购项目编号：</w:t>
      </w:r>
      <w:r>
        <w:rPr/>
        <w:t>CZ2024-0937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