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C03C1">
      <w:pPr>
        <w:pStyle w:val="2"/>
        <w:jc w:val="center"/>
        <w:rPr>
          <w:rFonts w:hint="eastAsia" w:hAnsi="宋体" w:eastAsia="宋体" w:cs="宋体"/>
          <w:b/>
          <w:bCs/>
          <w:color w:val="auto"/>
          <w:spacing w:val="26"/>
          <w:sz w:val="52"/>
          <w:szCs w:val="110"/>
          <w:highlight w:val="none"/>
          <w14:shadow w14:blurRad="50800" w14:dist="38100" w14:dir="2700000" w14:sx="100000" w14:sy="100000" w14:kx="0" w14:ky="0" w14:algn="tl">
            <w14:srgbClr w14:val="000000">
              <w14:alpha w14:val="60000"/>
            </w14:srgbClr>
          </w14:shadow>
        </w:rPr>
      </w:pPr>
    </w:p>
    <w:p w14:paraId="3EEC01BA">
      <w:pPr>
        <w:pStyle w:val="2"/>
        <w:jc w:val="center"/>
        <w:rPr>
          <w:rFonts w:hint="eastAsia" w:hAnsi="宋体" w:eastAsia="宋体" w:cs="宋体"/>
          <w:b/>
          <w:bCs/>
          <w:color w:val="auto"/>
          <w:spacing w:val="26"/>
          <w:sz w:val="52"/>
          <w:szCs w:val="110"/>
          <w:highlight w:val="none"/>
          <w14:shadow w14:blurRad="50800" w14:dist="38100" w14:dir="2700000" w14:sx="100000" w14:sy="100000" w14:kx="0" w14:ky="0" w14:algn="tl">
            <w14:srgbClr w14:val="000000">
              <w14:alpha w14:val="60000"/>
            </w14:srgbClr>
          </w14:shadow>
        </w:rPr>
      </w:pPr>
    </w:p>
    <w:p w14:paraId="083DAD6C">
      <w:pPr>
        <w:pStyle w:val="2"/>
        <w:jc w:val="center"/>
        <w:rPr>
          <w:rFonts w:hint="eastAsia"/>
          <w:color w:val="auto"/>
          <w:highlight w:val="none"/>
        </w:rPr>
      </w:pPr>
      <w:r>
        <w:rPr>
          <w:rFonts w:hint="eastAsia" w:hAnsi="宋体" w:eastAsia="宋体" w:cs="宋体"/>
          <w:b/>
          <w:bCs/>
          <w:color w:val="auto"/>
          <w:spacing w:val="26"/>
          <w:sz w:val="52"/>
          <w:szCs w:val="110"/>
          <w:highlight w:val="none"/>
          <w:lang w:eastAsia="zh-CN"/>
          <w14:shadow w14:blurRad="50800" w14:dist="38100" w14:dir="2700000" w14:sx="100000" w14:sy="100000" w14:kx="0" w14:ky="0" w14:algn="tl">
            <w14:srgbClr w14:val="000000">
              <w14:alpha w14:val="60000"/>
            </w14:srgbClr>
          </w14:shadow>
        </w:rPr>
        <w:t>广州科教城（科德大道延长线）建设工程</w:t>
      </w:r>
      <w:r>
        <w:rPr>
          <w:rFonts w:hint="eastAsia" w:hAnsi="宋体" w:eastAsia="宋体" w:cs="宋体"/>
          <w:b/>
          <w:bCs/>
          <w:color w:val="auto"/>
          <w:spacing w:val="26"/>
          <w:sz w:val="52"/>
          <w:szCs w:val="110"/>
          <w:highlight w:val="none"/>
          <w14:shadow w14:blurRad="50800" w14:dist="38100" w14:dir="2700000" w14:sx="100000" w14:sy="100000" w14:kx="0" w14:ky="0" w14:algn="tl">
            <w14:srgbClr w14:val="000000">
              <w14:alpha w14:val="60000"/>
            </w14:srgbClr>
          </w14:shadow>
        </w:rPr>
        <w:t>第三方检验检测服务</w:t>
      </w:r>
    </w:p>
    <w:p w14:paraId="4E579EF4">
      <w:pPr>
        <w:pStyle w:val="37"/>
        <w:ind w:left="440" w:firstLine="440"/>
        <w:rPr>
          <w:rFonts w:hint="eastAsia"/>
          <w:color w:val="auto"/>
          <w:highlight w:val="none"/>
        </w:rPr>
      </w:pPr>
    </w:p>
    <w:p w14:paraId="47149B4D">
      <w:pPr>
        <w:pStyle w:val="37"/>
        <w:ind w:left="440" w:firstLine="440"/>
        <w:rPr>
          <w:rFonts w:hint="eastAsia"/>
          <w:color w:val="auto"/>
          <w:highlight w:val="none"/>
        </w:rPr>
      </w:pPr>
    </w:p>
    <w:p w14:paraId="7B628835">
      <w:pPr>
        <w:pStyle w:val="37"/>
        <w:ind w:left="440" w:firstLine="440"/>
        <w:rPr>
          <w:rFonts w:hint="eastAsia"/>
          <w:color w:val="auto"/>
          <w:highlight w:val="none"/>
        </w:rPr>
      </w:pPr>
    </w:p>
    <w:p w14:paraId="4FA7B523">
      <w:pPr>
        <w:pStyle w:val="37"/>
        <w:ind w:left="440" w:firstLine="440"/>
        <w:rPr>
          <w:rFonts w:hint="eastAsia"/>
          <w:color w:val="auto"/>
          <w:highlight w:val="none"/>
        </w:rPr>
      </w:pPr>
    </w:p>
    <w:p w14:paraId="1B2A5F66">
      <w:pPr>
        <w:pStyle w:val="37"/>
        <w:ind w:left="440" w:firstLine="440"/>
        <w:rPr>
          <w:rFonts w:hint="eastAsia"/>
          <w:color w:val="auto"/>
          <w:highlight w:val="none"/>
        </w:rPr>
      </w:pPr>
    </w:p>
    <w:p w14:paraId="5AE05C31">
      <w:pPr>
        <w:pStyle w:val="37"/>
        <w:ind w:left="440" w:firstLine="440"/>
        <w:rPr>
          <w:rFonts w:hint="eastAsia"/>
          <w:color w:val="auto"/>
          <w:highlight w:val="none"/>
        </w:rPr>
      </w:pPr>
    </w:p>
    <w:p w14:paraId="5B853DF8">
      <w:pPr>
        <w:pStyle w:val="37"/>
        <w:ind w:left="440" w:firstLine="440"/>
        <w:rPr>
          <w:rFonts w:hint="eastAsia"/>
          <w:color w:val="auto"/>
          <w:highlight w:val="none"/>
        </w:rPr>
      </w:pPr>
    </w:p>
    <w:p w14:paraId="59E52B9F">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14:paraId="38012BA7">
      <w:pPr>
        <w:spacing w:line="360" w:lineRule="auto"/>
        <w:ind w:firstLine="900" w:firstLineChars="300"/>
        <w:rPr>
          <w:rFonts w:hint="eastAsia" w:ascii="宋体" w:hAnsi="宋体" w:eastAsia="宋体" w:cs="宋体"/>
          <w:color w:val="auto"/>
          <w:sz w:val="30"/>
          <w:szCs w:val="30"/>
          <w:highlight w:val="none"/>
        </w:rPr>
      </w:pPr>
    </w:p>
    <w:p w14:paraId="5C76ECD2">
      <w:pPr>
        <w:spacing w:line="360" w:lineRule="auto"/>
        <w:ind w:firstLine="900" w:firstLineChars="300"/>
        <w:rPr>
          <w:rFonts w:hint="eastAsia" w:ascii="宋体" w:hAnsi="宋体" w:eastAsia="宋体" w:cs="宋体"/>
          <w:color w:val="auto"/>
          <w:sz w:val="30"/>
          <w:szCs w:val="30"/>
          <w:highlight w:val="none"/>
        </w:rPr>
      </w:pPr>
    </w:p>
    <w:p w14:paraId="677E5B94">
      <w:pPr>
        <w:spacing w:line="360" w:lineRule="auto"/>
        <w:ind w:firstLine="900" w:firstLineChars="300"/>
        <w:rPr>
          <w:rFonts w:hint="eastAsia" w:ascii="宋体" w:hAnsi="宋体" w:eastAsia="宋体" w:cs="宋体"/>
          <w:color w:val="auto"/>
          <w:sz w:val="30"/>
          <w:szCs w:val="30"/>
          <w:highlight w:val="none"/>
        </w:rPr>
      </w:pPr>
    </w:p>
    <w:p w14:paraId="6663CF70">
      <w:pPr>
        <w:spacing w:line="360" w:lineRule="auto"/>
        <w:ind w:firstLine="640" w:firstLineChars="200"/>
        <w:rPr>
          <w:rFonts w:hint="eastAsia" w:ascii="宋体" w:hAnsi="宋体" w:eastAsia="宋体" w:cs="Times New Roman"/>
          <w:b/>
          <w:color w:val="auto"/>
          <w:sz w:val="32"/>
          <w:szCs w:val="32"/>
          <w:highlight w:val="none"/>
        </w:rPr>
      </w:pPr>
      <w:r>
        <w:rPr>
          <w:rFonts w:hint="eastAsia" w:ascii="宋体" w:hAnsi="宋体"/>
          <w:b/>
          <w:color w:val="auto"/>
          <w:sz w:val="32"/>
          <w:szCs w:val="32"/>
          <w:highlight w:val="none"/>
        </w:rPr>
        <w:t xml:space="preserve">招 标  单 </w:t>
      </w:r>
      <w:r>
        <w:rPr>
          <w:rFonts w:hint="eastAsia" w:ascii="宋体" w:hAnsi="宋体" w:eastAsia="宋体" w:cs="Times New Roman"/>
          <w:b/>
          <w:color w:val="auto"/>
          <w:sz w:val="32"/>
          <w:szCs w:val="32"/>
          <w:highlight w:val="none"/>
        </w:rPr>
        <w:t>位：广州市增城区人民政府朱村街道办事处</w:t>
      </w:r>
    </w:p>
    <w:p w14:paraId="4497F77F">
      <w:pPr>
        <w:spacing w:line="360" w:lineRule="auto"/>
        <w:ind w:firstLine="643" w:firstLineChars="2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lang w:eastAsia="zh-CN"/>
        </w:rPr>
        <w:t>广东省城规建设监理有限公司</w:t>
      </w:r>
    </w:p>
    <w:p w14:paraId="1770730D">
      <w:pPr>
        <w:spacing w:line="360" w:lineRule="auto"/>
        <w:ind w:firstLine="704" w:firstLineChars="220"/>
        <w:rPr>
          <w:rFonts w:ascii="宋体" w:hAnsi="宋体"/>
          <w:b/>
          <w:color w:val="auto"/>
          <w:sz w:val="32"/>
          <w:szCs w:val="32"/>
          <w:highlight w:val="none"/>
        </w:rPr>
      </w:pPr>
      <w:r>
        <w:rPr>
          <w:rFonts w:hint="eastAsia" w:ascii="宋体" w:hAnsi="宋体"/>
          <w:b/>
          <w:color w:val="auto"/>
          <w:sz w:val="32"/>
          <w:szCs w:val="32"/>
          <w:highlight w:val="none"/>
        </w:rPr>
        <w:t xml:space="preserve">日        期： </w:t>
      </w:r>
      <w:r>
        <w:rPr>
          <w:rFonts w:hint="eastAsia" w:ascii="宋体" w:hAnsi="宋体" w:eastAsia="宋体"/>
          <w:b/>
          <w:color w:val="auto"/>
          <w:sz w:val="32"/>
          <w:szCs w:val="32"/>
          <w:highlight w:val="none"/>
          <w:lang w:eastAsia="zh-CN"/>
        </w:rPr>
        <w:t>2024</w:t>
      </w:r>
      <w:r>
        <w:rPr>
          <w:rFonts w:hint="eastAsia" w:ascii="宋体" w:hAnsi="宋体"/>
          <w:b/>
          <w:color w:val="auto"/>
          <w:sz w:val="32"/>
          <w:szCs w:val="32"/>
          <w:highlight w:val="none"/>
        </w:rPr>
        <w:t xml:space="preserve">年 </w:t>
      </w:r>
      <w:r>
        <w:rPr>
          <w:rFonts w:hint="eastAsia" w:ascii="宋体" w:hAnsi="宋体" w:eastAsia="宋体"/>
          <w:b/>
          <w:color w:val="auto"/>
          <w:sz w:val="32"/>
          <w:szCs w:val="32"/>
          <w:highlight w:val="none"/>
          <w:lang w:val="en-US" w:eastAsia="zh-CN"/>
        </w:rPr>
        <w:t>8</w:t>
      </w:r>
      <w:r>
        <w:rPr>
          <w:rFonts w:hint="eastAsia" w:ascii="宋体" w:hAnsi="宋体"/>
          <w:b/>
          <w:color w:val="auto"/>
          <w:sz w:val="32"/>
          <w:szCs w:val="32"/>
          <w:highlight w:val="none"/>
        </w:rPr>
        <w:t>月</w:t>
      </w:r>
    </w:p>
    <w:p w14:paraId="48DD739F">
      <w:pPr>
        <w:spacing w:after="0" w:line="240" w:lineRule="auto"/>
        <w:jc w:val="center"/>
        <w:rPr>
          <w:rFonts w:hint="eastAsia" w:ascii="宋体" w:hAnsi="宋体" w:eastAsia="宋体" w:cs="宋体"/>
          <w:b/>
          <w:color w:val="auto"/>
          <w:sz w:val="36"/>
          <w:szCs w:val="32"/>
          <w:highlight w:val="none"/>
        </w:rPr>
      </w:pPr>
    </w:p>
    <w:p w14:paraId="7F65A247">
      <w:pPr>
        <w:spacing w:after="0" w:line="240" w:lineRule="auto"/>
        <w:jc w:val="center"/>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目 录</w:t>
      </w:r>
    </w:p>
    <w:p w14:paraId="61B112A2">
      <w:pPr>
        <w:pStyle w:val="36"/>
        <w:ind w:firstLine="220"/>
        <w:rPr>
          <w:rFonts w:hint="eastAsia"/>
          <w:color w:val="auto"/>
          <w:highlight w:val="none"/>
        </w:rPr>
      </w:pPr>
    </w:p>
    <w:p w14:paraId="22AB971C">
      <w:pPr>
        <w:pStyle w:val="163"/>
        <w:tabs>
          <w:tab w:val="right" w:leader="dot" w:pos="9351"/>
        </w:tabs>
        <w:spacing w:line="60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TOC \o "1-2" \h \u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\l _Toc21864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第一章  招标公告</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PAGEREF _Toc21864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3</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fldChar w:fldCharType="end"/>
      </w:r>
    </w:p>
    <w:p w14:paraId="29B960A8">
      <w:pPr>
        <w:pStyle w:val="163"/>
        <w:tabs>
          <w:tab w:val="right" w:leader="dot" w:pos="9351"/>
        </w:tabs>
        <w:spacing w:line="60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\l _Toc25234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第二章投标人须知</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PAGEREF _Toc25234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4</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fldChar w:fldCharType="end"/>
      </w:r>
    </w:p>
    <w:p w14:paraId="77EBDEE5">
      <w:pPr>
        <w:pStyle w:val="163"/>
        <w:tabs>
          <w:tab w:val="right" w:leader="dot" w:pos="9351"/>
        </w:tabs>
        <w:spacing w:line="60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\l _Toc8544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第三章评标办法（综合评估法）</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34</w:t>
      </w:r>
    </w:p>
    <w:p w14:paraId="04DC1370">
      <w:pPr>
        <w:pStyle w:val="163"/>
        <w:tabs>
          <w:tab w:val="right" w:leader="dot" w:pos="9351"/>
        </w:tabs>
        <w:spacing w:line="60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\l _Toc20397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第四章合同条款及格式</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PAGEREF _Toc20397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43</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fldChar w:fldCharType="end"/>
      </w:r>
    </w:p>
    <w:p w14:paraId="311AE904">
      <w:pPr>
        <w:pStyle w:val="163"/>
        <w:tabs>
          <w:tab w:val="right" w:leader="dot" w:pos="9351"/>
        </w:tabs>
        <w:spacing w:line="60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\l _Toc11572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第五章发包人要求</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PAGEREF _Toc11572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47</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fldChar w:fldCharType="end"/>
      </w:r>
    </w:p>
    <w:p w14:paraId="09C67242">
      <w:pPr>
        <w:pStyle w:val="163"/>
        <w:tabs>
          <w:tab w:val="right" w:leader="dot" w:pos="9351"/>
        </w:tabs>
        <w:spacing w:line="60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HYPERLINK \l _Toc20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第六章投标文件格式</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 PAGEREF _Toc20 </w:instrText>
      </w:r>
      <w:r>
        <w:rPr>
          <w:rFonts w:hint="eastAsia" w:ascii="宋体" w:hAnsi="宋体" w:cs="宋体"/>
          <w:b/>
          <w:bCs/>
          <w:color w:val="auto"/>
          <w:sz w:val="21"/>
          <w:szCs w:val="21"/>
          <w:highlight w:val="none"/>
        </w:rPr>
        <w:fldChar w:fldCharType="separate"/>
      </w:r>
      <w:r>
        <w:rPr>
          <w:rFonts w:hint="eastAsia" w:ascii="宋体" w:hAnsi="宋体" w:cs="宋体"/>
          <w:b/>
          <w:bCs/>
          <w:color w:val="auto"/>
          <w:sz w:val="21"/>
          <w:szCs w:val="21"/>
          <w:highlight w:val="none"/>
        </w:rPr>
        <w:t>49</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fldChar w:fldCharType="end"/>
      </w:r>
    </w:p>
    <w:p w14:paraId="07CB8FAE">
      <w:pPr>
        <w:pStyle w:val="163"/>
        <w:tabs>
          <w:tab w:val="right" w:leader="dot" w:pos="9351"/>
        </w:tabs>
        <w:spacing w:line="600" w:lineRule="auto"/>
        <w:rPr>
          <w:rFonts w:hint="eastAsia" w:ascii="宋体" w:hAnsi="宋体" w:cs="宋体"/>
          <w:color w:val="auto"/>
          <w:sz w:val="24"/>
          <w:szCs w:val="24"/>
          <w:highlight w:val="none"/>
        </w:rPr>
      </w:pPr>
      <w:r>
        <w:rPr>
          <w:rFonts w:hint="eastAsia" w:ascii="宋体" w:hAnsi="宋体" w:cs="宋体"/>
          <w:b/>
          <w:bCs/>
          <w:color w:val="auto"/>
          <w:sz w:val="21"/>
          <w:szCs w:val="21"/>
          <w:highlight w:val="none"/>
        </w:rPr>
        <w:fldChar w:fldCharType="end"/>
      </w:r>
    </w:p>
    <w:p w14:paraId="1A9B9B44">
      <w:pPr>
        <w:spacing w:line="600" w:lineRule="auto"/>
        <w:jc w:val="center"/>
        <w:rPr>
          <w:rFonts w:hint="eastAsia" w:ascii="宋体" w:hAnsi="宋体" w:eastAsia="宋体" w:cs="宋体"/>
          <w:color w:val="auto"/>
          <w:sz w:val="24"/>
          <w:szCs w:val="24"/>
          <w:highlight w:val="none"/>
        </w:rPr>
      </w:pPr>
    </w:p>
    <w:p w14:paraId="77E75890">
      <w:pPr>
        <w:jc w:val="center"/>
        <w:rPr>
          <w:rFonts w:hint="eastAsia" w:ascii="宋体" w:hAnsi="宋体" w:eastAsia="宋体" w:cs="宋体"/>
          <w:color w:val="auto"/>
          <w:highlight w:val="none"/>
        </w:rPr>
      </w:pPr>
    </w:p>
    <w:p w14:paraId="250AEA85">
      <w:pPr>
        <w:jc w:val="center"/>
        <w:rPr>
          <w:rFonts w:hint="eastAsia" w:ascii="宋体" w:hAnsi="宋体" w:eastAsia="宋体" w:cs="宋体"/>
          <w:color w:val="auto"/>
          <w:highlight w:val="none"/>
        </w:rPr>
      </w:pPr>
    </w:p>
    <w:p w14:paraId="762FAB1F">
      <w:pPr>
        <w:jc w:val="center"/>
        <w:rPr>
          <w:rFonts w:hint="eastAsia" w:ascii="宋体" w:hAnsi="宋体" w:eastAsia="宋体" w:cs="宋体"/>
          <w:color w:val="auto"/>
          <w:highlight w:val="none"/>
        </w:rPr>
      </w:pPr>
    </w:p>
    <w:p w14:paraId="5EDBC19D">
      <w:pPr>
        <w:jc w:val="center"/>
        <w:rPr>
          <w:rFonts w:hint="eastAsia" w:ascii="宋体" w:hAnsi="宋体" w:eastAsia="宋体" w:cs="宋体"/>
          <w:color w:val="auto"/>
          <w:highlight w:val="none"/>
        </w:rPr>
      </w:pPr>
    </w:p>
    <w:p w14:paraId="7AFEAAEA">
      <w:pPr>
        <w:jc w:val="center"/>
        <w:rPr>
          <w:rFonts w:hint="eastAsia" w:ascii="宋体" w:hAnsi="宋体" w:eastAsia="宋体" w:cs="宋体"/>
          <w:color w:val="auto"/>
          <w:highlight w:val="none"/>
        </w:rPr>
      </w:pPr>
    </w:p>
    <w:p w14:paraId="25B5AB77">
      <w:pPr>
        <w:jc w:val="center"/>
        <w:rPr>
          <w:rFonts w:hint="eastAsia" w:ascii="宋体" w:hAnsi="宋体" w:eastAsia="宋体" w:cs="宋体"/>
          <w:color w:val="auto"/>
          <w:highlight w:val="none"/>
        </w:rPr>
      </w:pPr>
    </w:p>
    <w:p w14:paraId="24F16A36">
      <w:pPr>
        <w:jc w:val="center"/>
        <w:rPr>
          <w:rFonts w:hint="eastAsia" w:ascii="宋体" w:hAnsi="宋体" w:eastAsia="宋体" w:cs="宋体"/>
          <w:color w:val="auto"/>
          <w:highlight w:val="none"/>
        </w:rPr>
      </w:pPr>
    </w:p>
    <w:p w14:paraId="5018BDD3">
      <w:pPr>
        <w:pStyle w:val="36"/>
        <w:ind w:firstLine="220"/>
        <w:rPr>
          <w:rFonts w:hint="eastAsia" w:ascii="宋体" w:hAnsi="宋体" w:eastAsia="宋体" w:cs="宋体"/>
          <w:color w:val="auto"/>
          <w:highlight w:val="none"/>
        </w:rPr>
      </w:pPr>
    </w:p>
    <w:p w14:paraId="171CF1C5">
      <w:pPr>
        <w:pStyle w:val="36"/>
        <w:ind w:firstLine="220"/>
        <w:rPr>
          <w:rFonts w:hint="eastAsia" w:ascii="宋体" w:hAnsi="宋体" w:eastAsia="宋体" w:cs="宋体"/>
          <w:color w:val="auto"/>
          <w:highlight w:val="none"/>
        </w:rPr>
      </w:pPr>
    </w:p>
    <w:p w14:paraId="64DFFC58">
      <w:pPr>
        <w:pStyle w:val="36"/>
        <w:ind w:firstLine="220"/>
        <w:rPr>
          <w:rFonts w:hint="eastAsia" w:ascii="宋体" w:hAnsi="宋体" w:eastAsia="宋体" w:cs="宋体"/>
          <w:color w:val="auto"/>
          <w:highlight w:val="none"/>
        </w:rPr>
      </w:pPr>
    </w:p>
    <w:p w14:paraId="5BF66C21">
      <w:pPr>
        <w:jc w:val="center"/>
        <w:rPr>
          <w:rFonts w:hint="eastAsia" w:ascii="宋体" w:hAnsi="宋体" w:eastAsia="宋体" w:cs="宋体"/>
          <w:color w:val="auto"/>
          <w:highlight w:val="none"/>
        </w:rPr>
      </w:pPr>
    </w:p>
    <w:p w14:paraId="3B51CC38">
      <w:pPr>
        <w:jc w:val="center"/>
        <w:rPr>
          <w:rFonts w:hint="eastAsia" w:ascii="宋体" w:hAnsi="宋体" w:eastAsia="宋体" w:cs="宋体"/>
          <w:color w:val="auto"/>
          <w:highlight w:val="none"/>
        </w:rPr>
      </w:pPr>
    </w:p>
    <w:p w14:paraId="04724372">
      <w:pPr>
        <w:pStyle w:val="3"/>
        <w:ind w:left="0" w:right="0" w:firstLine="0"/>
        <w:jc w:val="center"/>
        <w:rPr>
          <w:rFonts w:hint="eastAsia" w:ascii="宋体" w:hAnsi="宋体" w:eastAsia="宋体" w:cs="宋体"/>
          <w:color w:val="auto"/>
          <w:sz w:val="44"/>
          <w:szCs w:val="44"/>
          <w:highlight w:val="none"/>
        </w:rPr>
      </w:pPr>
      <w:bookmarkStart w:id="0" w:name="_Toc526894971"/>
      <w:bookmarkStart w:id="1" w:name="_Toc21864"/>
      <w:r>
        <w:rPr>
          <w:rFonts w:hint="eastAsia" w:ascii="宋体" w:hAnsi="宋体" w:eastAsia="宋体" w:cs="宋体"/>
          <w:color w:val="auto"/>
          <w:sz w:val="44"/>
          <w:szCs w:val="44"/>
          <w:highlight w:val="none"/>
        </w:rPr>
        <w:t>第一章  招标公告</w:t>
      </w:r>
      <w:bookmarkEnd w:id="0"/>
      <w:bookmarkEnd w:id="1"/>
    </w:p>
    <w:p w14:paraId="0449BF43">
      <w:pPr>
        <w:jc w:val="center"/>
        <w:rPr>
          <w:rFonts w:hint="eastAsia" w:ascii="宋体" w:hAnsi="宋体" w:eastAsia="宋体" w:cs="宋体"/>
          <w:color w:val="auto"/>
          <w:sz w:val="36"/>
          <w:szCs w:val="36"/>
          <w:highlight w:val="none"/>
        </w:rPr>
      </w:pPr>
      <w:bookmarkStart w:id="2" w:name="_Toc8822_WPSOffice_Level2"/>
      <w:bookmarkStart w:id="3" w:name="_Toc25792_WPSOffice_Level2"/>
      <w:r>
        <w:rPr>
          <w:rFonts w:hint="eastAsia" w:ascii="宋体" w:hAnsi="宋体" w:eastAsia="宋体" w:cs="宋体"/>
          <w:color w:val="auto"/>
          <w:sz w:val="36"/>
          <w:szCs w:val="36"/>
          <w:highlight w:val="none"/>
          <w:lang w:eastAsia="zh-CN"/>
        </w:rPr>
        <w:t>广州科教城（科德大道延长线）建设工程</w:t>
      </w:r>
      <w:r>
        <w:rPr>
          <w:rFonts w:hint="eastAsia" w:ascii="宋体" w:hAnsi="宋体" w:eastAsia="宋体" w:cs="宋体"/>
          <w:color w:val="auto"/>
          <w:sz w:val="36"/>
          <w:szCs w:val="36"/>
          <w:highlight w:val="none"/>
        </w:rPr>
        <w:t>第三方检验检测服务</w:t>
      </w:r>
    </w:p>
    <w:p w14:paraId="06D4C812">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bookmarkEnd w:id="2"/>
      <w:bookmarkEnd w:id="3"/>
    </w:p>
    <w:p w14:paraId="48428585">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（略）</w:t>
      </w:r>
    </w:p>
    <w:p w14:paraId="04F71433">
      <w:pPr>
        <w:jc w:val="center"/>
        <w:outlineLvl w:val="0"/>
        <w:rPr>
          <w:rFonts w:hint="eastAsia" w:ascii="宋体" w:hAnsi="宋体" w:eastAsia="宋体" w:cs="宋体"/>
          <w:color w:val="auto"/>
          <w:sz w:val="24"/>
          <w:highlight w:val="none"/>
        </w:rPr>
      </w:pPr>
      <w:r>
        <w:rPr>
          <w:rFonts w:hint="eastAsia" w:ascii="宋体" w:hAnsi="宋体" w:eastAsia="宋体" w:cs="宋体"/>
          <w:color w:val="auto"/>
          <w:sz w:val="36"/>
          <w:szCs w:val="36"/>
          <w:highlight w:val="none"/>
        </w:rPr>
        <w:br w:type="page"/>
      </w:r>
      <w:bookmarkStart w:id="4" w:name="_Toc25234"/>
      <w:r>
        <w:rPr>
          <w:rFonts w:hint="eastAsia" w:ascii="宋体" w:hAnsi="宋体" w:eastAsia="宋体" w:cs="宋体"/>
          <w:color w:val="auto"/>
          <w:sz w:val="44"/>
          <w:szCs w:val="44"/>
          <w:highlight w:val="none"/>
        </w:rPr>
        <w:t>第二章投标人须知</w:t>
      </w:r>
      <w:bookmarkEnd w:id="4"/>
    </w:p>
    <w:p w14:paraId="5F98C51F">
      <w:pPr>
        <w:spacing w:after="0"/>
        <w:jc w:val="center"/>
        <w:outlineLvl w:val="1"/>
        <w:rPr>
          <w:rFonts w:hint="eastAsia" w:ascii="宋体" w:hAnsi="宋体" w:eastAsia="宋体" w:cs="宋体"/>
          <w:color w:val="auto"/>
          <w:highlight w:val="none"/>
        </w:rPr>
      </w:pPr>
      <w:bookmarkStart w:id="5" w:name="_Toc9361_WPSOffice_Level2"/>
      <w:bookmarkStart w:id="6" w:name="_Toc15663"/>
      <w:bookmarkStart w:id="7" w:name="_Toc9112_WPSOffice_Level2"/>
      <w:r>
        <w:rPr>
          <w:rFonts w:hint="eastAsia" w:ascii="宋体" w:hAnsi="宋体" w:eastAsia="宋体" w:cs="宋体"/>
          <w:color w:val="auto"/>
          <w:sz w:val="32"/>
          <w:highlight w:val="none"/>
        </w:rPr>
        <w:t>投标人须知前附表</w:t>
      </w:r>
      <w:bookmarkEnd w:id="5"/>
      <w:bookmarkEnd w:id="6"/>
      <w:bookmarkEnd w:id="7"/>
    </w:p>
    <w:tbl>
      <w:tblPr>
        <w:tblStyle w:val="38"/>
        <w:tblW w:w="10445" w:type="dxa"/>
        <w:jc w:val="center"/>
        <w:tblLayout w:type="fixed"/>
        <w:tblCellMar>
          <w:top w:w="0" w:type="dxa"/>
          <w:left w:w="108" w:type="dxa"/>
          <w:bottom w:w="46" w:type="dxa"/>
          <w:right w:w="115" w:type="dxa"/>
        </w:tblCellMar>
      </w:tblPr>
      <w:tblGrid>
        <w:gridCol w:w="1164"/>
        <w:gridCol w:w="2738"/>
        <w:gridCol w:w="6543"/>
      </w:tblGrid>
      <w:tr w14:paraId="6AEDFE90">
        <w:tblPrEx>
          <w:tblCellMar>
            <w:top w:w="0" w:type="dxa"/>
            <w:left w:w="108" w:type="dxa"/>
            <w:bottom w:w="46" w:type="dxa"/>
            <w:right w:w="115" w:type="dxa"/>
          </w:tblCellMar>
        </w:tblPrEx>
        <w:trPr>
          <w:trHeight w:val="449" w:hRule="atLeast"/>
          <w:tblHeader/>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BC3EC40">
            <w:pPr>
              <w:spacing w:after="0"/>
              <w:ind w:left="156"/>
              <w:jc w:val="center"/>
              <w:rPr>
                <w:rFonts w:hint="eastAsia" w:ascii="宋体" w:hAnsi="宋体" w:eastAsia="宋体" w:cs="宋体"/>
                <w:color w:val="auto"/>
                <w:highlight w:val="none"/>
              </w:rPr>
            </w:pPr>
            <w:r>
              <w:rPr>
                <w:rFonts w:hint="eastAsia" w:ascii="宋体" w:hAnsi="宋体" w:eastAsia="宋体" w:cs="宋体"/>
                <w:color w:val="auto"/>
                <w:sz w:val="21"/>
                <w:highlight w:val="none"/>
              </w:rPr>
              <w:t>条款号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E4AE085">
            <w:pPr>
              <w:spacing w:after="0"/>
              <w:ind w:left="7"/>
              <w:jc w:val="center"/>
              <w:rPr>
                <w:rFonts w:hint="eastAsia" w:ascii="宋体" w:hAnsi="宋体" w:eastAsia="宋体" w:cs="宋体"/>
                <w:color w:val="auto"/>
                <w:highlight w:val="none"/>
              </w:rPr>
            </w:pPr>
            <w:r>
              <w:rPr>
                <w:rFonts w:hint="eastAsia" w:ascii="宋体" w:hAnsi="宋体" w:eastAsia="宋体" w:cs="宋体"/>
                <w:color w:val="auto"/>
                <w:sz w:val="21"/>
                <w:highlight w:val="none"/>
              </w:rPr>
              <w:t>条款名称</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6C19E45">
            <w:pPr>
              <w:spacing w:after="0"/>
              <w:ind w:left="9"/>
              <w:jc w:val="center"/>
              <w:rPr>
                <w:rFonts w:hint="eastAsia" w:ascii="宋体" w:hAnsi="宋体" w:eastAsia="宋体" w:cs="宋体"/>
                <w:color w:val="auto"/>
                <w:highlight w:val="none"/>
              </w:rPr>
            </w:pPr>
            <w:r>
              <w:rPr>
                <w:rFonts w:hint="eastAsia" w:ascii="宋体" w:hAnsi="宋体" w:eastAsia="宋体" w:cs="宋体"/>
                <w:color w:val="auto"/>
                <w:sz w:val="21"/>
                <w:highlight w:val="none"/>
              </w:rPr>
              <w:t>编列内容</w:t>
            </w:r>
          </w:p>
        </w:tc>
      </w:tr>
      <w:tr w14:paraId="7C7D23B7">
        <w:tblPrEx>
          <w:tblCellMar>
            <w:top w:w="0" w:type="dxa"/>
            <w:left w:w="108" w:type="dxa"/>
            <w:bottom w:w="46" w:type="dxa"/>
            <w:right w:w="115" w:type="dxa"/>
          </w:tblCellMar>
        </w:tblPrEx>
        <w:trPr>
          <w:trHeight w:val="115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EA4BE08">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1.1.2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AC91C33">
            <w:pPr>
              <w:spacing w:after="0"/>
              <w:ind w:left="7"/>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招标人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A03FF5F">
            <w:pPr>
              <w:spacing w:after="0"/>
              <w:jc w:val="both"/>
              <w:rPr>
                <w:rFonts w:hint="eastAsia" w:ascii="宋体" w:hAnsi="宋体" w:eastAsia="宋体"/>
                <w:color w:val="auto"/>
                <w:szCs w:val="21"/>
                <w:highlight w:val="none"/>
                <w:u w:val="single"/>
              </w:rPr>
            </w:pPr>
            <w:r>
              <w:rPr>
                <w:rFonts w:hint="eastAsia" w:ascii="宋体" w:hAnsi="宋体" w:eastAsia="宋体"/>
                <w:color w:val="auto"/>
                <w:szCs w:val="21"/>
                <w:highlight w:val="none"/>
              </w:rPr>
              <w:t>名称：</w:t>
            </w:r>
            <w:r>
              <w:rPr>
                <w:rFonts w:hint="eastAsia" w:ascii="宋体" w:hAnsi="宋体" w:eastAsia="宋体"/>
                <w:color w:val="auto"/>
                <w:sz w:val="21"/>
                <w:szCs w:val="21"/>
                <w:highlight w:val="none"/>
                <w:u w:val="single"/>
              </w:rPr>
              <w:t>广州市增城区人民政府朱村街道办事处</w:t>
            </w:r>
          </w:p>
          <w:p w14:paraId="65CC3141">
            <w:pPr>
              <w:spacing w:after="0"/>
              <w:jc w:val="both"/>
              <w:rPr>
                <w:rFonts w:hint="eastAsia" w:ascii="宋体" w:hAnsi="宋体" w:eastAsia="宋体" w:cs="宋体"/>
                <w:color w:val="auto"/>
                <w:sz w:val="21"/>
                <w:szCs w:val="21"/>
                <w:highlight w:val="none"/>
                <w:u w:val="single"/>
              </w:rPr>
            </w:pPr>
            <w:r>
              <w:rPr>
                <w:rFonts w:hint="eastAsia" w:ascii="宋体" w:hAnsi="宋体" w:eastAsia="宋体"/>
                <w:color w:val="auto"/>
                <w:szCs w:val="21"/>
                <w:highlight w:val="none"/>
              </w:rPr>
              <w:t>地</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广州市增城区朱村大道中288号</w:t>
            </w:r>
          </w:p>
          <w:p w14:paraId="109B71FE">
            <w:pPr>
              <w:spacing w:after="0"/>
              <w:jc w:val="both"/>
              <w:rPr>
                <w:rFonts w:hint="eastAsia" w:ascii="宋体" w:hAnsi="宋体" w:eastAsia="宋体"/>
                <w:color w:val="auto"/>
                <w:szCs w:val="21"/>
                <w:highlight w:val="none"/>
              </w:rPr>
            </w:pPr>
            <w:r>
              <w:rPr>
                <w:rFonts w:hint="eastAsia" w:ascii="宋体" w:hAnsi="宋体" w:eastAsia="宋体" w:cs="宋体"/>
                <w:color w:val="auto"/>
                <w:sz w:val="21"/>
                <w:szCs w:val="21"/>
                <w:highlight w:val="none"/>
              </w:rPr>
              <w:t>联</w:t>
            </w:r>
            <w:r>
              <w:rPr>
                <w:rFonts w:hint="eastAsia" w:ascii="宋体" w:hAnsi="宋体" w:eastAsia="宋体"/>
                <w:color w:val="auto"/>
                <w:szCs w:val="21"/>
                <w:highlight w:val="none"/>
              </w:rPr>
              <w:t xml:space="preserve"> 系 人：</w:t>
            </w:r>
            <w:r>
              <w:rPr>
                <w:rFonts w:hint="eastAsia" w:ascii="宋体" w:hAnsi="宋体" w:eastAsia="宋体"/>
                <w:color w:val="auto"/>
                <w:sz w:val="21"/>
                <w:szCs w:val="21"/>
                <w:highlight w:val="none"/>
                <w:u w:val="single"/>
              </w:rPr>
              <w:t>姚工</w:t>
            </w:r>
          </w:p>
          <w:p w14:paraId="32C7BFA9">
            <w:pPr>
              <w:spacing w:after="0"/>
              <w:jc w:val="both"/>
              <w:rPr>
                <w:rFonts w:hint="eastAsia" w:ascii="宋体" w:hAnsi="宋体" w:eastAsia="宋体" w:cs="宋体"/>
                <w:color w:val="auto"/>
                <w:sz w:val="21"/>
                <w:szCs w:val="21"/>
                <w:highlight w:val="none"/>
              </w:rPr>
            </w:pPr>
            <w:r>
              <w:rPr>
                <w:rFonts w:hint="eastAsia" w:ascii="宋体" w:hAnsi="宋体" w:eastAsia="宋体"/>
                <w:color w:val="auto"/>
                <w:szCs w:val="21"/>
                <w:highlight w:val="none"/>
              </w:rPr>
              <w:t>电    话：</w:t>
            </w:r>
            <w:r>
              <w:rPr>
                <w:rFonts w:hint="eastAsia" w:ascii="宋体" w:hAnsi="宋体" w:eastAsia="宋体" w:cs="宋体"/>
                <w:color w:val="auto"/>
                <w:kern w:val="0"/>
                <w:sz w:val="21"/>
                <w:szCs w:val="21"/>
                <w:highlight w:val="none"/>
                <w:u w:val="single"/>
              </w:rPr>
              <w:t>020-82855488</w:t>
            </w:r>
          </w:p>
        </w:tc>
      </w:tr>
      <w:tr w14:paraId="4F14BAFB">
        <w:tblPrEx>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FFB7744">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1.1.3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969782A">
            <w:pPr>
              <w:spacing w:after="0"/>
              <w:ind w:left="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招标代理机构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F6ACD9B">
            <w:pPr>
              <w:snapToGrid w:val="0"/>
              <w:spacing w:line="240" w:lineRule="exact"/>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rPr>
              <w:t>名称：</w:t>
            </w:r>
            <w:r>
              <w:rPr>
                <w:rFonts w:hint="eastAsia" w:ascii="宋体" w:hAnsi="宋体" w:eastAsia="宋体" w:cs="Times New Roman"/>
                <w:color w:val="auto"/>
                <w:sz w:val="21"/>
                <w:szCs w:val="21"/>
                <w:highlight w:val="none"/>
                <w:u w:val="single"/>
                <w:lang w:eastAsia="zh-CN"/>
              </w:rPr>
              <w:t>广东省城规建设监理有限公司</w:t>
            </w:r>
          </w:p>
          <w:p w14:paraId="7B5C2268">
            <w:pPr>
              <w:snapToGrid w:val="0"/>
              <w:spacing w:line="240" w:lineRule="exact"/>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rPr>
              <w:t>地址：</w:t>
            </w:r>
            <w:r>
              <w:rPr>
                <w:rFonts w:hint="eastAsia" w:ascii="宋体" w:hAnsi="宋体" w:eastAsia="宋体" w:cs="Times New Roman"/>
                <w:color w:val="auto"/>
                <w:sz w:val="21"/>
                <w:szCs w:val="21"/>
                <w:highlight w:val="none"/>
                <w:u w:val="single"/>
                <w:lang w:eastAsia="zh-CN"/>
              </w:rPr>
              <w:t>广州市白云区黄石东路484号二楼</w:t>
            </w:r>
          </w:p>
          <w:p w14:paraId="5FA85A4E">
            <w:pPr>
              <w:snapToGrid w:val="0"/>
              <w:spacing w:line="24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联系人：</w:t>
            </w:r>
            <w:r>
              <w:rPr>
                <w:rFonts w:hint="eastAsia" w:ascii="宋体" w:hAnsi="宋体" w:eastAsia="宋体" w:cs="Times New Roman"/>
                <w:color w:val="auto"/>
                <w:sz w:val="21"/>
                <w:szCs w:val="21"/>
                <w:highlight w:val="none"/>
                <w:u w:val="single"/>
              </w:rPr>
              <w:t>刘工</w:t>
            </w:r>
            <w:r>
              <w:rPr>
                <w:rFonts w:hint="eastAsia" w:ascii="宋体" w:hAnsi="宋体" w:eastAsia="宋体" w:cs="Times New Roman"/>
                <w:color w:val="auto"/>
                <w:szCs w:val="21"/>
                <w:highlight w:val="none"/>
                <w:u w:val="single"/>
              </w:rPr>
              <w:t xml:space="preserve"> </w:t>
            </w:r>
          </w:p>
          <w:p w14:paraId="22381ED1">
            <w:pPr>
              <w:spacing w:after="0" w:line="240" w:lineRule="exact"/>
              <w:jc w:val="both"/>
              <w:rPr>
                <w:rFonts w:ascii="宋体" w:hAnsi="宋体" w:eastAsia="宋体" w:cs="宋体"/>
                <w:color w:val="auto"/>
                <w:sz w:val="21"/>
                <w:szCs w:val="21"/>
                <w:highlight w:val="none"/>
              </w:rPr>
            </w:pPr>
            <w:r>
              <w:rPr>
                <w:rFonts w:hint="eastAsia" w:ascii="宋体" w:hAnsi="宋体" w:eastAsia="宋体" w:cs="Times New Roman"/>
                <w:color w:val="auto"/>
                <w:szCs w:val="21"/>
                <w:highlight w:val="none"/>
                <w:u w:val="single"/>
              </w:rPr>
              <w:t>电话：</w:t>
            </w:r>
            <w:r>
              <w:rPr>
                <w:rFonts w:hint="eastAsia" w:ascii="宋体" w:hAnsi="宋体" w:eastAsia="宋体" w:cs="Times New Roman"/>
                <w:color w:val="auto"/>
                <w:sz w:val="21"/>
                <w:szCs w:val="21"/>
                <w:highlight w:val="none"/>
                <w:u w:val="single"/>
              </w:rPr>
              <w:t>13570260425</w:t>
            </w:r>
          </w:p>
        </w:tc>
      </w:tr>
      <w:tr w14:paraId="2403047A">
        <w:tblPrEx>
          <w:tblCellMar>
            <w:top w:w="0" w:type="dxa"/>
            <w:left w:w="108" w:type="dxa"/>
            <w:bottom w:w="46" w:type="dxa"/>
            <w:right w:w="115" w:type="dxa"/>
          </w:tblCellMar>
        </w:tblPrEx>
        <w:trPr>
          <w:trHeight w:val="60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5E13971">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1.1.4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BF9B9F3">
            <w:pPr>
              <w:spacing w:after="0"/>
              <w:ind w:left="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招标项目名称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4A48191">
            <w:pPr>
              <w:spacing w:after="0"/>
              <w:jc w:val="both"/>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lang w:eastAsia="zh-CN"/>
              </w:rPr>
              <w:t>广州科教城（科德大道延长线）建设工程</w:t>
            </w:r>
            <w:r>
              <w:rPr>
                <w:rFonts w:hint="eastAsia" w:ascii="宋体" w:hAnsi="宋体" w:eastAsia="宋体" w:cs="Times New Roman"/>
                <w:color w:val="auto"/>
                <w:sz w:val="21"/>
                <w:szCs w:val="21"/>
                <w:highlight w:val="none"/>
              </w:rPr>
              <w:t>第三方检验检测服务</w:t>
            </w:r>
          </w:p>
        </w:tc>
      </w:tr>
      <w:tr w14:paraId="77E1A2B2">
        <w:tblPrEx>
          <w:tblCellMar>
            <w:top w:w="0" w:type="dxa"/>
            <w:left w:w="108" w:type="dxa"/>
            <w:bottom w:w="46" w:type="dxa"/>
            <w:right w:w="115" w:type="dxa"/>
          </w:tblCellMar>
        </w:tblPrEx>
        <w:trPr>
          <w:trHeight w:val="6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94507A6">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1.1.5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53AB211">
            <w:pPr>
              <w:spacing w:after="0"/>
              <w:ind w:left="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项目建设地点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AAFDB95">
            <w:pPr>
              <w:spacing w:after="0"/>
              <w:jc w:val="both"/>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广州市增城区朱村街。</w:t>
            </w:r>
          </w:p>
        </w:tc>
      </w:tr>
      <w:tr w14:paraId="4DA0E7D3">
        <w:tblPrEx>
          <w:tblCellMar>
            <w:top w:w="0" w:type="dxa"/>
            <w:left w:w="108" w:type="dxa"/>
            <w:bottom w:w="46" w:type="dxa"/>
            <w:right w:w="115" w:type="dxa"/>
          </w:tblCellMar>
        </w:tblPrEx>
        <w:trPr>
          <w:trHeight w:val="45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C6D47C5">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1.1.6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E71F156">
            <w:pPr>
              <w:spacing w:after="0"/>
              <w:ind w:left="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项目建设规模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7C4CF11">
            <w:pPr>
              <w:spacing w:after="0"/>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总体呈东西走向，起点位于施工中的科德大道终点，终点接计划实施的北三环朱村连接线，项目设计等级为城市主干路标准，道路全长约1.038km，道路标准段宽50m，设计速度50km/h，双向6车道。项目建设内容包括：道路工程、交通工程、涵洞工程、给排水工程、照明工程、电力工程、通信工程及绿化工程等。具体以工程量清单和施工图纸为准。</w:t>
            </w:r>
          </w:p>
        </w:tc>
      </w:tr>
      <w:tr w14:paraId="18050BA5">
        <w:tblPrEx>
          <w:tblCellMar>
            <w:top w:w="0" w:type="dxa"/>
            <w:left w:w="108" w:type="dxa"/>
            <w:bottom w:w="46" w:type="dxa"/>
            <w:right w:w="115" w:type="dxa"/>
          </w:tblCellMar>
        </w:tblPrEx>
        <w:trPr>
          <w:trHeight w:val="449"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718C7D7">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1.1.7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23F3171">
            <w:pPr>
              <w:spacing w:after="0"/>
              <w:ind w:left="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项目投资估算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7BFFF72">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项目概算投资额19358.26万元，其中，建安费约13059.64万元。</w:t>
            </w:r>
          </w:p>
        </w:tc>
      </w:tr>
      <w:tr w14:paraId="47EF4B65">
        <w:tblPrEx>
          <w:tblCellMar>
            <w:top w:w="0" w:type="dxa"/>
            <w:left w:w="108" w:type="dxa"/>
            <w:bottom w:w="46" w:type="dxa"/>
            <w:right w:w="115" w:type="dxa"/>
          </w:tblCellMar>
        </w:tblPrEx>
        <w:trPr>
          <w:trHeight w:val="452"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6B405E9">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1.2.1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F4D45A2">
            <w:pPr>
              <w:spacing w:after="0"/>
              <w:ind w:left="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资金来源及比例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646072D">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区财政资金</w:t>
            </w:r>
          </w:p>
        </w:tc>
      </w:tr>
      <w:tr w14:paraId="69D93FF6">
        <w:tblPrEx>
          <w:tblCellMar>
            <w:top w:w="0" w:type="dxa"/>
            <w:left w:w="108" w:type="dxa"/>
            <w:bottom w:w="46" w:type="dxa"/>
            <w:right w:w="115" w:type="dxa"/>
          </w:tblCellMar>
        </w:tblPrEx>
        <w:trPr>
          <w:trHeight w:val="449"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7A895AB">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1.2.2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6D538CC">
            <w:pPr>
              <w:spacing w:after="0"/>
              <w:ind w:left="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资金落实情况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B999621">
            <w:pPr>
              <w:spacing w:after="0"/>
              <w:ind w:left="6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70F7D79C">
        <w:tblPrEx>
          <w:tblCellMar>
            <w:top w:w="0" w:type="dxa"/>
            <w:left w:w="108" w:type="dxa"/>
            <w:bottom w:w="46" w:type="dxa"/>
            <w:right w:w="115" w:type="dxa"/>
          </w:tblCellMar>
        </w:tblPrEx>
        <w:trPr>
          <w:trHeight w:val="45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178169B">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1.3.1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E32A9DF">
            <w:pPr>
              <w:spacing w:after="0"/>
              <w:ind w:left="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招标范围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08E7910">
            <w:pPr>
              <w:spacing w:after="0"/>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本次招标内容为建设工程主管部门、监督部门要求的具有质量监控作用的</w:t>
            </w:r>
            <w:r>
              <w:rPr>
                <w:rFonts w:hint="eastAsia" w:ascii="宋体" w:hAnsi="宋体" w:eastAsia="宋体" w:cs="Times New Roman"/>
                <w:color w:val="auto"/>
                <w:sz w:val="21"/>
                <w:szCs w:val="21"/>
                <w:highlight w:val="none"/>
                <w:u w:val="single"/>
              </w:rPr>
              <w:t>包括但不限于</w:t>
            </w:r>
            <w:r>
              <w:rPr>
                <w:rFonts w:hint="eastAsia" w:ascii="宋体" w:hAnsi="宋体" w:eastAsia="宋体" w:cs="宋体"/>
                <w:color w:val="auto"/>
                <w:sz w:val="21"/>
                <w:szCs w:val="21"/>
                <w:highlight w:val="none"/>
                <w:u w:val="single"/>
              </w:rPr>
              <w:t>材料检测、地基基础检测、道路工程检测、给排水工程检测等检测项目，以及为工程验收提供依据的检测项目。服务范围除以上工程检测、试验工作外，还包括：</w:t>
            </w:r>
          </w:p>
          <w:p w14:paraId="72AB52AD">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14:paraId="0491E43B">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②、在进行检测任务的过程中与该工程相关的施工单位、监理单位、设计单位、咨询单位、建设主管部门等相关单位的协调工作。</w:t>
            </w:r>
          </w:p>
          <w:p w14:paraId="0D448BED">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③、检测数据的有关信息通过连接系统进行传输报送。</w:t>
            </w:r>
          </w:p>
          <w:p w14:paraId="063056A1">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检测的要求：《建设工程质量检测管理办法》（建设部令第</w:t>
            </w:r>
            <w:r>
              <w:rPr>
                <w:rFonts w:hint="eastAsia" w:ascii="宋体" w:hAnsi="宋体" w:eastAsia="宋体" w:cs="宋体"/>
                <w:color w:val="auto"/>
                <w:sz w:val="21"/>
                <w:szCs w:val="21"/>
                <w:highlight w:val="none"/>
                <w:u w:val="single"/>
                <w:lang w:val="en-US" w:eastAsia="zh-CN"/>
              </w:rPr>
              <w:t>57</w:t>
            </w:r>
            <w:r>
              <w:rPr>
                <w:rFonts w:hint="eastAsia" w:ascii="宋体" w:hAnsi="宋体" w:eastAsia="宋体" w:cs="宋体"/>
                <w:color w:val="auto"/>
                <w:sz w:val="21"/>
                <w:szCs w:val="21"/>
                <w:highlight w:val="none"/>
                <w:u w:val="single"/>
              </w:rPr>
              <w:t>号）及国家现行有关规范。具体以检测工程量清单为准。</w:t>
            </w:r>
          </w:p>
        </w:tc>
      </w:tr>
      <w:tr w14:paraId="5D90CE29">
        <w:tblPrEx>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9D71C6A">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1.3.2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ADD5D88">
            <w:pPr>
              <w:spacing w:after="0"/>
              <w:ind w:left="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服务期限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362119B">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从中标单位进场至所有服务项目完成，服务周期必须满足实际施工要求。</w:t>
            </w:r>
          </w:p>
        </w:tc>
      </w:tr>
      <w:tr w14:paraId="3CAD76B4">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3BB30D5">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1.4.1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DE8B19A">
            <w:pPr>
              <w:spacing w:after="0"/>
              <w:ind w:left="4"/>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投标人资质条件</w:t>
            </w:r>
            <w:r>
              <w:rPr>
                <w:rFonts w:hint="eastAsia" w:ascii="宋体" w:hAnsi="宋体" w:eastAsia="宋体" w:cs="宋体"/>
                <w:dstrike/>
                <w:color w:val="auto"/>
                <w:kern w:val="0"/>
                <w:sz w:val="21"/>
                <w:szCs w:val="21"/>
                <w:highlight w:val="none"/>
              </w:rPr>
              <w:t>、能力、信誉 及</w:t>
            </w:r>
            <w:r>
              <w:rPr>
                <w:rFonts w:hint="eastAsia" w:ascii="宋体" w:hAnsi="宋体" w:eastAsia="宋体" w:cs="宋体"/>
                <w:color w:val="auto"/>
                <w:kern w:val="0"/>
                <w:sz w:val="21"/>
                <w:szCs w:val="21"/>
                <w:highlight w:val="none"/>
              </w:rPr>
              <w:t>项目负责人要求</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90ECF6A">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详见招标公告</w:t>
            </w:r>
          </w:p>
          <w:p w14:paraId="76F30D10">
            <w:pPr>
              <w:pStyle w:val="130"/>
              <w:spacing w:before="0" w:after="0" w:line="320" w:lineRule="exact"/>
              <w:jc w:val="both"/>
              <w:rPr>
                <w:rFonts w:hint="eastAsia" w:eastAsia="宋体"/>
                <w:color w:val="auto"/>
                <w:sz w:val="21"/>
                <w:szCs w:val="21"/>
                <w:highlight w:val="none"/>
              </w:rPr>
            </w:pPr>
          </w:p>
        </w:tc>
      </w:tr>
      <w:tr w14:paraId="6043EF9E">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8D0648B">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1.4.2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C45749C">
            <w:pPr>
              <w:spacing w:after="0"/>
              <w:ind w:left="4"/>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是否接受联合体投标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82190D5">
            <w:pPr>
              <w:spacing w:after="16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☑不接受 </w:t>
            </w:r>
          </w:p>
          <w:p w14:paraId="0F653C2B">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□接受，应满足下列要求：详见招标公告 </w:t>
            </w:r>
          </w:p>
        </w:tc>
      </w:tr>
      <w:tr w14:paraId="06A57CBE">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C72A8E5">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1.4.3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70B2966">
            <w:pPr>
              <w:spacing w:after="0"/>
              <w:ind w:left="4"/>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投标人不得存在的其他情形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642F0A5">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投标人不得存在下列情形之一（投标人须在投标文件中就有关内容做出声明，除非另有要求，不需要在投标文件中提供证明材料）：</w:t>
            </w:r>
          </w:p>
          <w:p w14:paraId="4DC674C1">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（1）为招标人不具有独立法人资格的附属机构（单位）；</w:t>
            </w:r>
          </w:p>
          <w:p w14:paraId="64FB7F8A">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（2）为本次招标项目前期准备提供设计或咨询服务的；</w:t>
            </w:r>
          </w:p>
          <w:p w14:paraId="43B0EB6A">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（3）为本次招标项目的监理人；</w:t>
            </w:r>
          </w:p>
          <w:p w14:paraId="7E02CD13">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（4）为本次招标项目的代建人；</w:t>
            </w:r>
          </w:p>
          <w:p w14:paraId="72BDE509">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（5）为本次招标项目提供招标代理服务的； </w:t>
            </w:r>
          </w:p>
          <w:p w14:paraId="01EEC2D9">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（6）与本次招标项目的监理人或代建人或招标代理机构同为一个法定代表人的；</w:t>
            </w:r>
          </w:p>
          <w:p w14:paraId="15036016">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（7）与本次招标项目的监理人或代建人或招标代理机构相互控股或参股的；</w:t>
            </w:r>
          </w:p>
          <w:p w14:paraId="0E6220A6">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（8）与本次招标项目的监理人或代建人或招标代理机构相互任职或工作的；</w:t>
            </w:r>
          </w:p>
          <w:p w14:paraId="6285B63C">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（9）被责令停业的；</w:t>
            </w:r>
          </w:p>
          <w:p w14:paraId="716ABBE6">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（10）被暂停或取消投标资格的；</w:t>
            </w:r>
          </w:p>
          <w:p w14:paraId="66D292C5">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（11）财产被接管或冻结的；</w:t>
            </w:r>
          </w:p>
          <w:p w14:paraId="6B2913B3">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（12）单位负责人为同一人或者存在控股、管理关系的不同单位，同时参加本招标项目投标。</w:t>
            </w:r>
          </w:p>
          <w:p w14:paraId="3A9641AC">
            <w:pPr>
              <w:pStyle w:val="130"/>
              <w:spacing w:before="0" w:after="0" w:line="320" w:lineRule="exact"/>
              <w:jc w:val="both"/>
              <w:rPr>
                <w:rFonts w:hint="eastAsia" w:eastAsia="宋体"/>
                <w:color w:val="auto"/>
                <w:sz w:val="21"/>
                <w:szCs w:val="21"/>
                <w:highlight w:val="none"/>
              </w:rPr>
            </w:pPr>
            <w:r>
              <w:rPr>
                <w:rFonts w:hint="eastAsia" w:eastAsia="宋体"/>
                <w:color w:val="auto"/>
                <w:sz w:val="21"/>
                <w:szCs w:val="21"/>
                <w:highlight w:val="none"/>
              </w:rPr>
              <w:t>（13）投标人、投标人主要负责人及拟投入人员在招标投标、合同履行、安全事故方面因违反有关法律、法规规定受到相关行政管理部门的行政处罚，被取消投标资格的。</w:t>
            </w:r>
          </w:p>
        </w:tc>
      </w:tr>
      <w:tr w14:paraId="007EA646">
        <w:tblPrEx>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FB57A49">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1.9.1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91B6C8D">
            <w:pPr>
              <w:spacing w:after="0"/>
              <w:ind w:left="5"/>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踏勘现场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99919B5">
            <w:pPr>
              <w:spacing w:after="6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☑不组织 </w:t>
            </w:r>
          </w:p>
          <w:p w14:paraId="4842EBAB">
            <w:pPr>
              <w:spacing w:after="0"/>
              <w:ind w:left="840" w:hanging="8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□组织，踏勘时间：踏勘集中地点： </w:t>
            </w:r>
          </w:p>
        </w:tc>
      </w:tr>
      <w:tr w14:paraId="16299B67">
        <w:tblPrEx>
          <w:tblCellMar>
            <w:top w:w="0" w:type="dxa"/>
            <w:left w:w="108" w:type="dxa"/>
            <w:bottom w:w="46" w:type="dxa"/>
            <w:right w:w="115" w:type="dxa"/>
          </w:tblCellMar>
        </w:tblPrEx>
        <w:trPr>
          <w:trHeight w:val="520"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C01D6AC">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1.10.1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F839494">
            <w:pPr>
              <w:spacing w:after="0"/>
              <w:ind w:left="5"/>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投标预备会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27A683A">
            <w:pPr>
              <w:spacing w:after="9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☑不召开 </w:t>
            </w:r>
          </w:p>
          <w:p w14:paraId="2C78ED83">
            <w:pPr>
              <w:spacing w:after="0"/>
              <w:ind w:left="840" w:hanging="8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Times New Roman" w:char="0000"/>
            </w:r>
            <w:r>
              <w:rPr>
                <w:rFonts w:hint="eastAsia" w:ascii="宋体" w:hAnsi="宋体" w:eastAsia="宋体" w:cs="宋体"/>
                <w:color w:val="auto"/>
                <w:sz w:val="21"/>
                <w:szCs w:val="21"/>
                <w:highlight w:val="none"/>
              </w:rPr>
              <w:t xml:space="preserve">召开，召开时间：召开地点： </w:t>
            </w:r>
          </w:p>
        </w:tc>
      </w:tr>
      <w:tr w14:paraId="30975FFE">
        <w:tblPrEx>
          <w:tblCellMar>
            <w:top w:w="0" w:type="dxa"/>
            <w:left w:w="108" w:type="dxa"/>
            <w:bottom w:w="46" w:type="dxa"/>
            <w:right w:w="115" w:type="dxa"/>
          </w:tblCellMar>
        </w:tblPrEx>
        <w:trPr>
          <w:trHeight w:val="423" w:hRule="atLeast"/>
          <w:jc w:val="center"/>
        </w:trPr>
        <w:tc>
          <w:tcPr>
            <w:tcW w:w="1164" w:type="dxa"/>
            <w:vMerge w:val="restart"/>
            <w:tcBorders>
              <w:top w:val="single" w:color="000000" w:sz="4" w:space="0"/>
              <w:left w:val="single" w:color="000000" w:sz="4" w:space="0"/>
              <w:right w:val="single" w:color="000000" w:sz="4" w:space="0"/>
            </w:tcBorders>
            <w:noWrap w:val="0"/>
            <w:vAlign w:val="center"/>
          </w:tcPr>
          <w:p w14:paraId="467D6F05">
            <w:pPr>
              <w:spacing w:after="0"/>
              <w:ind w:left="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1.10.2</w:t>
            </w:r>
          </w:p>
        </w:tc>
        <w:tc>
          <w:tcPr>
            <w:tcW w:w="2738" w:type="dxa"/>
            <w:vMerge w:val="restart"/>
            <w:tcBorders>
              <w:top w:val="single" w:color="000000" w:sz="4" w:space="0"/>
              <w:left w:val="single" w:color="000000" w:sz="4" w:space="0"/>
              <w:right w:val="single" w:color="000000" w:sz="4" w:space="0"/>
            </w:tcBorders>
            <w:noWrap w:val="0"/>
            <w:vAlign w:val="center"/>
          </w:tcPr>
          <w:p w14:paraId="6DDC716A">
            <w:pPr>
              <w:spacing w:after="0"/>
              <w:ind w:left="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投标人在投标预备会前提出问题</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EA9D414">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时间：/</w:t>
            </w:r>
          </w:p>
        </w:tc>
      </w:tr>
      <w:tr w14:paraId="2A6D1D14">
        <w:tblPrEx>
          <w:tblCellMar>
            <w:top w:w="0" w:type="dxa"/>
            <w:left w:w="108" w:type="dxa"/>
            <w:bottom w:w="46" w:type="dxa"/>
            <w:right w:w="115" w:type="dxa"/>
          </w:tblCellMar>
        </w:tblPrEx>
        <w:trPr>
          <w:trHeight w:val="486" w:hRule="atLeast"/>
          <w:jc w:val="center"/>
        </w:trPr>
        <w:tc>
          <w:tcPr>
            <w:tcW w:w="1164" w:type="dxa"/>
            <w:vMerge w:val="continue"/>
            <w:tcBorders>
              <w:left w:val="single" w:color="000000" w:sz="4" w:space="0"/>
              <w:bottom w:val="single" w:color="000000" w:sz="4" w:space="0"/>
              <w:right w:val="single" w:color="000000" w:sz="4" w:space="0"/>
            </w:tcBorders>
            <w:noWrap w:val="0"/>
            <w:vAlign w:val="center"/>
          </w:tcPr>
          <w:p w14:paraId="70D5E593">
            <w:pPr>
              <w:spacing w:after="0"/>
              <w:ind w:left="9"/>
              <w:jc w:val="both"/>
              <w:rPr>
                <w:rFonts w:hint="eastAsia" w:ascii="宋体" w:hAnsi="宋体" w:eastAsia="宋体" w:cs="宋体"/>
                <w:color w:val="auto"/>
                <w:sz w:val="21"/>
                <w:highlight w:val="none"/>
              </w:rPr>
            </w:pPr>
          </w:p>
        </w:tc>
        <w:tc>
          <w:tcPr>
            <w:tcW w:w="2738" w:type="dxa"/>
            <w:vMerge w:val="continue"/>
            <w:tcBorders>
              <w:left w:val="single" w:color="000000" w:sz="4" w:space="0"/>
              <w:bottom w:val="single" w:color="000000" w:sz="4" w:space="0"/>
              <w:right w:val="single" w:color="000000" w:sz="4" w:space="0"/>
            </w:tcBorders>
            <w:noWrap w:val="0"/>
            <w:vAlign w:val="center"/>
          </w:tcPr>
          <w:p w14:paraId="2A6D1E71">
            <w:pPr>
              <w:spacing w:after="0"/>
              <w:ind w:left="5"/>
              <w:jc w:val="both"/>
              <w:rPr>
                <w:rFonts w:hint="eastAsia" w:ascii="宋体" w:hAnsi="宋体" w:eastAsia="宋体" w:cs="宋体"/>
                <w:color w:val="auto"/>
                <w:sz w:val="21"/>
                <w:highlight w:val="none"/>
              </w:rPr>
            </w:pP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E220C97">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形式：/</w:t>
            </w:r>
          </w:p>
        </w:tc>
      </w:tr>
      <w:tr w14:paraId="2935514B">
        <w:tblPrEx>
          <w:tblCellMar>
            <w:top w:w="0" w:type="dxa"/>
            <w:left w:w="108" w:type="dxa"/>
            <w:bottom w:w="46" w:type="dxa"/>
            <w:right w:w="115" w:type="dxa"/>
          </w:tblCellMar>
        </w:tblPrEx>
        <w:trPr>
          <w:trHeight w:val="49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D96BA63">
            <w:pPr>
              <w:adjustRightInd w:val="0"/>
              <w:snapToGrid w:val="0"/>
              <w:spacing w:after="0" w:line="400" w:lineRule="exact"/>
              <w:jc w:val="center"/>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1.10.3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77BA89F">
            <w:pPr>
              <w:adjustRightInd w:val="0"/>
              <w:snapToGrid w:val="0"/>
              <w:spacing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招标文件澄清发出的形式</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AD464E4">
            <w:pPr>
              <w:adjustRightInd w:val="0"/>
              <w:snapToGrid w:val="0"/>
              <w:spacing w:after="0" w:line="400" w:lineRule="exact"/>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（此为投标预备会的答疑澄清）</w:t>
            </w:r>
          </w:p>
        </w:tc>
      </w:tr>
      <w:tr w14:paraId="4A7CADBA">
        <w:tblPrEx>
          <w:tblCellMar>
            <w:top w:w="0" w:type="dxa"/>
            <w:left w:w="108" w:type="dxa"/>
            <w:bottom w:w="46" w:type="dxa"/>
            <w:right w:w="115" w:type="dxa"/>
          </w:tblCellMar>
        </w:tblPrEx>
        <w:trPr>
          <w:trHeight w:val="49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0197669">
            <w:pPr>
              <w:spacing w:after="0"/>
              <w:ind w:left="9"/>
              <w:jc w:val="both"/>
              <w:rPr>
                <w:rFonts w:hint="eastAsia" w:ascii="宋体" w:hAnsi="宋体" w:eastAsia="宋体" w:cs="宋体"/>
                <w:color w:val="auto"/>
                <w:sz w:val="21"/>
                <w:highlight w:val="none"/>
              </w:rPr>
            </w:pPr>
            <w:r>
              <w:rPr>
                <w:rFonts w:hint="eastAsia" w:ascii="宋体" w:hAnsi="宋体" w:eastAsia="宋体" w:cs="宋体"/>
                <w:strike/>
                <w:color w:val="auto"/>
                <w:sz w:val="21"/>
                <w:highlight w:val="none"/>
              </w:rPr>
              <w:t xml:space="preserve">1.12.1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B3323BB">
            <w:pPr>
              <w:spacing w:after="0"/>
              <w:ind w:left="4"/>
              <w:jc w:val="both"/>
              <w:rPr>
                <w:rFonts w:hint="eastAsia" w:ascii="宋体" w:hAnsi="宋体" w:eastAsia="宋体" w:cs="宋体"/>
                <w:color w:val="auto"/>
                <w:sz w:val="21"/>
                <w:highlight w:val="none"/>
                <w:u w:val="single"/>
              </w:rPr>
            </w:pPr>
            <w:r>
              <w:rPr>
                <w:rFonts w:hint="eastAsia" w:ascii="宋体" w:hAnsi="宋体" w:eastAsia="宋体" w:cs="宋体"/>
                <w:strike/>
                <w:color w:val="auto"/>
                <w:sz w:val="21"/>
                <w:highlight w:val="none"/>
              </w:rPr>
              <w:t xml:space="preserve">实质性要求和条件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2F393F1">
            <w:pPr>
              <w:spacing w:after="0"/>
              <w:jc w:val="both"/>
              <w:rPr>
                <w:rFonts w:hint="eastAsia" w:ascii="宋体" w:hAnsi="宋体" w:eastAsia="宋体" w:cs="宋体"/>
                <w:color w:val="auto"/>
                <w:sz w:val="24"/>
                <w:szCs w:val="24"/>
                <w:highlight w:val="none"/>
              </w:rPr>
            </w:pPr>
            <w:r>
              <w:rPr>
                <w:rFonts w:hint="eastAsia" w:ascii="宋体" w:hAnsi="宋体" w:eastAsia="宋体" w:cs="宋体"/>
                <w:strike/>
                <w:color w:val="auto"/>
                <w:sz w:val="21"/>
                <w:szCs w:val="21"/>
                <w:highlight w:val="none"/>
              </w:rPr>
              <w:t xml:space="preserve"> /</w:t>
            </w:r>
          </w:p>
        </w:tc>
      </w:tr>
      <w:tr w14:paraId="1D152E9A">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98B5B9D">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1.12.3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70A3DCE">
            <w:pPr>
              <w:spacing w:after="0"/>
              <w:ind w:left="7"/>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偏差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B8C051E">
            <w:pPr>
              <w:spacing w:after="6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☑不允许 </w:t>
            </w:r>
          </w:p>
          <w:p w14:paraId="2F4D3A4C">
            <w:pPr>
              <w:spacing w:after="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□允许，偏差范围： </w:t>
            </w:r>
          </w:p>
          <w:p w14:paraId="448F4388">
            <w:pPr>
              <w:spacing w:after="0"/>
              <w:ind w:left="946" w:leftChars="430" w:firstLine="105" w:firstLineChars="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偏差幅度： </w:t>
            </w:r>
          </w:p>
        </w:tc>
      </w:tr>
      <w:tr w14:paraId="19DBE4DB">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2E42D9B">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2.1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24F8D87">
            <w:pPr>
              <w:spacing w:after="0"/>
              <w:ind w:left="7"/>
              <w:jc w:val="both"/>
              <w:rPr>
                <w:rFonts w:hint="eastAsia" w:ascii="宋体" w:hAnsi="宋体" w:eastAsia="宋体" w:cs="宋体"/>
                <w:color w:val="auto"/>
                <w:highlight w:val="none"/>
                <w:u w:val="single"/>
              </w:rPr>
            </w:pPr>
            <w:r>
              <w:rPr>
                <w:rFonts w:hint="eastAsia" w:ascii="宋体" w:hAnsi="宋体" w:eastAsia="宋体" w:cs="宋体"/>
                <w:color w:val="auto"/>
                <w:sz w:val="21"/>
                <w:highlight w:val="none"/>
                <w:u w:val="single"/>
              </w:rPr>
              <w:t xml:space="preserve">构成招标文件的其他资料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85B5FE2">
            <w:pPr>
              <w:spacing w:after="0"/>
              <w:jc w:val="both"/>
              <w:rPr>
                <w:rFonts w:hint="eastAsia" w:ascii="宋体" w:hAnsi="宋体" w:eastAsia="宋体" w:cs="宋体"/>
                <w:strike/>
                <w:color w:val="auto"/>
                <w:sz w:val="21"/>
                <w:szCs w:val="21"/>
                <w:highlight w:val="none"/>
                <w:u w:val="single"/>
              </w:rPr>
            </w:pPr>
            <w:r>
              <w:rPr>
                <w:rFonts w:hint="eastAsia" w:ascii="宋体" w:hAnsi="宋体" w:eastAsia="宋体" w:cs="宋体"/>
                <w:color w:val="auto"/>
                <w:sz w:val="21"/>
                <w:szCs w:val="21"/>
                <w:highlight w:val="none"/>
                <w:u w:val="single"/>
              </w:rPr>
              <w:t>招标公告、招标文件澄清修改及答疑纪要</w:t>
            </w:r>
          </w:p>
        </w:tc>
      </w:tr>
      <w:tr w14:paraId="6C24EB02">
        <w:tblPrEx>
          <w:tblCellMar>
            <w:top w:w="0" w:type="dxa"/>
            <w:left w:w="108" w:type="dxa"/>
            <w:bottom w:w="46" w:type="dxa"/>
            <w:right w:w="115" w:type="dxa"/>
          </w:tblCellMar>
        </w:tblPrEx>
        <w:trPr>
          <w:trHeight w:val="399" w:hRule="atLeast"/>
          <w:jc w:val="center"/>
        </w:trPr>
        <w:tc>
          <w:tcPr>
            <w:tcW w:w="1164" w:type="dxa"/>
            <w:vMerge w:val="restart"/>
            <w:tcBorders>
              <w:top w:val="single" w:color="000000" w:sz="4" w:space="0"/>
              <w:left w:val="single" w:color="000000" w:sz="4" w:space="0"/>
              <w:right w:val="single" w:color="000000" w:sz="4" w:space="0"/>
            </w:tcBorders>
            <w:noWrap w:val="0"/>
            <w:vAlign w:val="center"/>
          </w:tcPr>
          <w:p w14:paraId="496EE2D4">
            <w:pPr>
              <w:jc w:val="both"/>
              <w:rPr>
                <w:rFonts w:hint="eastAsia" w:ascii="宋体" w:hAnsi="宋体" w:eastAsia="宋体" w:cs="宋体"/>
                <w:strike/>
                <w:color w:val="auto"/>
                <w:highlight w:val="none"/>
              </w:rPr>
            </w:pPr>
            <w:r>
              <w:rPr>
                <w:rFonts w:hint="eastAsia" w:ascii="宋体" w:hAnsi="宋体" w:eastAsia="宋体" w:cs="宋体"/>
                <w:color w:val="auto"/>
                <w:sz w:val="21"/>
                <w:szCs w:val="21"/>
                <w:highlight w:val="none"/>
              </w:rPr>
              <w:t>2.2.1</w:t>
            </w:r>
          </w:p>
        </w:tc>
        <w:tc>
          <w:tcPr>
            <w:tcW w:w="2738" w:type="dxa"/>
            <w:vMerge w:val="restart"/>
            <w:tcBorders>
              <w:top w:val="single" w:color="000000" w:sz="4" w:space="0"/>
              <w:left w:val="single" w:color="000000" w:sz="4" w:space="0"/>
              <w:right w:val="single" w:color="000000" w:sz="4" w:space="0"/>
            </w:tcBorders>
            <w:noWrap w:val="0"/>
            <w:vAlign w:val="center"/>
          </w:tcPr>
          <w:p w14:paraId="1E007154">
            <w:pPr>
              <w:jc w:val="both"/>
              <w:rPr>
                <w:rFonts w:hint="eastAsia" w:ascii="宋体" w:hAnsi="宋体" w:eastAsia="宋体" w:cs="宋体"/>
                <w:strike/>
                <w:color w:val="auto"/>
                <w:highlight w:val="none"/>
                <w:u w:val="single"/>
              </w:rPr>
            </w:pPr>
            <w:r>
              <w:rPr>
                <w:rFonts w:hint="eastAsia" w:ascii="宋体" w:hAnsi="宋体" w:eastAsia="宋体" w:cs="宋体"/>
                <w:color w:val="auto"/>
                <w:sz w:val="21"/>
                <w:szCs w:val="21"/>
                <w:highlight w:val="none"/>
                <w:u w:val="single"/>
              </w:rPr>
              <w:t>投标人要求澄清招标文件</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78D86B6">
            <w:pPr>
              <w:spacing w:after="0"/>
              <w:jc w:val="both"/>
              <w:rPr>
                <w:rFonts w:hint="eastAsia" w:ascii="宋体" w:hAnsi="宋体" w:eastAsia="宋体" w:cs="宋体"/>
                <w:strike/>
                <w:color w:val="auto"/>
                <w:sz w:val="21"/>
                <w:szCs w:val="21"/>
                <w:highlight w:val="none"/>
                <w:u w:val="single"/>
              </w:rPr>
            </w:pPr>
            <w:r>
              <w:rPr>
                <w:rFonts w:hint="eastAsia" w:ascii="宋体" w:hAnsi="宋体" w:eastAsia="宋体" w:cs="宋体"/>
                <w:color w:val="auto"/>
                <w:sz w:val="21"/>
                <w:szCs w:val="21"/>
                <w:highlight w:val="none"/>
                <w:u w:val="single"/>
              </w:rPr>
              <w:t>时间：在递交投标文件截止日期前18日</w:t>
            </w:r>
          </w:p>
        </w:tc>
      </w:tr>
      <w:tr w14:paraId="54F55505">
        <w:tblPrEx>
          <w:tblCellMar>
            <w:top w:w="0" w:type="dxa"/>
            <w:left w:w="108" w:type="dxa"/>
            <w:bottom w:w="46" w:type="dxa"/>
            <w:right w:w="115" w:type="dxa"/>
          </w:tblCellMar>
        </w:tblPrEx>
        <w:trPr>
          <w:trHeight w:val="311" w:hRule="atLeast"/>
          <w:jc w:val="center"/>
        </w:trPr>
        <w:tc>
          <w:tcPr>
            <w:tcW w:w="1164" w:type="dxa"/>
            <w:vMerge w:val="continue"/>
            <w:tcBorders>
              <w:left w:val="single" w:color="000000" w:sz="4" w:space="0"/>
              <w:bottom w:val="single" w:color="000000" w:sz="4" w:space="0"/>
              <w:right w:val="single" w:color="000000" w:sz="4" w:space="0"/>
            </w:tcBorders>
            <w:noWrap w:val="0"/>
            <w:vAlign w:val="center"/>
          </w:tcPr>
          <w:p w14:paraId="3009FDAC">
            <w:pPr>
              <w:jc w:val="both"/>
              <w:rPr>
                <w:rFonts w:hint="eastAsia" w:ascii="宋体" w:hAnsi="宋体" w:eastAsia="宋体" w:cs="宋体"/>
                <w:strike/>
                <w:color w:val="auto"/>
                <w:highlight w:val="none"/>
              </w:rPr>
            </w:pPr>
          </w:p>
        </w:tc>
        <w:tc>
          <w:tcPr>
            <w:tcW w:w="2738" w:type="dxa"/>
            <w:vMerge w:val="continue"/>
            <w:tcBorders>
              <w:left w:val="single" w:color="000000" w:sz="4" w:space="0"/>
              <w:bottom w:val="single" w:color="000000" w:sz="4" w:space="0"/>
              <w:right w:val="single" w:color="000000" w:sz="4" w:space="0"/>
            </w:tcBorders>
            <w:noWrap w:val="0"/>
            <w:vAlign w:val="center"/>
          </w:tcPr>
          <w:p w14:paraId="052566F9">
            <w:pPr>
              <w:jc w:val="both"/>
              <w:rPr>
                <w:rFonts w:hint="eastAsia" w:ascii="宋体" w:hAnsi="宋体" w:eastAsia="宋体" w:cs="宋体"/>
                <w:strike/>
                <w:color w:val="auto"/>
                <w:szCs w:val="21"/>
                <w:highlight w:val="none"/>
                <w:u w:val="single"/>
              </w:rPr>
            </w:pP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C0DA286">
            <w:pPr>
              <w:adjustRightInd w:val="0"/>
              <w:snapToGrid w:val="0"/>
              <w:spacing w:after="0" w:line="400" w:lineRule="exact"/>
              <w:jc w:val="both"/>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u w:val="single"/>
              </w:rPr>
              <w:t>形式：招标答疑采用网上答疑方式进行。投标人若对招标文件（包括合同版本、最高投标限价等）有疑问的，可在规定的时间内通过广州公共资源交易中心网站将问题提交给招标人或招标代理人，提交问题一律不得署名。</w:t>
            </w:r>
          </w:p>
          <w:p w14:paraId="2BF276F9">
            <w:pPr>
              <w:spacing w:after="0"/>
              <w:jc w:val="both"/>
              <w:rPr>
                <w:rFonts w:hint="eastAsia" w:ascii="宋体" w:hAnsi="宋体" w:eastAsia="宋体" w:cs="宋体"/>
                <w:strike/>
                <w:color w:val="auto"/>
                <w:sz w:val="21"/>
                <w:szCs w:val="21"/>
                <w:highlight w:val="none"/>
                <w:u w:val="single"/>
              </w:rPr>
            </w:pPr>
            <w:r>
              <w:rPr>
                <w:rFonts w:hint="eastAsia" w:ascii="宋体" w:hAnsi="宋体" w:eastAsia="宋体" w:cs="宋体"/>
                <w:color w:val="auto"/>
                <w:sz w:val="21"/>
                <w:szCs w:val="21"/>
                <w:highlight w:val="none"/>
                <w:u w:val="single"/>
              </w:rPr>
              <w:t>网上答疑的操作指南为：登陆广州公共资源交易中心网站</w:t>
            </w:r>
            <w:r>
              <w:rPr>
                <w:rFonts w:ascii="宋体" w:hAnsi="宋体" w:eastAsia="宋体"/>
                <w:color w:val="auto"/>
                <w:sz w:val="21"/>
                <w:szCs w:val="21"/>
                <w:highlight w:val="none"/>
                <w:u w:val="single"/>
              </w:rPr>
              <w:t>-&gt;</w:t>
            </w:r>
            <w:r>
              <w:rPr>
                <w:rFonts w:hint="eastAsia" w:ascii="宋体" w:hAnsi="宋体" w:eastAsia="宋体" w:cs="宋体"/>
                <w:color w:val="auto"/>
                <w:sz w:val="21"/>
                <w:szCs w:val="21"/>
                <w:highlight w:val="none"/>
                <w:u w:val="single"/>
              </w:rPr>
              <w:t>进入</w:t>
            </w:r>
            <w:r>
              <w:rPr>
                <w:rFonts w:ascii="宋体" w:hAnsi="宋体" w:eastAsia="宋体"/>
                <w:color w:val="auto"/>
                <w:sz w:val="21"/>
                <w:szCs w:val="21"/>
                <w:highlight w:val="none"/>
                <w:u w:val="single"/>
              </w:rPr>
              <w:t>“</w:t>
            </w:r>
            <w:r>
              <w:rPr>
                <w:rFonts w:hint="eastAsia" w:ascii="宋体" w:hAnsi="宋体" w:eastAsia="宋体" w:cs="宋体"/>
                <w:color w:val="auto"/>
                <w:sz w:val="21"/>
                <w:szCs w:val="21"/>
                <w:highlight w:val="none"/>
                <w:u w:val="single"/>
              </w:rPr>
              <w:t>我是投标人（供应商）</w:t>
            </w:r>
            <w:r>
              <w:rPr>
                <w:rFonts w:ascii="宋体" w:hAnsi="宋体" w:eastAsia="宋体"/>
                <w:color w:val="auto"/>
                <w:sz w:val="21"/>
                <w:szCs w:val="21"/>
                <w:highlight w:val="none"/>
                <w:u w:val="single"/>
              </w:rPr>
              <w:t>”-&gt;“</w:t>
            </w:r>
            <w:r>
              <w:rPr>
                <w:rFonts w:hint="eastAsia" w:ascii="宋体" w:hAnsi="宋体" w:eastAsia="宋体" w:cs="宋体"/>
                <w:color w:val="auto"/>
                <w:sz w:val="21"/>
                <w:szCs w:val="21"/>
                <w:highlight w:val="none"/>
                <w:u w:val="single"/>
              </w:rPr>
              <w:t>我的投标</w:t>
            </w:r>
            <w:r>
              <w:rPr>
                <w:rFonts w:ascii="宋体" w:hAnsi="宋体" w:eastAsia="宋体"/>
                <w:color w:val="auto"/>
                <w:sz w:val="21"/>
                <w:szCs w:val="21"/>
                <w:highlight w:val="none"/>
                <w:u w:val="single"/>
              </w:rPr>
              <w:t>”-&gt;“</w:t>
            </w:r>
            <w:r>
              <w:rPr>
                <w:rFonts w:hint="eastAsia" w:ascii="宋体" w:hAnsi="宋体" w:eastAsia="宋体" w:cs="宋体"/>
                <w:color w:val="auto"/>
                <w:sz w:val="21"/>
                <w:szCs w:val="21"/>
                <w:highlight w:val="none"/>
                <w:u w:val="single"/>
              </w:rPr>
              <w:t>招标答疑提问</w:t>
            </w:r>
            <w:r>
              <w:rPr>
                <w:rFonts w:ascii="宋体" w:hAnsi="宋体" w:eastAsia="宋体"/>
                <w:color w:val="auto"/>
                <w:sz w:val="21"/>
                <w:szCs w:val="21"/>
                <w:highlight w:val="none"/>
                <w:u w:val="single"/>
              </w:rPr>
              <w:t>”</w:t>
            </w:r>
            <w:r>
              <w:rPr>
                <w:rFonts w:hint="eastAsia" w:ascii="宋体" w:hAnsi="宋体" w:eastAsia="宋体" w:cs="宋体"/>
                <w:color w:val="auto"/>
                <w:sz w:val="21"/>
                <w:szCs w:val="21"/>
                <w:highlight w:val="none"/>
                <w:u w:val="single"/>
              </w:rPr>
              <w:t>查询项目并提问。</w:t>
            </w:r>
          </w:p>
        </w:tc>
      </w:tr>
      <w:tr w14:paraId="0ED3BD14">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5D547A6">
            <w:pPr>
              <w:spacing w:after="0"/>
              <w:ind w:left="12"/>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2.2.2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BBF71FD">
            <w:pPr>
              <w:spacing w:after="0"/>
              <w:ind w:left="9"/>
              <w:jc w:val="both"/>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u w:val="single"/>
              </w:rPr>
              <w:t>招标文件澄清发出的形式</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FC8E717">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招标文件的澄清均以广州公共资源交易中心网站发布的内容为准。当招标文件的澄清、修改在同一内容的表述不一致时，以广州公共资源交易中心网站最后发布的内容为准。</w:t>
            </w:r>
          </w:p>
        </w:tc>
      </w:tr>
      <w:tr w14:paraId="57E82310">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5662FA7">
            <w:pPr>
              <w:spacing w:after="0"/>
              <w:ind w:left="12"/>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2.2.3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9904036">
            <w:pPr>
              <w:spacing w:after="0"/>
              <w:ind w:left="9"/>
              <w:jc w:val="both"/>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u w:val="single"/>
              </w:rPr>
              <w:t>投标人确认收到招标文件澄清</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DB61503">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招标文件的澄清在广州公共资源交易中心网站发布。招标文件的澄清一经在广州公共资源交易中心网站发布，视作已发放给所有投标人，招标文件的澄清内容作为招标文件的组成部分，具有约束作用。</w:t>
            </w:r>
          </w:p>
        </w:tc>
      </w:tr>
      <w:tr w14:paraId="03EFA43B">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0F90056">
            <w:pPr>
              <w:spacing w:after="0"/>
              <w:ind w:left="12"/>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2.3.1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3FEA84A">
            <w:pPr>
              <w:spacing w:after="0"/>
              <w:ind w:left="9"/>
              <w:jc w:val="both"/>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u w:val="single"/>
              </w:rPr>
              <w:t>招标文件修改发出的形式</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6CBF03E">
            <w:pPr>
              <w:spacing w:after="0"/>
              <w:jc w:val="both"/>
              <w:rPr>
                <w:rStyle w:val="42"/>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招标文件的修改均以广州公共资源交易中心网站发布的内容为准。当招标文件的修改在同一内容的表述不一致时，以广州公共资源交易中心网站最后发布的内容为准。</w:t>
            </w:r>
          </w:p>
        </w:tc>
      </w:tr>
      <w:tr w14:paraId="327788CC">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DBBF700">
            <w:pPr>
              <w:spacing w:after="0"/>
              <w:ind w:left="12"/>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2.3.2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5039276">
            <w:pPr>
              <w:spacing w:after="0"/>
              <w:ind w:left="9"/>
              <w:jc w:val="both"/>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u w:val="single"/>
              </w:rPr>
              <w:t>投标人确认收到招标文件修改</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776C41F">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招标文件的修改在广州公共资源交易中心网站发布。招标文件的修改一经在广州公共资源交易中心网站发布，视作已发放给所有投标人，招标文件的修改内容作为招标文件的组成部分，具有约束作用。</w:t>
            </w:r>
          </w:p>
        </w:tc>
      </w:tr>
      <w:tr w14:paraId="1F6C898F">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109FA41">
            <w:pPr>
              <w:spacing w:after="0"/>
              <w:ind w:left="1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DA66745">
            <w:pPr>
              <w:spacing w:after="0"/>
              <w:jc w:val="both"/>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u w:val="single"/>
              </w:rPr>
              <w:t>构成投标文件的其他资料</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5F25C73">
            <w:pPr>
              <w:spacing w:after="0"/>
              <w:jc w:val="both"/>
              <w:rPr>
                <w:rFonts w:hint="eastAsia" w:ascii="宋体" w:hAnsi="宋体" w:eastAsia="宋体" w:cs="宋体"/>
                <w:strike/>
                <w:color w:val="auto"/>
                <w:sz w:val="21"/>
                <w:szCs w:val="21"/>
                <w:highlight w:val="none"/>
                <w:u w:val="single"/>
              </w:rPr>
            </w:pPr>
            <w:r>
              <w:rPr>
                <w:rFonts w:hint="eastAsia" w:ascii="宋体" w:hAnsi="宋体" w:eastAsia="宋体" w:cs="宋体"/>
                <w:color w:val="auto"/>
                <w:sz w:val="21"/>
                <w:szCs w:val="21"/>
                <w:highlight w:val="none"/>
                <w:u w:val="single"/>
              </w:rPr>
              <w:t>投标人提交的投标文件应当使用招标文件所提供的投标格式文件的格式，无提供格式的内容投标人自行定义格式（表格可以按同样格式扩展）。</w:t>
            </w:r>
          </w:p>
        </w:tc>
      </w:tr>
      <w:tr w14:paraId="637D80E5">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BE2D3D4">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3.2.1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E7DE066">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增值税税金的计算方法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90029C0">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按有关规定。</w:t>
            </w:r>
          </w:p>
        </w:tc>
      </w:tr>
      <w:tr w14:paraId="4AA20609">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10A40B0">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3.2.3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ADEAAFE">
            <w:pPr>
              <w:spacing w:after="0"/>
              <w:ind w:left="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报价方式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151E289">
            <w:pPr>
              <w:adjustRightInd w:val="0"/>
              <w:snapToGrid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投标单位根据现行检测规范和有关收费标准及市场价自行报价，但投标报价不得超过最高投标限价。（出现小数的，小数点后保留二位小数，第三位小数四舍五入）</w:t>
            </w:r>
          </w:p>
        </w:tc>
      </w:tr>
      <w:tr w14:paraId="6B31E8F4">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66F7F46">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3.2.4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CE42A6C">
            <w:pPr>
              <w:spacing w:after="0"/>
              <w:ind w:left="10"/>
              <w:jc w:val="both"/>
              <w:rPr>
                <w:rFonts w:hint="eastAsia" w:ascii="宋体" w:hAnsi="宋体" w:eastAsia="宋体" w:cs="宋体"/>
                <w:color w:val="auto"/>
                <w:highlight w:val="none"/>
              </w:rPr>
            </w:pPr>
            <w:r>
              <w:rPr>
                <w:rFonts w:hint="eastAsia" w:ascii="宋体" w:hAnsi="宋体" w:eastAsia="宋体" w:cs="宋体"/>
                <w:color w:val="auto"/>
                <w:sz w:val="21"/>
                <w:highlight w:val="none"/>
              </w:rPr>
              <w:t>最高投标限价(招标控制价）</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300380D">
            <w:pPr>
              <w:spacing w:after="9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 </w:t>
            </w:r>
          </w:p>
          <w:p w14:paraId="6D0616E5">
            <w:pPr>
              <w:spacing w:after="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☑有，最高投标限价：</w:t>
            </w:r>
            <w:r>
              <w:rPr>
                <w:rStyle w:val="81"/>
                <w:rFonts w:ascii="宋体" w:hAnsi="宋体" w:eastAsia="宋体" w:cs="宋体"/>
                <w:color w:val="auto"/>
                <w:sz w:val="21"/>
                <w:szCs w:val="21"/>
                <w:highlight w:val="none"/>
              </w:rPr>
              <w:t>2611929.49</w:t>
            </w:r>
            <w:r>
              <w:rPr>
                <w:rFonts w:hint="eastAsia" w:ascii="宋体" w:hAnsi="宋体" w:eastAsia="宋体" w:cs="宋体"/>
                <w:color w:val="auto"/>
                <w:sz w:val="21"/>
                <w:szCs w:val="21"/>
                <w:highlight w:val="none"/>
                <w:u w:val="single"/>
              </w:rPr>
              <w:t>元</w:t>
            </w:r>
            <w:r>
              <w:rPr>
                <w:rFonts w:hint="eastAsia" w:ascii="宋体" w:hAnsi="宋体" w:eastAsia="宋体" w:cs="宋体"/>
                <w:color w:val="auto"/>
                <w:sz w:val="21"/>
                <w:szCs w:val="21"/>
                <w:highlight w:val="none"/>
              </w:rPr>
              <w:t>。</w:t>
            </w:r>
          </w:p>
          <w:p w14:paraId="79B7401C">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投标总价超过最高投标限价的投标文件将被拒绝。</w:t>
            </w:r>
          </w:p>
        </w:tc>
      </w:tr>
      <w:tr w14:paraId="54F7AE79">
        <w:tblPrEx>
          <w:tblCellMar>
            <w:top w:w="0" w:type="dxa"/>
            <w:left w:w="108" w:type="dxa"/>
            <w:bottom w:w="46" w:type="dxa"/>
            <w:right w:w="115" w:type="dxa"/>
          </w:tblCellMar>
        </w:tblPrEx>
        <w:trPr>
          <w:trHeight w:val="739"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6E5E5D4">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3.2.5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93C68C4">
            <w:pPr>
              <w:spacing w:after="0"/>
              <w:ind w:left="6"/>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投标报价的其他要求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7BB2C49">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48B2F2D9">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39D9DE2">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3.3.1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458710F">
            <w:pPr>
              <w:spacing w:after="0"/>
              <w:ind w:left="7"/>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投标有效期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980EF74">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rPr>
              <w:t>日历天（从投标截止之日计起）</w:t>
            </w:r>
          </w:p>
        </w:tc>
      </w:tr>
      <w:tr w14:paraId="08563D43">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AAF4538">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3.4.1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875BFFB">
            <w:pPr>
              <w:spacing w:after="0"/>
              <w:ind w:left="7"/>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投标保证金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485BB20">
            <w:pPr>
              <w:spacing w:after="154"/>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是否要求投标人递交投标保证金： </w:t>
            </w:r>
          </w:p>
          <w:p w14:paraId="09955398">
            <w:pPr>
              <w:contextualSpacing/>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□要求，投标保证金的形式：/</w:t>
            </w:r>
          </w:p>
          <w:p w14:paraId="3C21A39B">
            <w:pPr>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不要求</w:t>
            </w:r>
          </w:p>
        </w:tc>
      </w:tr>
      <w:tr w14:paraId="238F6682">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76257D0">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3.5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E0062BB">
            <w:pPr>
              <w:spacing w:after="0"/>
              <w:ind w:left="9"/>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资格审查资料的特殊要求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4694F43">
            <w:pPr>
              <w:spacing w:after="5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 </w:t>
            </w:r>
          </w:p>
          <w:p w14:paraId="6696E295">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□有，具体要求： </w:t>
            </w:r>
          </w:p>
        </w:tc>
      </w:tr>
      <w:tr w14:paraId="547820BD">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003209A">
            <w:pPr>
              <w:spacing w:after="0"/>
              <w:ind w:left="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3.6.1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4DC2C55">
            <w:pPr>
              <w:spacing w:after="0"/>
              <w:ind w:left="7"/>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是否允许递交备选投标方案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74FD846">
            <w:pPr>
              <w:spacing w:after="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☑不允许 </w:t>
            </w:r>
          </w:p>
          <w:p w14:paraId="6B7BD3FA">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 </w:t>
            </w:r>
          </w:p>
        </w:tc>
      </w:tr>
      <w:tr w14:paraId="269AF7D1">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D67F67F">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3.7.3（B）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71D9973">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投标文件所附证书证件要求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EDDDDAF">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证书证件需为原件清晰扫描件（纸质原件的扫描件，《广州建设工程投标信息表》除外），并采用单位数字证书，按照招标文件要求在相应位置加盖电子印章。</w:t>
            </w:r>
          </w:p>
        </w:tc>
      </w:tr>
      <w:tr w14:paraId="21A582E8">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54C7745">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3.7.3（B）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8851926">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投标文件签字或盖章要求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5BF1ECE">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取消在招标文件中采用个人数字证书和加盖个人电子印章要求，投标文件中需法定代表人、代理人签字或加盖电子印章的，应手签或盖章后扫描上传，对加盖个人电子印章不做要求。投标文件按招标文件要求加盖单位电子印章。相关操作详见广州公共资源交易中心网站最新发布的《房建市政全流程电子化项目操作专章》。</w:t>
            </w:r>
          </w:p>
        </w:tc>
      </w:tr>
      <w:tr w14:paraId="2DA4AEA8">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5BA7BC0">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4.1.1（B）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0C81AF2">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投标文件加密要求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8970980">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1.网上递交的电子投标文件须进行加密。具体操作详见广州公共资源交易中心网站发布的《房屋建筑和市政基础设施工程全流程电子化项目专章》。</w:t>
            </w:r>
          </w:p>
          <w:p w14:paraId="7388F7BC">
            <w:pPr>
              <w:spacing w:after="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未按要求密封的投标文件，招标人将予以拒收。</w:t>
            </w:r>
          </w:p>
        </w:tc>
      </w:tr>
      <w:tr w14:paraId="4FD1CB1A">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05154CF">
            <w:pPr>
              <w:adjustRightInd w:val="0"/>
              <w:snapToGrid w:val="0"/>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44A11F8">
            <w:pPr>
              <w:adjustRightInd w:val="0"/>
              <w:snapToGrid w:val="0"/>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封套上应载明的信息</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CB7C527">
            <w:pPr>
              <w:pStyle w:val="15"/>
              <w:topLinePunct/>
              <w:adjustRightInd w:val="0"/>
              <w:snapToGrid w:val="0"/>
              <w:spacing w:after="0" w:line="400" w:lineRule="exact"/>
              <w:rPr>
                <w:rFonts w:ascii="宋体" w:hAnsi="宋体" w:eastAsia="宋体"/>
                <w:color w:val="auto"/>
                <w:sz w:val="21"/>
                <w:szCs w:val="21"/>
                <w:highlight w:val="none"/>
              </w:rPr>
            </w:pPr>
            <w:r>
              <w:rPr>
                <w:rFonts w:hint="eastAsia" w:ascii="宋体" w:hAnsi="宋体" w:eastAsia="宋体" w:cs="宋体"/>
                <w:color w:val="auto"/>
                <w:sz w:val="21"/>
                <w:szCs w:val="21"/>
                <w:highlight w:val="none"/>
              </w:rPr>
              <w:t>如有提交投标文件光盘备用，封套上应注明如下信息：</w:t>
            </w:r>
          </w:p>
          <w:p w14:paraId="1F6E191E">
            <w:pPr>
              <w:pStyle w:val="15"/>
              <w:topLinePunct/>
              <w:adjustRightInd w:val="0"/>
              <w:snapToGrid w:val="0"/>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p>
          <w:p w14:paraId="2BE7A660">
            <w:pPr>
              <w:pStyle w:val="15"/>
              <w:topLinePunct/>
              <w:adjustRightInd w:val="0"/>
              <w:snapToGrid w:val="0"/>
              <w:spacing w:after="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u w:val="single"/>
              </w:rPr>
              <w:t xml:space="preserve"> </w:t>
            </w:r>
          </w:p>
          <w:p w14:paraId="79C669EC">
            <w:pPr>
              <w:pStyle w:val="15"/>
              <w:topLinePunct/>
              <w:adjustRightInd w:val="0"/>
              <w:snapToGrid w:val="0"/>
              <w:spacing w:after="0" w:line="400" w:lineRule="exact"/>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项目投标文件</w:t>
            </w:r>
          </w:p>
          <w:p w14:paraId="0764FE5C">
            <w:pPr>
              <w:pStyle w:val="15"/>
              <w:topLinePunct/>
              <w:adjustRightInd w:val="0"/>
              <w:snapToGrid w:val="0"/>
              <w:spacing w:after="0" w:line="400" w:lineRule="exact"/>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招标项目编号：</w:t>
            </w:r>
          </w:p>
          <w:p w14:paraId="1661F5FF">
            <w:pPr>
              <w:adjustRightInd w:val="0"/>
              <w:snapToGrid w:val="0"/>
              <w:spacing w:after="0"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时前不得开启</w:t>
            </w:r>
          </w:p>
        </w:tc>
      </w:tr>
      <w:tr w14:paraId="50B97944">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2BBD1BE">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4.2.1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96A0796">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投标截止时间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76EBFBE">
            <w:pPr>
              <w:spacing w:line="240" w:lineRule="exact"/>
              <w:ind w:left="156" w:leftChars="71" w:right="156" w:rightChars="71"/>
              <w:jc w:val="both"/>
              <w:rPr>
                <w:rFonts w:hint="eastAsia" w:ascii="宋体" w:hAnsi="宋体" w:eastAsia="宋体" w:cs="宋体"/>
                <w:color w:val="auto"/>
                <w:spacing w:val="4"/>
                <w:sz w:val="21"/>
                <w:szCs w:val="21"/>
                <w:highlight w:val="none"/>
              </w:rPr>
            </w:pPr>
          </w:p>
          <w:p w14:paraId="1A3EE236">
            <w:pPr>
              <w:spacing w:line="240" w:lineRule="exact"/>
              <w:ind w:left="156" w:leftChars="71" w:right="156" w:rightChars="71"/>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电子投标文件递交截止时间：</w:t>
            </w:r>
            <w:r>
              <w:rPr>
                <w:rFonts w:hint="eastAsia" w:ascii="宋体" w:hAnsi="宋体" w:eastAsia="宋体" w:cs="宋体"/>
                <w:color w:val="auto"/>
                <w:spacing w:val="4"/>
                <w:sz w:val="21"/>
                <w:szCs w:val="21"/>
                <w:highlight w:val="none"/>
                <w:u w:val="single"/>
                <w:lang w:eastAsia="zh-CN"/>
              </w:rPr>
              <w:t>2024</w:t>
            </w:r>
            <w:r>
              <w:rPr>
                <w:rFonts w:hint="eastAsia" w:ascii="宋体" w:hAnsi="宋体" w:eastAsia="宋体" w:cs="宋体"/>
                <w:color w:val="auto"/>
                <w:spacing w:val="4"/>
                <w:sz w:val="21"/>
                <w:szCs w:val="21"/>
                <w:highlight w:val="none"/>
                <w:u w:val="single"/>
              </w:rPr>
              <w:t>年  月  日  时  分</w:t>
            </w:r>
            <w:r>
              <w:rPr>
                <w:rFonts w:hint="eastAsia" w:ascii="宋体" w:hAnsi="宋体" w:eastAsia="宋体" w:cs="宋体"/>
                <w:color w:val="auto"/>
                <w:spacing w:val="4"/>
                <w:sz w:val="21"/>
                <w:szCs w:val="21"/>
                <w:highlight w:val="none"/>
              </w:rPr>
              <w:t>。</w:t>
            </w:r>
          </w:p>
          <w:p w14:paraId="1F3770D2">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上述时间是否有改变，请密切留意招标答疑纪要的相关信息。截止时间以广州公共资源交易中心电子评标系统服务器从中国科学院国家授时中心取得的北京时间为准。</w:t>
            </w:r>
          </w:p>
        </w:tc>
      </w:tr>
      <w:tr w14:paraId="2B669580">
        <w:tblPrEx>
          <w:tblCellMar>
            <w:top w:w="0" w:type="dxa"/>
            <w:left w:w="108" w:type="dxa"/>
            <w:bottom w:w="46" w:type="dxa"/>
            <w:right w:w="115" w:type="dxa"/>
          </w:tblCellMar>
        </w:tblPrEx>
        <w:trPr>
          <w:trHeight w:val="90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C03B640">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4.2.2（A）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29AD2B0">
            <w:pPr>
              <w:adjustRightInd w:val="0"/>
              <w:snapToGrid w:val="0"/>
              <w:spacing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递交电子投标文件交易平台</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CE3D17E">
            <w:pPr>
              <w:adjustRightInd w:val="0"/>
              <w:snapToGrid w:val="0"/>
              <w:spacing w:after="0" w:line="400" w:lineRule="exact"/>
              <w:rPr>
                <w:rFonts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1.</w:t>
            </w:r>
            <w:r>
              <w:rPr>
                <w:rFonts w:hint="eastAsia" w:ascii="宋体" w:hAnsi="宋体" w:eastAsia="宋体" w:cs="宋体"/>
                <w:color w:val="auto"/>
                <w:sz w:val="21"/>
                <w:szCs w:val="21"/>
                <w:highlight w:val="none"/>
                <w:u w:val="single"/>
              </w:rPr>
              <w:t>递交方式：网上递交投标文件</w:t>
            </w:r>
            <w:r>
              <w:rPr>
                <w:rFonts w:hint="eastAsia" w:ascii="宋体" w:hAnsi="宋体" w:eastAsia="宋体"/>
                <w:color w:val="auto"/>
                <w:sz w:val="21"/>
                <w:szCs w:val="21"/>
                <w:highlight w:val="none"/>
                <w:u w:val="single"/>
              </w:rPr>
              <w:t xml:space="preserve"> </w:t>
            </w:r>
          </w:p>
          <w:p w14:paraId="62E7740C">
            <w:pPr>
              <w:adjustRightInd w:val="0"/>
              <w:snapToGrid w:val="0"/>
              <w:spacing w:after="0" w:line="400" w:lineRule="exact"/>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2.</w:t>
            </w:r>
            <w:r>
              <w:rPr>
                <w:rFonts w:hint="eastAsia" w:ascii="宋体" w:hAnsi="宋体" w:eastAsia="宋体" w:cs="宋体"/>
                <w:color w:val="auto"/>
                <w:sz w:val="21"/>
                <w:szCs w:val="21"/>
                <w:highlight w:val="none"/>
                <w:u w:val="single"/>
              </w:rPr>
              <w:t>递交投标文件的起始时间：（详见广州交易集团有限公司（广州公共资源交易中心）网站信息）。</w:t>
            </w:r>
          </w:p>
          <w:p w14:paraId="4AC68BEF">
            <w:pPr>
              <w:adjustRightInd w:val="0"/>
              <w:snapToGrid w:val="0"/>
              <w:spacing w:after="0" w:line="400" w:lineRule="exact"/>
              <w:rPr>
                <w:rFonts w:hint="eastAsia" w:ascii="宋体" w:hAnsi="宋体" w:eastAsia="宋体"/>
                <w:color w:val="auto"/>
                <w:sz w:val="21"/>
                <w:szCs w:val="21"/>
                <w:highlight w:val="none"/>
                <w:u w:val="single"/>
              </w:rPr>
            </w:pPr>
            <w:r>
              <w:rPr>
                <w:rFonts w:hint="eastAsia" w:ascii="宋体" w:hAnsi="宋体" w:eastAsia="宋体" w:cs="宋体"/>
                <w:color w:val="auto"/>
                <w:sz w:val="21"/>
                <w:szCs w:val="21"/>
                <w:highlight w:val="none"/>
                <w:u w:val="single"/>
              </w:rPr>
              <w:t>截止时间：（详见广州交易集团有限公司（广州公共资源交易中心）网站信息）</w:t>
            </w:r>
          </w:p>
          <w:p w14:paraId="72DC6C36">
            <w:pPr>
              <w:adjustRightInd w:val="0"/>
              <w:snapToGrid w:val="0"/>
              <w:spacing w:after="0" w:line="400" w:lineRule="exact"/>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3.</w:t>
            </w:r>
            <w:r>
              <w:rPr>
                <w:rFonts w:hint="eastAsia" w:ascii="宋体" w:hAnsi="宋体" w:eastAsia="宋体" w:cs="宋体"/>
                <w:color w:val="auto"/>
                <w:sz w:val="21"/>
                <w:szCs w:val="21"/>
                <w:highlight w:val="none"/>
                <w:u w:val="single"/>
              </w:rPr>
              <w:t>地点：广州交易集团有限公司（广州公共资源交易中心）网站。</w:t>
            </w:r>
          </w:p>
          <w:p w14:paraId="0D382883">
            <w:pPr>
              <w:adjustRightInd w:val="0"/>
              <w:snapToGrid w:val="0"/>
              <w:spacing w:after="0" w:line="400" w:lineRule="exact"/>
              <w:jc w:val="both"/>
              <w:rPr>
                <w:rFonts w:hint="eastAsia" w:ascii="宋体" w:hAnsi="宋体" w:eastAsia="宋体" w:cs="宋体"/>
                <w:b/>
                <w:bCs/>
                <w:color w:val="auto"/>
                <w:sz w:val="21"/>
                <w:szCs w:val="21"/>
                <w:highlight w:val="none"/>
              </w:rPr>
            </w:pPr>
            <w:r>
              <w:rPr>
                <w:rFonts w:hint="eastAsia" w:ascii="宋体" w:hAnsi="宋体" w:eastAsia="宋体"/>
                <w:color w:val="auto"/>
                <w:sz w:val="21"/>
                <w:szCs w:val="21"/>
                <w:highlight w:val="none"/>
                <w:u w:val="single"/>
              </w:rPr>
              <w:t>4.</w:t>
            </w:r>
            <w:r>
              <w:rPr>
                <w:rFonts w:hint="eastAsia" w:ascii="宋体" w:hAnsi="宋体" w:eastAsia="宋体" w:cs="宋体"/>
                <w:color w:val="auto"/>
                <w:sz w:val="21"/>
                <w:szCs w:val="21"/>
                <w:highlight w:val="none"/>
                <w:u w:val="single"/>
              </w:rPr>
              <w:t>上述时间及地点是否有改变，</w:t>
            </w:r>
            <w:r>
              <w:rPr>
                <w:rFonts w:hint="eastAsia" w:ascii="宋体" w:hAnsi="宋体" w:eastAsia="宋体"/>
                <w:color w:val="auto"/>
                <w:sz w:val="21"/>
                <w:szCs w:val="21"/>
                <w:highlight w:val="none"/>
                <w:u w:val="single"/>
              </w:rPr>
              <w:t xml:space="preserve"> </w:t>
            </w:r>
            <w:r>
              <w:rPr>
                <w:rFonts w:hint="eastAsia" w:ascii="宋体" w:hAnsi="宋体" w:eastAsia="宋体" w:cs="宋体"/>
                <w:color w:val="auto"/>
                <w:sz w:val="21"/>
                <w:szCs w:val="21"/>
                <w:highlight w:val="none"/>
                <w:u w:val="single"/>
              </w:rPr>
              <w:t>请密切留意招标答疑纪要的相关信息。</w:t>
            </w:r>
          </w:p>
        </w:tc>
      </w:tr>
      <w:tr w14:paraId="0DEC744F">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16DFC21">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4.2.3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6E0DE13">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投标文件是否退还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D27A570">
            <w:pPr>
              <w:spacing w:after="5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☑否 </w:t>
            </w:r>
          </w:p>
          <w:p w14:paraId="0B8EFB8B">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□是，退还时间： </w:t>
            </w:r>
          </w:p>
        </w:tc>
      </w:tr>
      <w:tr w14:paraId="634D5E1D">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2674E23">
            <w:pPr>
              <w:spacing w:after="0"/>
              <w:ind w:left="55"/>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5.1（A）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1EA083A">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开标时间和地点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BCE83A7">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p w14:paraId="53B12680">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w:t>
            </w:r>
            <w:r>
              <w:rPr>
                <w:rFonts w:hint="eastAsia" w:ascii="宋体" w:hAnsi="宋体" w:eastAsia="宋体" w:cs="宋体"/>
                <w:color w:val="auto"/>
                <w:sz w:val="21"/>
                <w:szCs w:val="21"/>
                <w:highlight w:val="none"/>
                <w:u w:val="single"/>
                <w:lang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14:paraId="2AA0DABA">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2、地点：广州公共资源交易中心增城交易部第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开标室。</w:t>
            </w:r>
          </w:p>
          <w:p w14:paraId="64F741F8">
            <w:pPr>
              <w:tabs>
                <w:tab w:val="left" w:pos="4108"/>
              </w:tabs>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3、上述时间及地点是否有改变，请密切留意招标答疑纪要的相关信息。</w:t>
            </w:r>
          </w:p>
        </w:tc>
      </w:tr>
      <w:tr w14:paraId="199656DE">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04506CC">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5.2（4）（A）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05ABF29">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开标程序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1CF7683">
            <w:pPr>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079D5A4D">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14:paraId="6DAEF7B0">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（2）公布在投标截止时间前递交投标文件的投标人名称；</w:t>
            </w:r>
          </w:p>
          <w:p w14:paraId="34E0D8E8">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14:paraId="185C9BC2">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（4）导入电子招标文件；</w:t>
            </w:r>
          </w:p>
          <w:p w14:paraId="6479111C">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交易中心数字交易平台开标系统自动检查电子投标文件的递交、投标人解密情况；逾期未完成投标人解密的电子投标文件将按废标处理。如因交易中心数字交易平台开标系统原因导致投标人解密失败，则待交易系统恢复正常后，由招标人另择时间进行开标和评标；</w:t>
            </w:r>
          </w:p>
          <w:p w14:paraId="28229839">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人（或招标代理人）使用制作该电子招标文件的机构业务数字证书对已完成投标人解密的电子投标文件进行招标人解密；若因交易中心数字交易平台开标系统原因导致招标人解密不成功，则待交易系统恢复正常后，由招标人另择时间进行开标和评标；</w:t>
            </w:r>
          </w:p>
          <w:p w14:paraId="28E9C516">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将所有解密成功的电子投标文件导入交易中心数字交易平台开标系统并公开开标，按照交易中心数字交易平台开标系统自动确定的电子投标文件顺序进行开标、唱标；若因交易中心数字交易平台开标系统原因导致无法采用电子投标文件进行开标，则待交易系统恢复正常后，由招标人另择时间进行开标和评标；</w:t>
            </w:r>
          </w:p>
          <w:p w14:paraId="056205F4">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（8）按照宣布的开标顺序当众唱标，公布投标人名称、投标报价、服务期限及其他内容，并记录在案；</w:t>
            </w:r>
          </w:p>
          <w:p w14:paraId="2A9529F9">
            <w:pPr>
              <w:spacing w:line="240" w:lineRule="exact"/>
              <w:ind w:left="156" w:leftChars="71" w:right="156" w:rightChars="7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（9）投标人代表、招标人代表、监标人、记录人等有关人员在开标记录上签字确认；</w:t>
            </w:r>
          </w:p>
          <w:p w14:paraId="17B1A8B9">
            <w:pPr>
              <w:tabs>
                <w:tab w:val="left" w:pos="4108"/>
              </w:tabs>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（10）开标结束。</w:t>
            </w:r>
          </w:p>
        </w:tc>
      </w:tr>
      <w:tr w14:paraId="5AAB33A4">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B300581">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6.1.1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B6E52F2">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评标委员会的组建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703F6D0">
            <w:pPr>
              <w:spacing w:after="0"/>
              <w:jc w:val="both"/>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u w:val="single" w:color="000000"/>
                <w:lang w:val="en-US" w:eastAsia="zh-CN"/>
              </w:rPr>
              <w:t>7</w:t>
            </w:r>
            <w:r>
              <w:rPr>
                <w:rFonts w:hint="eastAsia" w:ascii="宋体" w:hAnsi="宋体" w:eastAsia="宋体" w:cs="宋体"/>
                <w:color w:val="auto"/>
                <w:sz w:val="21"/>
                <w:szCs w:val="21"/>
                <w:highlight w:val="none"/>
              </w:rPr>
              <w:t>人，由招标人依法组建。</w:t>
            </w:r>
          </w:p>
        </w:tc>
      </w:tr>
      <w:tr w14:paraId="61C590B8">
        <w:tblPrEx>
          <w:tblCellMar>
            <w:top w:w="0" w:type="dxa"/>
            <w:left w:w="108" w:type="dxa"/>
            <w:bottom w:w="46" w:type="dxa"/>
            <w:right w:w="115" w:type="dxa"/>
          </w:tblCellMar>
        </w:tblPrEx>
        <w:trPr>
          <w:trHeight w:val="67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CB6EB2D">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6.3.2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5829541">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评标委员会推荐中标候选人的人数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F52C14A">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推荐3名中标候选人。</w:t>
            </w:r>
          </w:p>
        </w:tc>
      </w:tr>
      <w:tr w14:paraId="75F1F88F">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04D1E5">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7.1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32F1198">
            <w:pPr>
              <w:spacing w:after="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中标候选人公示媒介及期限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8C0647B">
            <w:pPr>
              <w:spacing w:after="0"/>
              <w:ind w:left="108"/>
              <w:jc w:val="both"/>
              <w:rPr>
                <w:rFonts w:hint="eastAsia" w:ascii="宋体" w:hAnsi="宋体" w:eastAsia="宋体"/>
                <w:color w:val="auto"/>
                <w:highlight w:val="none"/>
              </w:rPr>
            </w:pPr>
            <w:r>
              <w:rPr>
                <w:rFonts w:hint="eastAsia" w:ascii="宋体" w:hAnsi="宋体" w:eastAsia="宋体"/>
                <w:color w:val="auto"/>
                <w:highlight w:val="none"/>
              </w:rPr>
              <w:t>公示媒介：广州交易集团有限公司（广州公共资源交易中心）网站（网址：http://www.gzggzy.cn/）、中国招标投标公共服务平台（网址：http://www.cebpubservice.com/）、广州市增城区人民政府门户网站（http://www.zc.gov.cn/）的“首页&gt;公开&gt;公共资源配置领域&gt;工程建设项目招投标”栏目、广东省招标投标监管网</w:t>
            </w:r>
          </w:p>
          <w:p w14:paraId="37196CC5">
            <w:pPr>
              <w:spacing w:after="0"/>
              <w:ind w:left="108"/>
              <w:jc w:val="both"/>
              <w:rPr>
                <w:rFonts w:hint="eastAsia" w:ascii="宋体" w:hAnsi="宋体" w:eastAsia="宋体"/>
                <w:color w:val="auto"/>
                <w:highlight w:val="none"/>
              </w:rPr>
            </w:pPr>
            <w:r>
              <w:rPr>
                <w:rFonts w:hint="eastAsia" w:ascii="宋体" w:hAnsi="宋体" w:eastAsia="宋体"/>
                <w:color w:val="auto"/>
                <w:highlight w:val="none"/>
              </w:rPr>
              <w:t>公示期限： 3  日 （公示期间的最后1天应当为工作日，否则将公示期的最后1天顺延至下一个工作日）。</w:t>
            </w:r>
          </w:p>
          <w:p w14:paraId="4590C07B">
            <w:pPr>
              <w:spacing w:after="0"/>
              <w:ind w:left="108"/>
              <w:jc w:val="both"/>
              <w:rPr>
                <w:rFonts w:hint="eastAsia" w:ascii="宋体" w:hAnsi="宋体" w:eastAsia="宋体"/>
                <w:b/>
                <w:bCs/>
                <w:color w:val="auto"/>
                <w:highlight w:val="none"/>
              </w:rPr>
            </w:pPr>
            <w:r>
              <w:rPr>
                <w:rFonts w:hint="eastAsia" w:ascii="宋体" w:hAnsi="宋体" w:eastAsia="宋体"/>
                <w:b/>
                <w:bCs/>
                <w:color w:val="auto"/>
                <w:highlight w:val="none"/>
              </w:rPr>
              <w:t>注：投标人或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作出答复前，应当暂停招标投标活动。</w:t>
            </w:r>
          </w:p>
          <w:p w14:paraId="4BFC8D2F">
            <w:pPr>
              <w:spacing w:after="0"/>
              <w:ind w:left="108"/>
              <w:jc w:val="both"/>
              <w:rPr>
                <w:rFonts w:hint="eastAsia" w:ascii="宋体" w:hAnsi="宋体" w:eastAsia="宋体"/>
                <w:b/>
                <w:bCs/>
                <w:color w:val="auto"/>
                <w:highlight w:val="none"/>
              </w:rPr>
            </w:pPr>
            <w:r>
              <w:rPr>
                <w:rFonts w:hint="eastAsia" w:ascii="宋体" w:hAnsi="宋体" w:eastAsia="宋体"/>
                <w:b/>
                <w:bCs/>
                <w:color w:val="auto"/>
                <w:highlight w:val="none"/>
              </w:rPr>
              <w:t>1.具体操作详见“广州交易集团有限公司（广州公共资源交易中心）门户网站首页-&gt;服务指南-&gt;系统帮助-&gt;操作手册-&gt;发起及受理异议操作指引”。</w:t>
            </w:r>
          </w:p>
          <w:p w14:paraId="4B2D7481">
            <w:pPr>
              <w:spacing w:after="0"/>
              <w:ind w:left="108"/>
              <w:jc w:val="both"/>
              <w:rPr>
                <w:rFonts w:hint="eastAsia" w:ascii="宋体" w:hAnsi="宋体" w:eastAsia="宋体" w:cs="宋体"/>
                <w:color w:val="auto"/>
                <w:sz w:val="21"/>
                <w:szCs w:val="21"/>
                <w:highlight w:val="none"/>
              </w:rPr>
            </w:pPr>
            <w:r>
              <w:rPr>
                <w:rFonts w:hint="eastAsia" w:ascii="宋体" w:hAnsi="宋体" w:eastAsia="宋体"/>
                <w:b/>
                <w:bCs/>
                <w:color w:val="auto"/>
                <w:highlight w:val="non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tc>
      </w:tr>
      <w:tr w14:paraId="58E9A227">
        <w:tblPrEx>
          <w:tblCellMar>
            <w:top w:w="0" w:type="dxa"/>
            <w:left w:w="108" w:type="dxa"/>
            <w:bottom w:w="46" w:type="dxa"/>
            <w:right w:w="115" w:type="dxa"/>
          </w:tblCellMar>
        </w:tblPrEx>
        <w:trPr>
          <w:trHeight w:val="451"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52B1AC2">
            <w:pPr>
              <w:spacing w:after="0"/>
              <w:ind w:left="11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7.4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171E912">
            <w:pPr>
              <w:spacing w:after="0"/>
              <w:ind w:left="113"/>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是否授权评标委员会确定中标人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D0C6F2E">
            <w:pPr>
              <w:spacing w:after="83"/>
              <w:ind w:left="10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□是 </w:t>
            </w:r>
          </w:p>
          <w:p w14:paraId="16B82F07">
            <w:pPr>
              <w:spacing w:after="0"/>
              <w:ind w:left="10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☑否 </w:t>
            </w:r>
          </w:p>
        </w:tc>
      </w:tr>
      <w:tr w14:paraId="20AB6029">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AEC00AA">
            <w:pPr>
              <w:spacing w:after="0"/>
              <w:ind w:left="118"/>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7.6.1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0079BED">
            <w:pPr>
              <w:spacing w:after="0"/>
              <w:ind w:left="113"/>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履约保证金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21E9F0D">
            <w:pPr>
              <w:spacing w:after="154"/>
              <w:ind w:left="10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是否要求中标人提交履约保证金： </w:t>
            </w:r>
          </w:p>
          <w:p w14:paraId="351A79C9">
            <w:pPr>
              <w:spacing w:after="0" w:line="417" w:lineRule="auto"/>
              <w:ind w:left="948" w:hanging="84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□要求，履约保证金的形式：</w:t>
            </w:r>
            <w:r>
              <w:rPr>
                <w:rFonts w:hint="eastAsia" w:ascii="宋体" w:hAnsi="宋体" w:eastAsia="宋体" w:cs="宋体"/>
                <w:color w:val="auto"/>
                <w:sz w:val="21"/>
                <w:szCs w:val="21"/>
                <w:highlight w:val="none"/>
                <w:u w:val="single"/>
              </w:rPr>
              <w:t>/</w:t>
            </w:r>
          </w:p>
          <w:p w14:paraId="3E04ABD2">
            <w:pPr>
              <w:spacing w:after="0" w:line="417" w:lineRule="auto"/>
              <w:ind w:left="948" w:hanging="8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履约保证金的金额：中标价款的10%。</w:t>
            </w:r>
          </w:p>
          <w:p w14:paraId="7DBB1AC7">
            <w:pPr>
              <w:spacing w:after="0"/>
              <w:ind w:left="10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不要求 </w:t>
            </w:r>
          </w:p>
        </w:tc>
      </w:tr>
      <w:tr w14:paraId="783081C6">
        <w:tblPrEx>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F3B7CD1">
            <w:pPr>
              <w:spacing w:after="0"/>
              <w:ind w:left="113"/>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9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0B71969">
            <w:pPr>
              <w:spacing w:after="0"/>
              <w:ind w:left="115"/>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是否采用电子招标投标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0539A9F">
            <w:pPr>
              <w:adjustRightInd w:val="0"/>
              <w:snapToGrid w:val="0"/>
              <w:spacing w:after="0"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□否 </w:t>
            </w:r>
          </w:p>
          <w:p w14:paraId="5D2D63A5">
            <w:pPr>
              <w:adjustRightInd w:val="0"/>
              <w:snapToGrid w:val="0"/>
              <w:spacing w:after="0" w:line="400" w:lineRule="exact"/>
              <w:jc w:val="both"/>
              <w:rPr>
                <w:rFonts w:hint="eastAsia" w:ascii="宋体" w:hAnsi="宋体" w:eastAsia="宋体" w:cs="宋体"/>
                <w:color w:val="auto"/>
                <w:sz w:val="21"/>
                <w:szCs w:val="21"/>
                <w:highlight w:val="none"/>
              </w:rPr>
            </w:pPr>
            <w:r>
              <w:rPr>
                <w:rFonts w:hint="eastAsia" w:ascii="MS Gothic" w:hAnsi="MS Gothic" w:eastAsia="MS Gothic" w:cs="MS Gothic"/>
                <w:color w:val="auto"/>
                <w:sz w:val="21"/>
                <w:szCs w:val="21"/>
                <w:highlight w:val="none"/>
              </w:rPr>
              <w:t>☑</w:t>
            </w:r>
            <w:r>
              <w:rPr>
                <w:rFonts w:hint="eastAsia" w:ascii="宋体" w:hAnsi="宋体" w:eastAsia="宋体" w:cs="宋体"/>
                <w:color w:val="auto"/>
                <w:sz w:val="21"/>
                <w:szCs w:val="21"/>
                <w:highlight w:val="none"/>
              </w:rPr>
              <w:t>是，具体要求：</w:t>
            </w:r>
          </w:p>
          <w:p w14:paraId="723455BE">
            <w:pPr>
              <w:snapToGrid w:val="0"/>
              <w:spacing w:after="0" w:line="400" w:lineRule="exact"/>
              <w:rPr>
                <w:rFonts w:ascii="宋体" w:hAnsi="宋体" w:eastAsia="宋体"/>
                <w:color w:val="auto"/>
                <w:sz w:val="21"/>
                <w:szCs w:val="21"/>
                <w:highlight w:val="none"/>
                <w:u w:val="single"/>
              </w:rPr>
            </w:pPr>
            <w:r>
              <w:rPr>
                <w:rFonts w:hint="eastAsia" w:ascii="宋体" w:hAnsi="宋体" w:eastAsia="宋体" w:cs="Courier New"/>
                <w:color w:val="auto"/>
                <w:sz w:val="21"/>
                <w:szCs w:val="21"/>
                <w:highlight w:val="none"/>
                <w:u w:val="single"/>
              </w:rPr>
              <w:t>1.</w:t>
            </w:r>
            <w:r>
              <w:rPr>
                <w:rFonts w:hint="eastAsia" w:ascii="宋体" w:hAnsi="宋体" w:eastAsia="宋体" w:cs="宋体"/>
                <w:color w:val="auto"/>
                <w:sz w:val="21"/>
                <w:szCs w:val="21"/>
                <w:highlight w:val="none"/>
                <w:u w:val="single"/>
              </w:rPr>
              <w:t>具体操作详见广州交易集团有限公司（广州公共资源交易中心）网站最新发布的《房屋建筑和市政基础设施工程全流程电子化项目专章》。</w:t>
            </w:r>
          </w:p>
          <w:p w14:paraId="6061D16A">
            <w:pPr>
              <w:snapToGrid w:val="0"/>
              <w:spacing w:after="0" w:line="400" w:lineRule="exact"/>
              <w:rPr>
                <w:rFonts w:hint="eastAsia" w:ascii="宋体" w:hAnsi="宋体" w:eastAsia="宋体" w:cs="Courier New"/>
                <w:color w:val="auto"/>
                <w:sz w:val="21"/>
                <w:szCs w:val="21"/>
                <w:highlight w:val="none"/>
                <w:u w:val="single"/>
              </w:rPr>
            </w:pPr>
            <w:r>
              <w:rPr>
                <w:rFonts w:hint="eastAsia" w:ascii="宋体" w:hAnsi="宋体" w:eastAsia="宋体" w:cs="Courier New"/>
                <w:color w:val="auto"/>
                <w:sz w:val="21"/>
                <w:szCs w:val="21"/>
                <w:highlight w:val="none"/>
                <w:u w:val="single"/>
              </w:rPr>
              <w:t>2.</w:t>
            </w:r>
            <w:r>
              <w:rPr>
                <w:rFonts w:hint="eastAsia" w:ascii="宋体" w:hAnsi="宋体" w:eastAsia="宋体" w:cs="宋体"/>
                <w:color w:val="auto"/>
                <w:sz w:val="21"/>
                <w:szCs w:val="21"/>
                <w:highlight w:val="none"/>
                <w:u w:val="single"/>
              </w:rPr>
              <w:t>提交投标文件光盘备用</w:t>
            </w:r>
          </w:p>
          <w:p w14:paraId="2910A848">
            <w:pPr>
              <w:snapToGrid w:val="0"/>
              <w:spacing w:after="0" w:line="400" w:lineRule="exact"/>
              <w:rPr>
                <w:rFonts w:hint="eastAsia" w:ascii="宋体" w:hAnsi="宋体" w:eastAsia="宋体" w:cs="Times New Roman"/>
                <w:color w:val="auto"/>
                <w:sz w:val="21"/>
                <w:szCs w:val="21"/>
                <w:highlight w:val="none"/>
                <w:u w:val="single"/>
              </w:rPr>
            </w:pPr>
            <w:r>
              <w:rPr>
                <w:rFonts w:hint="eastAsia" w:ascii="宋体" w:hAnsi="宋体" w:eastAsia="宋体" w:cs="宋体"/>
                <w:color w:val="auto"/>
                <w:sz w:val="21"/>
                <w:szCs w:val="21"/>
                <w:highlight w:val="none"/>
                <w:u w:val="single"/>
              </w:rPr>
              <w:t>投标人将按《房屋建筑和市政基础设施工程全流程电子化项目专章》的操作方法制作的非加密的电子投标文件刻入光盘（</w:t>
            </w:r>
            <w:r>
              <w:rPr>
                <w:rFonts w:hint="eastAsia" w:ascii="宋体" w:hAnsi="宋体" w:eastAsia="宋体"/>
                <w:color w:val="auto"/>
                <w:sz w:val="21"/>
                <w:szCs w:val="21"/>
                <w:highlight w:val="none"/>
                <w:u w:val="single"/>
              </w:rPr>
              <w:t>1</w:t>
            </w:r>
            <w:r>
              <w:rPr>
                <w:rFonts w:hint="eastAsia" w:ascii="宋体" w:hAnsi="宋体" w:eastAsia="宋体" w:cs="宋体"/>
                <w:color w:val="auto"/>
                <w:sz w:val="21"/>
                <w:szCs w:val="21"/>
                <w:highlight w:val="none"/>
                <w:u w:val="single"/>
              </w:rPr>
              <w:t>份），在开标现场（投标截止时间前）提交备用。刻录好的投标文件光盘密封在密封袋中，并在封口处加盖投标人单位公章。密封袋上应写明的内容见投标人须知前附表要求</w:t>
            </w:r>
            <w:r>
              <w:rPr>
                <w:rFonts w:hint="eastAsia" w:ascii="宋体" w:hAnsi="宋体" w:eastAsia="宋体"/>
                <w:color w:val="auto"/>
                <w:sz w:val="21"/>
                <w:szCs w:val="21"/>
                <w:highlight w:val="none"/>
                <w:u w:val="single"/>
              </w:rPr>
              <w:t>4.1.2</w:t>
            </w:r>
            <w:r>
              <w:rPr>
                <w:rFonts w:hint="eastAsia" w:ascii="宋体" w:hAnsi="宋体" w:eastAsia="宋体" w:cs="宋体"/>
                <w:color w:val="auto"/>
                <w:sz w:val="21"/>
                <w:szCs w:val="21"/>
                <w:highlight w:val="none"/>
                <w:u w:val="single"/>
              </w:rPr>
              <w:t>。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14:paraId="5FE76E9A">
            <w:pPr>
              <w:snapToGrid w:val="0"/>
              <w:spacing w:after="0" w:line="400" w:lineRule="exact"/>
              <w:ind w:firstLine="210" w:firstLineChars="1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3.</w:t>
            </w:r>
            <w:r>
              <w:rPr>
                <w:rFonts w:hint="eastAsia" w:ascii="宋体" w:hAnsi="宋体" w:eastAsia="宋体" w:cs="宋体"/>
                <w:color w:val="auto"/>
                <w:sz w:val="21"/>
                <w:szCs w:val="21"/>
                <w:highlight w:val="none"/>
                <w:u w:val="single"/>
              </w:rPr>
              <w:t>补救方案</w:t>
            </w:r>
          </w:p>
          <w:p w14:paraId="5A06CE47">
            <w:pPr>
              <w:snapToGrid w:val="0"/>
              <w:spacing w:after="0" w:line="400" w:lineRule="exact"/>
              <w:rPr>
                <w:rFonts w:hint="eastAsia" w:ascii="宋体" w:hAnsi="宋体" w:eastAsia="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olor w:val="auto"/>
                <w:sz w:val="21"/>
                <w:szCs w:val="21"/>
                <w:highlight w:val="none"/>
                <w:u w:val="single"/>
              </w:rPr>
              <w:t>1</w:t>
            </w:r>
            <w:r>
              <w:rPr>
                <w:rFonts w:hint="eastAsia" w:ascii="宋体" w:hAnsi="宋体" w:eastAsia="宋体" w:cs="宋体"/>
                <w:color w:val="auto"/>
                <w:sz w:val="21"/>
                <w:szCs w:val="21"/>
                <w:highlight w:val="none"/>
                <w:u w:val="single"/>
              </w:rPr>
              <w:t>）投标文件解密失败的补救方案：</w:t>
            </w:r>
          </w:p>
          <w:p w14:paraId="1312986E">
            <w:pPr>
              <w:snapToGrid w:val="0"/>
              <w:spacing w:after="0" w:line="400" w:lineRule="exact"/>
              <w:ind w:firstLine="315" w:firstLineChars="150"/>
              <w:rPr>
                <w:rFonts w:hint="eastAsia" w:ascii="宋体" w:hAnsi="宋体" w:eastAsia="宋体"/>
                <w:color w:val="auto"/>
                <w:sz w:val="21"/>
                <w:szCs w:val="21"/>
                <w:highlight w:val="none"/>
                <w:u w:val="single"/>
              </w:rPr>
            </w:pPr>
            <w:r>
              <w:rPr>
                <w:rFonts w:hint="eastAsia" w:ascii="宋体" w:hAnsi="宋体" w:eastAsia="宋体" w:cs="宋体"/>
                <w:color w:val="auto"/>
                <w:sz w:val="21"/>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53836E9C">
            <w:pPr>
              <w:snapToGrid w:val="0"/>
              <w:spacing w:after="0" w:line="400" w:lineRule="exact"/>
              <w:rPr>
                <w:rFonts w:hint="eastAsia" w:ascii="宋体" w:hAnsi="宋体" w:eastAsia="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olor w:val="auto"/>
                <w:sz w:val="21"/>
                <w:szCs w:val="21"/>
                <w:highlight w:val="none"/>
                <w:u w:val="single"/>
              </w:rPr>
              <w:t>2</w:t>
            </w:r>
            <w:r>
              <w:rPr>
                <w:rFonts w:hint="eastAsia" w:ascii="宋体" w:hAnsi="宋体" w:eastAsia="宋体" w:cs="宋体"/>
                <w:color w:val="auto"/>
                <w:sz w:val="21"/>
                <w:szCs w:val="21"/>
                <w:highlight w:val="none"/>
                <w:u w:val="single"/>
              </w:rPr>
              <w:t>）评标时突发情况的补救方案</w:t>
            </w:r>
          </w:p>
          <w:p w14:paraId="1253506A">
            <w:pPr>
              <w:snapToGrid w:val="0"/>
              <w:spacing w:after="0" w:line="400" w:lineRule="exact"/>
              <w:ind w:firstLine="315" w:firstLineChars="150"/>
              <w:rPr>
                <w:rFonts w:hint="eastAsia" w:ascii="宋体" w:hAnsi="宋体" w:eastAsia="宋体"/>
                <w:color w:val="auto"/>
                <w:sz w:val="21"/>
                <w:szCs w:val="21"/>
                <w:highlight w:val="none"/>
                <w:u w:val="single"/>
              </w:rPr>
            </w:pPr>
            <w:r>
              <w:rPr>
                <w:rFonts w:hint="eastAsia" w:ascii="宋体" w:hAnsi="宋体" w:eastAsia="宋体" w:cs="宋体"/>
                <w:color w:val="auto"/>
                <w:sz w:val="21"/>
                <w:szCs w:val="21"/>
                <w:highlight w:val="none"/>
                <w:u w:val="single"/>
              </w:rPr>
              <w:t>若遇不可抗力发生（如：网络瘫痪、服务器损坏、交易系统故障短期无法恢复等因素），由评标委员会开启递交的全部投标文件光盘，并按光盘内容进行评审。</w:t>
            </w:r>
          </w:p>
          <w:p w14:paraId="3113F941">
            <w:pPr>
              <w:pStyle w:val="2"/>
              <w:snapToGrid w:val="0"/>
              <w:spacing w:after="0" w:line="400" w:lineRule="exact"/>
              <w:rPr>
                <w:rFonts w:hint="eastAsia" w:hAnsi="宋体" w:eastAsia="宋体" w:cs="宋体"/>
                <w:color w:val="auto"/>
                <w:sz w:val="21"/>
                <w:szCs w:val="21"/>
                <w:highlight w:val="none"/>
              </w:rPr>
            </w:pPr>
            <w:r>
              <w:rPr>
                <w:rFonts w:hint="eastAsia" w:hAnsi="宋体" w:eastAsia="宋体" w:cs="宋体"/>
                <w:color w:val="auto"/>
                <w:sz w:val="21"/>
                <w:szCs w:val="21"/>
                <w:highlight w:val="none"/>
                <w:u w:val="single"/>
              </w:rPr>
              <w:t>（</w:t>
            </w:r>
            <w:r>
              <w:rPr>
                <w:rFonts w:hint="eastAsia" w:hAnsi="宋体" w:eastAsia="宋体"/>
                <w:color w:val="auto"/>
                <w:sz w:val="21"/>
                <w:szCs w:val="21"/>
                <w:highlight w:val="none"/>
                <w:u w:val="single"/>
              </w:rPr>
              <w:t>3</w:t>
            </w:r>
            <w:r>
              <w:rPr>
                <w:rFonts w:hint="eastAsia" w:hAnsi="宋体" w:eastAsia="宋体" w:cs="宋体"/>
                <w:color w:val="auto"/>
                <w:sz w:val="21"/>
                <w:szCs w:val="21"/>
                <w:highlight w:val="none"/>
                <w:u w:val="single"/>
              </w:rPr>
              <w:t>）除发生上述情况外，开标评标均以投标人通过交易平台网上递交的电子投标文件为准。</w:t>
            </w:r>
          </w:p>
        </w:tc>
      </w:tr>
      <w:tr w14:paraId="64C8CF7A">
        <w:tblPrEx>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F6595A6">
            <w:pPr>
              <w:spacing w:after="0"/>
              <w:ind w:left="113"/>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10 </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ABD399F">
            <w:pPr>
              <w:spacing w:after="0"/>
              <w:ind w:left="112"/>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需要补充的其他内容 </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EDB29C1">
            <w:pPr>
              <w:adjustRightInd w:val="0"/>
              <w:snapToGrid w:val="0"/>
              <w:spacing w:after="0" w:line="400" w:lineRule="exact"/>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1、中标人须在中标后提供与电子投标文件一致的纸质版投标文件一正三副、电子光盘一份。</w:t>
            </w:r>
          </w:p>
          <w:p w14:paraId="3CBC1E5F">
            <w:pPr>
              <w:pStyle w:val="2"/>
              <w:snapToGrid w:val="0"/>
              <w:spacing w:after="0" w:line="400" w:lineRule="exact"/>
              <w:rPr>
                <w:rFonts w:hint="eastAsia" w:hAnsi="宋体" w:eastAsia="宋体" w:cs="宋体"/>
                <w:color w:val="auto"/>
                <w:sz w:val="21"/>
                <w:szCs w:val="21"/>
                <w:highlight w:val="none"/>
                <w:u w:val="single"/>
              </w:rPr>
            </w:pPr>
            <w:r>
              <w:rPr>
                <w:rFonts w:hint="eastAsia" w:hAnsi="宋体" w:eastAsia="宋体"/>
                <w:color w:val="auto"/>
                <w:sz w:val="21"/>
                <w:szCs w:val="21"/>
                <w:highlight w:val="none"/>
                <w:u w:val="single"/>
              </w:rPr>
              <w:t>2、交易服务费：中标人按规定，向广州交易集团有限公司（广州公共资源交易中心）缴纳交易服务费，其费用包含在中标人投标报价中，招标人不另行支付。</w:t>
            </w:r>
          </w:p>
        </w:tc>
      </w:tr>
    </w:tbl>
    <w:p w14:paraId="47E09715">
      <w:pPr>
        <w:spacing w:after="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9FD4F8">
      <w:pPr>
        <w:pStyle w:val="4"/>
        <w:spacing w:after="500" w:line="262" w:lineRule="auto"/>
        <w:ind w:left="-5" w:right="0"/>
        <w:rPr>
          <w:rFonts w:hint="eastAsia" w:ascii="宋体" w:hAnsi="宋体" w:eastAsia="宋体" w:cs="宋体"/>
          <w:color w:val="auto"/>
          <w:highlight w:val="none"/>
        </w:rPr>
      </w:pPr>
      <w:bookmarkStart w:id="8" w:name="_Toc526894972"/>
      <w:bookmarkStart w:id="9" w:name="_Toc22584"/>
      <w:bookmarkStart w:id="10" w:name="_Toc25679_WPSOffice_Level2"/>
      <w:bookmarkStart w:id="11" w:name="_Toc8462_WPSOffice_Level2"/>
      <w:r>
        <w:rPr>
          <w:rFonts w:hint="eastAsia" w:ascii="宋体" w:hAnsi="宋体" w:eastAsia="宋体" w:cs="宋体"/>
          <w:b/>
          <w:color w:val="auto"/>
          <w:sz w:val="32"/>
          <w:highlight w:val="none"/>
        </w:rPr>
        <w:t xml:space="preserve">1. </w:t>
      </w:r>
      <w:r>
        <w:rPr>
          <w:rFonts w:hint="eastAsia" w:ascii="宋体" w:hAnsi="宋体" w:eastAsia="宋体" w:cs="宋体"/>
          <w:color w:val="auto"/>
          <w:sz w:val="32"/>
          <w:highlight w:val="none"/>
        </w:rPr>
        <w:t>总则</w:t>
      </w:r>
      <w:bookmarkEnd w:id="8"/>
      <w:bookmarkEnd w:id="9"/>
      <w:bookmarkEnd w:id="10"/>
      <w:bookmarkEnd w:id="11"/>
      <w:r>
        <w:rPr>
          <w:rFonts w:hint="eastAsia" w:ascii="宋体" w:hAnsi="宋体" w:eastAsia="宋体" w:cs="宋体"/>
          <w:b/>
          <w:color w:val="auto"/>
          <w:sz w:val="32"/>
          <w:highlight w:val="none"/>
        </w:rPr>
        <w:t xml:space="preserve"> </w:t>
      </w:r>
    </w:p>
    <w:p w14:paraId="284C8CC5">
      <w:pPr>
        <w:pStyle w:val="6"/>
        <w:spacing w:after="0" w:line="480" w:lineRule="auto"/>
        <w:ind w:left="132" w:right="0"/>
        <w:rPr>
          <w:rFonts w:hint="eastAsia" w:ascii="宋体" w:hAnsi="宋体" w:eastAsia="宋体" w:cs="宋体"/>
          <w:color w:val="auto"/>
          <w:highlight w:val="none"/>
        </w:rPr>
      </w:pPr>
      <w:bookmarkStart w:id="12" w:name="_Toc526894973"/>
      <w:r>
        <w:rPr>
          <w:rFonts w:hint="eastAsia" w:ascii="宋体" w:hAnsi="宋体" w:eastAsia="宋体" w:cs="宋体"/>
          <w:color w:val="auto"/>
          <w:highlight w:val="none"/>
        </w:rPr>
        <w:t>1.1 招标项目概况</w:t>
      </w:r>
      <w:bookmarkEnd w:id="12"/>
      <w:r>
        <w:rPr>
          <w:rFonts w:hint="eastAsia" w:ascii="宋体" w:hAnsi="宋体" w:eastAsia="宋体" w:cs="宋体"/>
          <w:color w:val="auto"/>
          <w:highlight w:val="none"/>
        </w:rPr>
        <w:t xml:space="preserve"> </w:t>
      </w:r>
    </w:p>
    <w:p w14:paraId="0E50E375">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1.1.1 根据《中华人民共和国招标投标法》、《中华人民共和国招标投标法实施条例》等有关法律、法规和规章的规定，本招标项目已具备招标条件，现对检测进行招标。 </w:t>
      </w:r>
    </w:p>
    <w:p w14:paraId="1D427B5C">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1.1.2 招标人：见投标人须知前附表。 </w:t>
      </w:r>
    </w:p>
    <w:p w14:paraId="1E192460">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1.1.3 招标代理机构：见投标人须知前附表。 </w:t>
      </w:r>
    </w:p>
    <w:p w14:paraId="53325B70">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1.1.4 招标项目名称：见投标人须知前附表。 </w:t>
      </w:r>
    </w:p>
    <w:p w14:paraId="2DA2C7EF">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1.1.5 项目建设地点：见投标人须知前附表。 </w:t>
      </w:r>
    </w:p>
    <w:p w14:paraId="7CBB4229">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1.1.6 项目建设规模：见投标人须知前附表。 </w:t>
      </w:r>
    </w:p>
    <w:p w14:paraId="4DE560B6">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1.1.7 项目投资估算：见投标人须知前附表。 </w:t>
      </w:r>
    </w:p>
    <w:p w14:paraId="211A7A15">
      <w:pPr>
        <w:pStyle w:val="6"/>
        <w:spacing w:after="0" w:line="480" w:lineRule="auto"/>
        <w:ind w:left="132" w:right="0"/>
        <w:rPr>
          <w:rFonts w:hint="eastAsia" w:ascii="宋体" w:hAnsi="宋体" w:eastAsia="宋体" w:cs="宋体"/>
          <w:color w:val="auto"/>
          <w:highlight w:val="none"/>
        </w:rPr>
      </w:pPr>
      <w:bookmarkStart w:id="13" w:name="_Toc526894974"/>
      <w:r>
        <w:rPr>
          <w:rFonts w:hint="eastAsia" w:ascii="宋体" w:hAnsi="宋体" w:eastAsia="宋体" w:cs="宋体"/>
          <w:color w:val="auto"/>
          <w:highlight w:val="none"/>
        </w:rPr>
        <w:t>1.2 招标项目的资金来源和落实情况</w:t>
      </w:r>
      <w:bookmarkEnd w:id="13"/>
      <w:r>
        <w:rPr>
          <w:rFonts w:hint="eastAsia" w:ascii="宋体" w:hAnsi="宋体" w:eastAsia="宋体" w:cs="宋体"/>
          <w:color w:val="auto"/>
          <w:highlight w:val="none"/>
        </w:rPr>
        <w:t xml:space="preserve"> </w:t>
      </w:r>
    </w:p>
    <w:p w14:paraId="61859395">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1.2.1 资金来源及比例：见投标人须知前附表。 </w:t>
      </w:r>
    </w:p>
    <w:p w14:paraId="7173DD42">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1.2.2 资金落实情况：见投标人须知前附表。 </w:t>
      </w:r>
    </w:p>
    <w:p w14:paraId="33557466">
      <w:pPr>
        <w:pStyle w:val="6"/>
        <w:spacing w:after="0" w:line="480" w:lineRule="auto"/>
        <w:ind w:left="132" w:right="0"/>
        <w:rPr>
          <w:rFonts w:hint="eastAsia" w:ascii="宋体" w:hAnsi="宋体" w:eastAsia="宋体" w:cs="宋体"/>
          <w:color w:val="auto"/>
          <w:highlight w:val="none"/>
        </w:rPr>
      </w:pPr>
      <w:bookmarkStart w:id="14" w:name="_Toc526894975"/>
      <w:r>
        <w:rPr>
          <w:rFonts w:hint="eastAsia" w:ascii="宋体" w:hAnsi="宋体" w:eastAsia="宋体" w:cs="宋体"/>
          <w:color w:val="auto"/>
          <w:highlight w:val="none"/>
        </w:rPr>
        <w:t>1.3 招标范围、服务期限和质量标准</w:t>
      </w:r>
      <w:bookmarkEnd w:id="14"/>
      <w:r>
        <w:rPr>
          <w:rFonts w:hint="eastAsia" w:ascii="宋体" w:hAnsi="宋体" w:eastAsia="宋体" w:cs="宋体"/>
          <w:color w:val="auto"/>
          <w:highlight w:val="none"/>
        </w:rPr>
        <w:t xml:space="preserve"> </w:t>
      </w:r>
    </w:p>
    <w:p w14:paraId="1790291D">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1.3.1 招标范围：见投标人须知前附表。 </w:t>
      </w:r>
    </w:p>
    <w:p w14:paraId="234AA98C">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1.3.2服务期限：见投标人须知前附表。 </w:t>
      </w:r>
    </w:p>
    <w:p w14:paraId="44117D80">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1.3.3 质量标准：见投标人须知前附表。 </w:t>
      </w:r>
    </w:p>
    <w:p w14:paraId="3379802D">
      <w:pPr>
        <w:pStyle w:val="6"/>
        <w:spacing w:after="0" w:line="480" w:lineRule="auto"/>
        <w:ind w:left="132" w:right="0"/>
        <w:rPr>
          <w:rFonts w:hint="eastAsia" w:ascii="宋体" w:hAnsi="宋体" w:eastAsia="宋体" w:cs="宋体"/>
          <w:color w:val="auto"/>
          <w:highlight w:val="none"/>
        </w:rPr>
      </w:pPr>
      <w:bookmarkStart w:id="15" w:name="_Toc526894976"/>
      <w:r>
        <w:rPr>
          <w:rFonts w:hint="eastAsia" w:ascii="宋体" w:hAnsi="宋体" w:eastAsia="宋体" w:cs="宋体"/>
          <w:color w:val="auto"/>
          <w:highlight w:val="none"/>
        </w:rPr>
        <w:t>1.4 投标人资格要求</w:t>
      </w:r>
      <w:bookmarkEnd w:id="15"/>
      <w:r>
        <w:rPr>
          <w:rFonts w:hint="eastAsia" w:ascii="宋体" w:hAnsi="宋体" w:eastAsia="宋体" w:cs="宋体"/>
          <w:color w:val="auto"/>
          <w:highlight w:val="none"/>
        </w:rPr>
        <w:t xml:space="preserve"> </w:t>
      </w:r>
    </w:p>
    <w:p w14:paraId="634F90C8">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1.4.1 投标人应具备承担本招标项目资质条件、能力和信誉： </w:t>
      </w:r>
    </w:p>
    <w:p w14:paraId="0F3EF26E">
      <w:pPr>
        <w:spacing w:after="0" w:line="480" w:lineRule="auto"/>
        <w:ind w:left="324"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w:t>
      </w:r>
      <w:r>
        <w:rPr>
          <w:rFonts w:hint="eastAsia" w:ascii="宋体" w:hAnsi="宋体" w:eastAsia="宋体" w:cs="宋体"/>
          <w:color w:val="auto"/>
          <w:sz w:val="21"/>
          <w:highlight w:val="none"/>
          <w:u w:val="single"/>
        </w:rPr>
        <w:t>具体要求见招标公告；</w:t>
      </w:r>
    </w:p>
    <w:p w14:paraId="1A44AAC8">
      <w:pPr>
        <w:spacing w:after="0" w:line="480" w:lineRule="auto"/>
        <w:ind w:left="324" w:hanging="10"/>
        <w:rPr>
          <w:rFonts w:hint="eastAsia" w:ascii="宋体" w:hAnsi="宋体" w:eastAsia="宋体" w:cs="宋体"/>
          <w:strike/>
          <w:color w:val="auto"/>
          <w:highlight w:val="none"/>
        </w:rPr>
      </w:pPr>
      <w:r>
        <w:rPr>
          <w:rFonts w:hint="eastAsia" w:ascii="宋体" w:hAnsi="宋体" w:eastAsia="宋体" w:cs="宋体"/>
          <w:color w:val="auto"/>
          <w:sz w:val="21"/>
          <w:highlight w:val="none"/>
        </w:rPr>
        <w:t>（2）</w:t>
      </w:r>
      <w:r>
        <w:rPr>
          <w:rFonts w:hint="eastAsia" w:ascii="宋体" w:hAnsi="宋体" w:eastAsia="宋体" w:cs="宋体"/>
          <w:strike/>
          <w:color w:val="auto"/>
          <w:sz w:val="21"/>
          <w:highlight w:val="none"/>
        </w:rPr>
        <w:t xml:space="preserve">财务要求：见投标人须知前附表； </w:t>
      </w:r>
    </w:p>
    <w:p w14:paraId="4DFC75A6">
      <w:pPr>
        <w:numPr>
          <w:ilvl w:val="0"/>
          <w:numId w:val="1"/>
        </w:numPr>
        <w:spacing w:after="0" w:line="480" w:lineRule="auto"/>
        <w:ind w:hanging="526"/>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业绩要求：见投标人须知前附表； </w:t>
      </w:r>
    </w:p>
    <w:p w14:paraId="3DE79444">
      <w:pPr>
        <w:numPr>
          <w:ilvl w:val="0"/>
          <w:numId w:val="1"/>
        </w:numPr>
        <w:spacing w:after="0" w:line="480" w:lineRule="auto"/>
        <w:ind w:hanging="526"/>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信誉要求：见投标人须知前附表； </w:t>
      </w:r>
    </w:p>
    <w:p w14:paraId="2B7E3C40">
      <w:pPr>
        <w:numPr>
          <w:ilvl w:val="0"/>
          <w:numId w:val="1"/>
        </w:numPr>
        <w:spacing w:after="0" w:line="480" w:lineRule="auto"/>
        <w:ind w:hanging="526"/>
        <w:rPr>
          <w:rFonts w:hint="eastAsia" w:ascii="宋体" w:hAnsi="宋体" w:eastAsia="宋体" w:cs="宋体"/>
          <w:color w:val="auto"/>
          <w:highlight w:val="none"/>
          <w:u w:val="single"/>
        </w:rPr>
      </w:pPr>
      <w:r>
        <w:rPr>
          <w:rFonts w:hint="eastAsia" w:ascii="宋体" w:hAnsi="宋体" w:eastAsia="宋体" w:cs="宋体"/>
          <w:color w:val="auto"/>
          <w:sz w:val="21"/>
          <w:highlight w:val="none"/>
        </w:rPr>
        <w:t>项目负责人的资格要求：</w:t>
      </w:r>
      <w:r>
        <w:rPr>
          <w:rFonts w:hint="eastAsia" w:ascii="宋体" w:hAnsi="宋体" w:eastAsia="宋体" w:cs="宋体"/>
          <w:color w:val="auto"/>
          <w:sz w:val="21"/>
          <w:highlight w:val="none"/>
          <w:u w:val="single"/>
        </w:rPr>
        <w:t xml:space="preserve">具体要求见招标公告； </w:t>
      </w:r>
    </w:p>
    <w:p w14:paraId="2312CC2F">
      <w:pPr>
        <w:numPr>
          <w:ilvl w:val="0"/>
          <w:numId w:val="1"/>
        </w:numPr>
        <w:spacing w:after="0" w:line="480" w:lineRule="auto"/>
        <w:ind w:hanging="526"/>
        <w:rPr>
          <w:rFonts w:hint="eastAsia" w:ascii="宋体" w:hAnsi="宋体" w:eastAsia="宋体" w:cs="宋体"/>
          <w:strike/>
          <w:color w:val="auto"/>
          <w:highlight w:val="none"/>
        </w:rPr>
      </w:pPr>
      <w:r>
        <w:rPr>
          <w:rFonts w:hint="eastAsia" w:ascii="宋体" w:hAnsi="宋体" w:eastAsia="宋体" w:cs="宋体"/>
          <w:strike/>
          <w:color w:val="auto"/>
          <w:sz w:val="21"/>
          <w:highlight w:val="none"/>
        </w:rPr>
        <w:t>其他主要人员要求：见投标人须知前附表。</w:t>
      </w:r>
    </w:p>
    <w:p w14:paraId="47318910">
      <w:pPr>
        <w:numPr>
          <w:ilvl w:val="0"/>
          <w:numId w:val="1"/>
        </w:numPr>
        <w:spacing w:after="0" w:line="480" w:lineRule="auto"/>
        <w:ind w:hanging="526"/>
        <w:rPr>
          <w:rFonts w:hint="eastAsia" w:ascii="宋体" w:hAnsi="宋体" w:eastAsia="宋体" w:cs="宋体"/>
          <w:color w:val="auto"/>
          <w:highlight w:val="none"/>
        </w:rPr>
      </w:pPr>
      <w:r>
        <w:rPr>
          <w:rFonts w:hint="eastAsia" w:ascii="宋体" w:hAnsi="宋体" w:eastAsia="宋体" w:cs="宋体"/>
          <w:strike/>
          <w:color w:val="auto"/>
          <w:sz w:val="21"/>
          <w:highlight w:val="none"/>
        </w:rPr>
        <w:t>检测设备要求：见投标人须知前附表。</w:t>
      </w:r>
      <w:r>
        <w:rPr>
          <w:rFonts w:hint="eastAsia" w:ascii="宋体" w:hAnsi="宋体" w:eastAsia="宋体" w:cs="宋体"/>
          <w:color w:val="auto"/>
          <w:sz w:val="21"/>
          <w:highlight w:val="none"/>
        </w:rPr>
        <w:t xml:space="preserve"> </w:t>
      </w:r>
    </w:p>
    <w:p w14:paraId="6F8F2516">
      <w:pPr>
        <w:spacing w:after="0" w:line="480" w:lineRule="auto"/>
        <w:ind w:left="324"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（8）其他要求：见投标人须知前附表。 </w:t>
      </w:r>
    </w:p>
    <w:p w14:paraId="755F66FD">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需要提交的相关证明材料见本章第 3.5 款的规定。 </w:t>
      </w:r>
    </w:p>
    <w:p w14:paraId="56781085">
      <w:pPr>
        <w:spacing w:after="0" w:line="480" w:lineRule="auto"/>
        <w:ind w:left="-15" w:firstLine="420"/>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1.4.2 投标人须知前附表规定接受联合体投标的，联合体除应符合本章第 1.4.1 项和投标人须知前附表的要求外，还应遵守以下规定： </w:t>
      </w:r>
    </w:p>
    <w:p w14:paraId="4E72FF46">
      <w:pPr>
        <w:numPr>
          <w:ilvl w:val="0"/>
          <w:numId w:val="2"/>
        </w:numPr>
        <w:spacing w:after="0" w:line="480" w:lineRule="auto"/>
        <w:ind w:firstLine="314"/>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联合体各方应按招标文件提供的格式签订联合体协议书，明确联合体牵头人和各方权利义务，并承诺就中标项目向招标人承担连带责任； </w:t>
      </w:r>
    </w:p>
    <w:p w14:paraId="0F429F18">
      <w:pPr>
        <w:numPr>
          <w:ilvl w:val="0"/>
          <w:numId w:val="2"/>
        </w:numPr>
        <w:spacing w:after="0" w:line="480" w:lineRule="auto"/>
        <w:ind w:firstLine="314"/>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联合体各方不得再以自己名义单独或参加其他联合体在本招标项目中投标，否则各相关投标均无效。 </w:t>
      </w:r>
    </w:p>
    <w:p w14:paraId="7299E418">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1.4.3 投标人不得存在下列情形之一： </w:t>
      </w:r>
    </w:p>
    <w:p w14:paraId="705F0BF3">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（1）为招标人不具有独立法人资格的附属机构（单位）；</w:t>
      </w:r>
    </w:p>
    <w:p w14:paraId="1F774BE2">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（2）为本次招标项目前期准备提供设计或咨询服务的；</w:t>
      </w:r>
    </w:p>
    <w:p w14:paraId="75F56FB2">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（3）为本次招标项目的监理人；</w:t>
      </w:r>
    </w:p>
    <w:p w14:paraId="0A6286F5">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（4）为本次招标项目的代建人；</w:t>
      </w:r>
    </w:p>
    <w:p w14:paraId="739B0EF9">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（5）为本次招标项目提供招标代理服务的； </w:t>
      </w:r>
    </w:p>
    <w:p w14:paraId="7F75E80B">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（6）与本次招标项目的监理人或代建人或招标代理机构同为一个法定代表人的；</w:t>
      </w:r>
    </w:p>
    <w:p w14:paraId="0025B32C">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（7）与本次招标项目的监理人或代建人或招标代理机构相互控股或参股的；</w:t>
      </w:r>
    </w:p>
    <w:p w14:paraId="6A2F109B">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（8）与本次招标项目的监理人或代建人或招标代理机构相互任职或工作的；</w:t>
      </w:r>
    </w:p>
    <w:p w14:paraId="695C20EC">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（9）被责令停业的；</w:t>
      </w:r>
    </w:p>
    <w:p w14:paraId="6D43BA2E">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（10）被暂停或取消投标资格的；</w:t>
      </w:r>
    </w:p>
    <w:p w14:paraId="7AF73510">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（11）财产被接管或冻结的；</w:t>
      </w:r>
    </w:p>
    <w:p w14:paraId="22236C6E">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（12）单位负责人为同一人或者存在控股、管理关系的不同单位，同时参加本招标项目投标。</w:t>
      </w:r>
    </w:p>
    <w:p w14:paraId="16AA9962">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（13）投标人、投标人主要负责人及拟投入人员在招标投标、合同履行、安全事故方面因违反有关法律、法规规定受到相关行政管理部门的行政处罚，被取消投标资格的。</w:t>
      </w:r>
    </w:p>
    <w:p w14:paraId="695C33E6">
      <w:pPr>
        <w:pStyle w:val="6"/>
        <w:spacing w:after="0" w:line="480" w:lineRule="auto"/>
        <w:ind w:left="132" w:right="0"/>
        <w:rPr>
          <w:rFonts w:hint="eastAsia" w:ascii="宋体" w:hAnsi="宋体" w:eastAsia="宋体" w:cs="宋体"/>
          <w:color w:val="auto"/>
          <w:highlight w:val="none"/>
        </w:rPr>
      </w:pPr>
      <w:bookmarkStart w:id="16" w:name="_Toc526894977"/>
      <w:r>
        <w:rPr>
          <w:rFonts w:hint="eastAsia" w:ascii="宋体" w:hAnsi="宋体" w:eastAsia="宋体" w:cs="宋体"/>
          <w:color w:val="auto"/>
          <w:highlight w:val="none"/>
        </w:rPr>
        <w:t>1.5 费用承担</w:t>
      </w:r>
      <w:bookmarkEnd w:id="16"/>
      <w:r>
        <w:rPr>
          <w:rFonts w:hint="eastAsia" w:ascii="宋体" w:hAnsi="宋体" w:eastAsia="宋体" w:cs="宋体"/>
          <w:color w:val="auto"/>
          <w:highlight w:val="none"/>
        </w:rPr>
        <w:t xml:space="preserve"> </w:t>
      </w:r>
    </w:p>
    <w:p w14:paraId="3D7F7893">
      <w:pPr>
        <w:spacing w:after="0"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投标人准备和参加投标活动发生的费用自理。</w:t>
      </w:r>
    </w:p>
    <w:p w14:paraId="2E7BEE12">
      <w:pPr>
        <w:pStyle w:val="6"/>
        <w:spacing w:after="0" w:line="480" w:lineRule="auto"/>
        <w:ind w:left="132" w:right="0"/>
        <w:rPr>
          <w:rFonts w:hint="eastAsia" w:ascii="宋体" w:hAnsi="宋体" w:eastAsia="宋体" w:cs="宋体"/>
          <w:color w:val="auto"/>
          <w:highlight w:val="none"/>
        </w:rPr>
      </w:pPr>
      <w:bookmarkStart w:id="17" w:name="_Toc526894978"/>
      <w:r>
        <w:rPr>
          <w:rFonts w:hint="eastAsia" w:ascii="宋体" w:hAnsi="宋体" w:eastAsia="宋体" w:cs="宋体"/>
          <w:color w:val="auto"/>
          <w:highlight w:val="none"/>
        </w:rPr>
        <w:t>1.6 保密</w:t>
      </w:r>
      <w:bookmarkEnd w:id="17"/>
      <w:r>
        <w:rPr>
          <w:rFonts w:hint="eastAsia" w:ascii="宋体" w:hAnsi="宋体" w:eastAsia="宋体" w:cs="宋体"/>
          <w:color w:val="auto"/>
          <w:highlight w:val="none"/>
        </w:rPr>
        <w:t xml:space="preserve"> </w:t>
      </w:r>
    </w:p>
    <w:p w14:paraId="25C70375">
      <w:pPr>
        <w:spacing w:after="0" w:line="480" w:lineRule="auto"/>
        <w:ind w:left="-15" w:firstLine="525" w:firstLineChars="25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参与招标投标活动的各方应对招标文件和投标文件中的商业和技术等秘密保密，否则应承担相应的法律责任。 </w:t>
      </w:r>
    </w:p>
    <w:p w14:paraId="7BF6B644">
      <w:pPr>
        <w:pStyle w:val="6"/>
        <w:spacing w:after="0" w:line="480" w:lineRule="auto"/>
        <w:ind w:left="132" w:right="0"/>
        <w:rPr>
          <w:rFonts w:hint="eastAsia" w:ascii="宋体" w:hAnsi="宋体" w:eastAsia="宋体" w:cs="宋体"/>
          <w:color w:val="auto"/>
          <w:highlight w:val="none"/>
        </w:rPr>
      </w:pPr>
      <w:bookmarkStart w:id="18" w:name="_Toc526894979"/>
      <w:r>
        <w:rPr>
          <w:rFonts w:hint="eastAsia" w:ascii="宋体" w:hAnsi="宋体" w:eastAsia="宋体" w:cs="宋体"/>
          <w:color w:val="auto"/>
          <w:highlight w:val="none"/>
        </w:rPr>
        <w:t>1.7 语言文字</w:t>
      </w:r>
      <w:bookmarkEnd w:id="18"/>
      <w:r>
        <w:rPr>
          <w:rFonts w:hint="eastAsia" w:ascii="宋体" w:hAnsi="宋体" w:eastAsia="宋体" w:cs="宋体"/>
          <w:color w:val="auto"/>
          <w:highlight w:val="none"/>
        </w:rPr>
        <w:t xml:space="preserve"> </w:t>
      </w:r>
    </w:p>
    <w:p w14:paraId="76865261">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招标投标文件使用的语言文字为中文。专用术语使用外文的，应附有中文注释。 </w:t>
      </w:r>
    </w:p>
    <w:p w14:paraId="1B8D79B6">
      <w:pPr>
        <w:pStyle w:val="6"/>
        <w:spacing w:after="0" w:line="480" w:lineRule="auto"/>
        <w:ind w:left="132" w:right="0"/>
        <w:rPr>
          <w:rFonts w:hint="eastAsia" w:ascii="宋体" w:hAnsi="宋体" w:eastAsia="宋体" w:cs="宋体"/>
          <w:color w:val="auto"/>
          <w:highlight w:val="none"/>
        </w:rPr>
      </w:pPr>
      <w:bookmarkStart w:id="19" w:name="_Toc526894980"/>
      <w:r>
        <w:rPr>
          <w:rFonts w:hint="eastAsia" w:ascii="宋体" w:hAnsi="宋体" w:eastAsia="宋体" w:cs="宋体"/>
          <w:color w:val="auto"/>
          <w:highlight w:val="none"/>
        </w:rPr>
        <w:t>1.8 计量单位</w:t>
      </w:r>
      <w:bookmarkEnd w:id="19"/>
      <w:r>
        <w:rPr>
          <w:rFonts w:hint="eastAsia" w:ascii="宋体" w:hAnsi="宋体" w:eastAsia="宋体" w:cs="宋体"/>
          <w:color w:val="auto"/>
          <w:highlight w:val="none"/>
        </w:rPr>
        <w:t xml:space="preserve"> </w:t>
      </w:r>
    </w:p>
    <w:p w14:paraId="5C530C97">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所有计量均采用中华人民共和国法定计量单位。 </w:t>
      </w:r>
    </w:p>
    <w:p w14:paraId="3508CF3A">
      <w:pPr>
        <w:pStyle w:val="6"/>
        <w:spacing w:after="0" w:line="480" w:lineRule="auto"/>
        <w:ind w:left="132" w:right="0"/>
        <w:rPr>
          <w:rFonts w:hint="eastAsia" w:ascii="宋体" w:hAnsi="宋体" w:eastAsia="宋体" w:cs="宋体"/>
          <w:color w:val="auto"/>
          <w:highlight w:val="none"/>
        </w:rPr>
      </w:pPr>
      <w:bookmarkStart w:id="20" w:name="_Toc526894981"/>
      <w:r>
        <w:rPr>
          <w:rFonts w:hint="eastAsia" w:ascii="宋体" w:hAnsi="宋体" w:eastAsia="宋体" w:cs="宋体"/>
          <w:color w:val="auto"/>
          <w:highlight w:val="none"/>
        </w:rPr>
        <w:t>1.9 踏勘现场</w:t>
      </w:r>
      <w:bookmarkEnd w:id="20"/>
      <w:r>
        <w:rPr>
          <w:rFonts w:hint="eastAsia" w:ascii="宋体" w:hAnsi="宋体" w:eastAsia="宋体" w:cs="宋体"/>
          <w:color w:val="auto"/>
          <w:highlight w:val="none"/>
        </w:rPr>
        <w:t xml:space="preserve"> </w:t>
      </w:r>
    </w:p>
    <w:p w14:paraId="3F4CAF8F">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1.9.1 投标人须知前附表规定组织踏勘现场的，招标人按投标人须知前附表规定的时间、地</w:t>
      </w:r>
    </w:p>
    <w:p w14:paraId="0439EB61">
      <w:pPr>
        <w:spacing w:after="0" w:line="480"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点组织投标人踏勘项目现场。部分投标人未按时参加踏勘现场的，不影响踏勘现场的正常进行。 </w:t>
      </w:r>
    </w:p>
    <w:p w14:paraId="752F1D41">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1.9.2 投标人踏勘现场发生的费用自理。 </w:t>
      </w:r>
    </w:p>
    <w:p w14:paraId="1C87AFDE">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1.9.3 除招标人的原因外，投标人自行负责在踏勘现场中所发生的人员伤亡和财产损失。 </w:t>
      </w:r>
    </w:p>
    <w:p w14:paraId="7161E5B1">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1.9.4 招标人在踏勘现场中介绍的工程场地和相关的周边环境情况，供投标人在编制投标文件时参考，招标人不对投标人据此作出的判断和决策负责。 </w:t>
      </w:r>
    </w:p>
    <w:p w14:paraId="20B56EF6">
      <w:pPr>
        <w:pStyle w:val="6"/>
        <w:spacing w:after="0" w:line="480" w:lineRule="auto"/>
        <w:ind w:left="132" w:right="0"/>
        <w:rPr>
          <w:rFonts w:hint="eastAsia" w:ascii="宋体" w:hAnsi="宋体" w:eastAsia="宋体" w:cs="宋体"/>
          <w:color w:val="auto"/>
          <w:highlight w:val="none"/>
        </w:rPr>
      </w:pPr>
      <w:bookmarkStart w:id="21" w:name="_Toc526894982"/>
      <w:r>
        <w:rPr>
          <w:rFonts w:hint="eastAsia" w:ascii="宋体" w:hAnsi="宋体" w:eastAsia="宋体" w:cs="宋体"/>
          <w:color w:val="auto"/>
          <w:highlight w:val="none"/>
        </w:rPr>
        <w:t>1.10 投标预备会</w:t>
      </w:r>
      <w:bookmarkEnd w:id="21"/>
      <w:r>
        <w:rPr>
          <w:rFonts w:hint="eastAsia" w:ascii="宋体" w:hAnsi="宋体" w:eastAsia="宋体" w:cs="宋体"/>
          <w:color w:val="auto"/>
          <w:highlight w:val="none"/>
        </w:rPr>
        <w:t xml:space="preserve"> </w:t>
      </w:r>
    </w:p>
    <w:p w14:paraId="261CE97B">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1.10.1投标人须知前附表规定召开投标预备会的，招标人按投标人须知前附表规定的时间和地点召开投标预备会，澄清投标人提出的问题。</w:t>
      </w:r>
    </w:p>
    <w:p w14:paraId="47ED1680">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1.10.2投标人应按投标人须知前附表规定的时间和形式将提出的问题送达招标人，以便招标人在会议期间澄清。</w:t>
      </w:r>
    </w:p>
    <w:p w14:paraId="082865F2">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1.10.3投标预备会后，招标人将对投标人所提问题的澄清，以投标人须知前附表规定的形式通知所有潜在投标人。该澄清内容为招标文件的组成部分。</w:t>
      </w:r>
      <w:bookmarkStart w:id="22" w:name="bookmark31"/>
      <w:bookmarkEnd w:id="22"/>
    </w:p>
    <w:p w14:paraId="4565AFBB">
      <w:pPr>
        <w:pStyle w:val="6"/>
        <w:spacing w:after="0" w:line="480" w:lineRule="auto"/>
        <w:ind w:left="132" w:right="0"/>
        <w:rPr>
          <w:rFonts w:hint="eastAsia" w:ascii="宋体" w:hAnsi="宋体" w:eastAsia="宋体" w:cs="宋体"/>
          <w:color w:val="auto"/>
          <w:highlight w:val="none"/>
        </w:rPr>
      </w:pPr>
      <w:bookmarkStart w:id="23" w:name="_Toc526894983"/>
      <w:bookmarkStart w:id="24" w:name="_Toc526894984"/>
      <w:r>
        <w:rPr>
          <w:rFonts w:hint="eastAsia" w:ascii="宋体" w:hAnsi="宋体" w:eastAsia="宋体" w:cs="宋体"/>
          <w:color w:val="auto"/>
          <w:highlight w:val="none"/>
        </w:rPr>
        <w:t>1.11 分包</w:t>
      </w:r>
      <w:bookmarkEnd w:id="23"/>
    </w:p>
    <w:p w14:paraId="27780054">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经招标人同意，中标人可以将本检测项目的部分工作依法分包给他人完成。接受分包的检测机构应当具备相应的资格条件，并不得再次分包。但分包项目的检测质量和工期由本合同中标人负责。分包合同原则上由中标人与另一方签订。该部分检测内容纳入本合同一并进行结算。</w:t>
      </w:r>
    </w:p>
    <w:p w14:paraId="35A1E8D9">
      <w:pPr>
        <w:pStyle w:val="6"/>
        <w:spacing w:after="0" w:line="480" w:lineRule="auto"/>
        <w:ind w:left="132" w:right="0"/>
        <w:rPr>
          <w:rFonts w:hint="eastAsia" w:ascii="宋体" w:hAnsi="宋体" w:eastAsia="宋体" w:cs="宋体"/>
          <w:color w:val="auto"/>
          <w:highlight w:val="none"/>
        </w:rPr>
      </w:pPr>
      <w:r>
        <w:rPr>
          <w:rFonts w:hint="eastAsia" w:ascii="宋体" w:hAnsi="宋体" w:eastAsia="宋体" w:cs="宋体"/>
          <w:color w:val="auto"/>
          <w:highlight w:val="none"/>
        </w:rPr>
        <w:t>1.12 响应和偏差</w:t>
      </w:r>
      <w:bookmarkEnd w:id="24"/>
      <w:r>
        <w:rPr>
          <w:rFonts w:hint="eastAsia" w:ascii="宋体" w:hAnsi="宋体" w:eastAsia="宋体" w:cs="宋体"/>
          <w:color w:val="auto"/>
          <w:highlight w:val="none"/>
        </w:rPr>
        <w:t xml:space="preserve"> </w:t>
      </w:r>
    </w:p>
    <w:p w14:paraId="37DC7E4F">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1.12.1投标文件应当对招标文件的实质性要求和条件作出满足性或更有利于招标人的响应，否则，投标人的投标将被否决。实质性要求和条件见投标人须知前附表。 </w:t>
      </w:r>
    </w:p>
    <w:p w14:paraId="4C174E74">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1.12.2 投标人应根据招标文件的要求提供投标检测纲要等内容以对招标文件作出响应。 </w:t>
      </w:r>
    </w:p>
    <w:p w14:paraId="0959EF2A">
      <w:pPr>
        <w:spacing w:after="0" w:line="480" w:lineRule="auto"/>
        <w:ind w:left="-15" w:firstLine="434"/>
        <w:rPr>
          <w:rFonts w:hint="eastAsia" w:ascii="宋体" w:hAnsi="宋体" w:eastAsia="宋体" w:cs="宋体"/>
          <w:color w:val="auto"/>
          <w:highlight w:val="none"/>
        </w:rPr>
      </w:pPr>
      <w:r>
        <w:rPr>
          <w:rFonts w:hint="eastAsia" w:ascii="宋体" w:hAnsi="宋体" w:eastAsia="宋体" w:cs="宋体"/>
          <w:color w:val="auto"/>
          <w:sz w:val="21"/>
          <w:highlight w:val="none"/>
        </w:rPr>
        <w:t xml:space="preserve">1.12.3 投标人须知前附表允许投标文件偏离招标文件某些要求的，偏差应当符合招标文件规定的偏差范围和幅度。 </w:t>
      </w:r>
    </w:p>
    <w:p w14:paraId="14FA0F73">
      <w:pPr>
        <w:pStyle w:val="4"/>
        <w:spacing w:after="0" w:line="480" w:lineRule="auto"/>
        <w:ind w:left="-5" w:right="0"/>
        <w:rPr>
          <w:rFonts w:hint="eastAsia" w:ascii="宋体" w:hAnsi="宋体" w:eastAsia="宋体" w:cs="宋体"/>
          <w:color w:val="auto"/>
          <w:highlight w:val="none"/>
        </w:rPr>
      </w:pPr>
      <w:bookmarkStart w:id="25" w:name="_Toc13036"/>
      <w:bookmarkStart w:id="26" w:name="_Toc5958_WPSOffice_Level2"/>
      <w:bookmarkStart w:id="27" w:name="_Toc526894985"/>
      <w:bookmarkStart w:id="28" w:name="_Toc4278_WPSOffice_Level2"/>
      <w:r>
        <w:rPr>
          <w:rFonts w:hint="eastAsia" w:ascii="宋体" w:hAnsi="宋体" w:eastAsia="宋体" w:cs="宋体"/>
          <w:b/>
          <w:color w:val="auto"/>
          <w:sz w:val="32"/>
          <w:highlight w:val="none"/>
        </w:rPr>
        <w:t xml:space="preserve">2. </w:t>
      </w:r>
      <w:r>
        <w:rPr>
          <w:rFonts w:hint="eastAsia" w:ascii="宋体" w:hAnsi="宋体" w:eastAsia="宋体" w:cs="宋体"/>
          <w:color w:val="auto"/>
          <w:sz w:val="32"/>
          <w:highlight w:val="none"/>
        </w:rPr>
        <w:t>招标文件</w:t>
      </w:r>
      <w:bookmarkEnd w:id="25"/>
      <w:bookmarkEnd w:id="26"/>
      <w:bookmarkEnd w:id="27"/>
      <w:bookmarkEnd w:id="28"/>
      <w:r>
        <w:rPr>
          <w:rFonts w:hint="eastAsia" w:ascii="宋体" w:hAnsi="宋体" w:eastAsia="宋体" w:cs="宋体"/>
          <w:b/>
          <w:color w:val="auto"/>
          <w:sz w:val="32"/>
          <w:highlight w:val="none"/>
        </w:rPr>
        <w:t xml:space="preserve"> </w:t>
      </w:r>
    </w:p>
    <w:p w14:paraId="101592DF">
      <w:pPr>
        <w:pStyle w:val="6"/>
        <w:spacing w:after="0" w:line="480" w:lineRule="auto"/>
        <w:ind w:left="132" w:right="0"/>
        <w:rPr>
          <w:rFonts w:hint="eastAsia" w:ascii="宋体" w:hAnsi="宋体" w:eastAsia="宋体" w:cs="宋体"/>
          <w:color w:val="auto"/>
          <w:highlight w:val="none"/>
        </w:rPr>
      </w:pPr>
      <w:bookmarkStart w:id="29" w:name="_Toc526894986"/>
      <w:r>
        <w:rPr>
          <w:rFonts w:hint="eastAsia" w:ascii="宋体" w:hAnsi="宋体" w:eastAsia="宋体" w:cs="宋体"/>
          <w:color w:val="auto"/>
          <w:highlight w:val="none"/>
        </w:rPr>
        <w:t>2.1 招标文件的组成</w:t>
      </w:r>
      <w:bookmarkEnd w:id="29"/>
      <w:r>
        <w:rPr>
          <w:rFonts w:hint="eastAsia" w:ascii="宋体" w:hAnsi="宋体" w:eastAsia="宋体" w:cs="宋体"/>
          <w:color w:val="auto"/>
          <w:highlight w:val="none"/>
        </w:rPr>
        <w:t xml:space="preserve"> </w:t>
      </w:r>
    </w:p>
    <w:p w14:paraId="2AA7F1FF">
      <w:pPr>
        <w:spacing w:after="0" w:line="480" w:lineRule="auto"/>
        <w:ind w:left="37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本招标文件包括： </w:t>
      </w:r>
    </w:p>
    <w:p w14:paraId="0749A489">
      <w:pPr>
        <w:numPr>
          <w:ilvl w:val="0"/>
          <w:numId w:val="3"/>
        </w:numPr>
        <w:spacing w:after="0" w:line="480" w:lineRule="auto"/>
        <w:ind w:left="884" w:hanging="52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招标公告； </w:t>
      </w:r>
    </w:p>
    <w:p w14:paraId="3C537901">
      <w:pPr>
        <w:numPr>
          <w:ilvl w:val="0"/>
          <w:numId w:val="3"/>
        </w:numPr>
        <w:spacing w:after="0" w:line="480" w:lineRule="auto"/>
        <w:ind w:left="884" w:hanging="52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投标人须知； </w:t>
      </w:r>
    </w:p>
    <w:p w14:paraId="5B177AE3">
      <w:pPr>
        <w:numPr>
          <w:ilvl w:val="0"/>
          <w:numId w:val="3"/>
        </w:numPr>
        <w:spacing w:after="0" w:line="480" w:lineRule="auto"/>
        <w:ind w:left="884" w:hanging="52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评标办法； </w:t>
      </w:r>
    </w:p>
    <w:p w14:paraId="20C4D56F">
      <w:pPr>
        <w:numPr>
          <w:ilvl w:val="0"/>
          <w:numId w:val="3"/>
        </w:numPr>
        <w:spacing w:after="0" w:line="480" w:lineRule="auto"/>
        <w:ind w:left="884" w:hanging="52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合同条款及格式； </w:t>
      </w:r>
    </w:p>
    <w:p w14:paraId="45DCA15D">
      <w:pPr>
        <w:numPr>
          <w:ilvl w:val="0"/>
          <w:numId w:val="3"/>
        </w:numPr>
        <w:spacing w:after="0" w:line="480" w:lineRule="auto"/>
        <w:ind w:left="884" w:hanging="52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发包人要求； </w:t>
      </w:r>
    </w:p>
    <w:p w14:paraId="0A176983">
      <w:pPr>
        <w:numPr>
          <w:ilvl w:val="0"/>
          <w:numId w:val="3"/>
        </w:numPr>
        <w:spacing w:after="0" w:line="480" w:lineRule="auto"/>
        <w:ind w:left="884" w:hanging="52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投标文件格式； </w:t>
      </w:r>
    </w:p>
    <w:p w14:paraId="3073C671">
      <w:pPr>
        <w:numPr>
          <w:ilvl w:val="0"/>
          <w:numId w:val="3"/>
        </w:numPr>
        <w:spacing w:after="0" w:line="480" w:lineRule="auto"/>
        <w:ind w:hanging="52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投标人须知前附表规定的其他资料。 </w:t>
      </w:r>
    </w:p>
    <w:p w14:paraId="2384AD36">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根据本章第 1.10 款、第 2.2 款和第 2.3 款对招标文件所作的澄清、修改，构成招标文件的组成部分。 </w:t>
      </w:r>
    </w:p>
    <w:p w14:paraId="1B636572">
      <w:pPr>
        <w:pStyle w:val="5"/>
        <w:spacing w:after="0" w:line="480" w:lineRule="auto"/>
        <w:ind w:right="0"/>
        <w:rPr>
          <w:rFonts w:hint="eastAsia" w:ascii="宋体" w:hAnsi="宋体" w:eastAsia="宋体" w:cs="宋体"/>
          <w:color w:val="auto"/>
          <w:highlight w:val="none"/>
          <w:u w:val="single"/>
        </w:rPr>
      </w:pPr>
      <w:bookmarkStart w:id="30" w:name="_Toc526894987"/>
      <w:r>
        <w:rPr>
          <w:rFonts w:hint="eastAsia" w:ascii="宋体" w:hAnsi="宋体" w:eastAsia="宋体" w:cs="宋体"/>
          <w:color w:val="auto"/>
          <w:highlight w:val="none"/>
        </w:rPr>
        <w:t>2.2</w:t>
      </w:r>
      <w:r>
        <w:rPr>
          <w:rFonts w:hint="eastAsia" w:ascii="宋体" w:hAnsi="宋体" w:eastAsia="宋体" w:cs="宋体"/>
          <w:color w:val="auto"/>
          <w:highlight w:val="none"/>
          <w:u w:val="single"/>
        </w:rPr>
        <w:t>招标文件的澄清</w:t>
      </w:r>
      <w:bookmarkEnd w:id="30"/>
    </w:p>
    <w:p w14:paraId="238D42F4">
      <w:pPr>
        <w:spacing w:after="0" w:line="480" w:lineRule="auto"/>
        <w:ind w:left="458" w:leftChars="208"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7A00CF7">
      <w:pPr>
        <w:spacing w:after="0" w:line="480" w:lineRule="auto"/>
        <w:ind w:left="458" w:leftChars="208"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2.2.2招标文件的澄清以投标人须知前附表规定的形式发给</w:t>
      </w:r>
      <w:r>
        <w:rPr>
          <w:rFonts w:hint="eastAsia" w:ascii="宋体" w:hAnsi="宋体" w:eastAsia="宋体" w:cs="宋体"/>
          <w:color w:val="auto"/>
          <w:sz w:val="21"/>
          <w:szCs w:val="21"/>
          <w:highlight w:val="none"/>
          <w:u w:val="single"/>
        </w:rPr>
        <w:t>所有投标人</w:t>
      </w:r>
      <w:r>
        <w:rPr>
          <w:rFonts w:hint="eastAsia" w:ascii="宋体" w:hAnsi="宋体" w:eastAsia="宋体" w:cs="宋体"/>
          <w:color w:val="auto"/>
          <w:sz w:val="21"/>
          <w:highlight w:val="none"/>
          <w:u w:val="single"/>
        </w:rPr>
        <w:t>，但不指明澄清问题的来源。澄清发出的时间距本章第 4.2.1 项规定的投标截止时间不足 15 日的，并且澄清内容可能影响投标文件编制的，将相应延长投标截止时间。</w:t>
      </w:r>
    </w:p>
    <w:p w14:paraId="7EBA3EA5">
      <w:pPr>
        <w:spacing w:after="0" w:line="480" w:lineRule="auto"/>
        <w:ind w:left="458" w:leftChars="208"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2.2.3招标文件的澄清在广州交易集团有限公司（广州公共资源交易中心）网站发布。招标文件的澄清一经在广州交易集团有限公司（广州公共资源交易中心）网站发布，视作已发放给所有投标人，招标文件的澄清内容作为招标文件的组成部分，具有约束作用。</w:t>
      </w:r>
    </w:p>
    <w:p w14:paraId="42D4D7F0">
      <w:pPr>
        <w:pStyle w:val="36"/>
        <w:spacing w:after="0" w:line="480" w:lineRule="auto"/>
        <w:ind w:firstLine="840" w:firstLineChars="400"/>
        <w:rPr>
          <w:rFonts w:hint="eastAsia" w:ascii="宋体" w:hAnsi="宋体" w:eastAsia="宋体" w:cs="宋体"/>
          <w:color w:val="auto"/>
          <w:sz w:val="24"/>
          <w:highlight w:val="none"/>
          <w:u w:val="single"/>
        </w:rPr>
      </w:pPr>
      <w:r>
        <w:rPr>
          <w:rFonts w:hint="eastAsia" w:ascii="宋体" w:hAnsi="宋体" w:eastAsia="宋体" w:cs="宋体"/>
          <w:color w:val="auto"/>
          <w:sz w:val="21"/>
          <w:highlight w:val="none"/>
          <w:u w:val="single"/>
        </w:rPr>
        <w:t xml:space="preserve">2.2.4除非招标人认为确有必要答复，否则，招标人有权拒绝回复投标人在本章第 2.2.1 项规定的时间后的任何澄清要求。 </w:t>
      </w:r>
    </w:p>
    <w:p w14:paraId="1B273F81">
      <w:pPr>
        <w:pStyle w:val="6"/>
        <w:spacing w:after="0" w:line="480" w:lineRule="auto"/>
        <w:ind w:left="132" w:right="0"/>
        <w:rPr>
          <w:rFonts w:hint="eastAsia" w:ascii="宋体" w:hAnsi="宋体" w:eastAsia="宋体" w:cs="宋体"/>
          <w:color w:val="auto"/>
          <w:highlight w:val="none"/>
        </w:rPr>
      </w:pPr>
      <w:bookmarkStart w:id="31" w:name="_Toc526894988"/>
      <w:r>
        <w:rPr>
          <w:rFonts w:hint="eastAsia" w:ascii="宋体" w:hAnsi="宋体" w:eastAsia="宋体" w:cs="宋体"/>
          <w:color w:val="auto"/>
          <w:highlight w:val="none"/>
        </w:rPr>
        <w:t>2.3 招标文件的修改</w:t>
      </w:r>
      <w:bookmarkEnd w:id="31"/>
      <w:r>
        <w:rPr>
          <w:rFonts w:hint="eastAsia" w:ascii="宋体" w:hAnsi="宋体" w:eastAsia="宋体" w:cs="宋体"/>
          <w:color w:val="auto"/>
          <w:highlight w:val="none"/>
        </w:rPr>
        <w:t xml:space="preserve"> </w:t>
      </w:r>
    </w:p>
    <w:p w14:paraId="0E7BBB30">
      <w:pPr>
        <w:spacing w:after="0" w:line="480" w:lineRule="auto"/>
        <w:ind w:left="-15" w:firstLine="410"/>
        <w:jc w:val="both"/>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2.3.1招标人以投标人须知前附表规定的形式修改招标文件并通知所有投标人。修改招标文件的时间距本章第 4.2.1 项规定的投标截止时间不足 15 日的，并且修改内容可能影响投标文件编制的，将相应延长投标截止时间。</w:t>
      </w:r>
    </w:p>
    <w:p w14:paraId="2674C8F7">
      <w:pPr>
        <w:spacing w:after="0" w:line="360" w:lineRule="auto"/>
        <w:ind w:left="-15" w:firstLine="410"/>
        <w:jc w:val="both"/>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2.3.2招标文件的修改在广州交易集团有限公司（广州公共资源交易中心）网站发布。招标文件的修改一经在广州交易集团有限公司（广州公共资源交易中心）网站发布，视作已发放给所有投标人，招标文件的澄清内容作为招标文件的组成部分，具有约束作用。</w:t>
      </w:r>
    </w:p>
    <w:p w14:paraId="39462541">
      <w:pPr>
        <w:pStyle w:val="6"/>
        <w:spacing w:after="0" w:line="480" w:lineRule="auto"/>
        <w:ind w:left="132" w:right="0"/>
        <w:rPr>
          <w:rFonts w:hint="eastAsia" w:ascii="宋体" w:hAnsi="宋体" w:eastAsia="宋体" w:cs="宋体"/>
          <w:color w:val="auto"/>
          <w:highlight w:val="none"/>
        </w:rPr>
      </w:pPr>
      <w:bookmarkStart w:id="32" w:name="_Toc526894989"/>
      <w:r>
        <w:rPr>
          <w:rFonts w:hint="eastAsia" w:ascii="宋体" w:hAnsi="宋体" w:eastAsia="宋体" w:cs="宋体"/>
          <w:color w:val="auto"/>
          <w:highlight w:val="none"/>
        </w:rPr>
        <w:t>2.4 招标文件的异议</w:t>
      </w:r>
      <w:bookmarkEnd w:id="32"/>
      <w:r>
        <w:rPr>
          <w:rFonts w:hint="eastAsia" w:ascii="宋体" w:hAnsi="宋体" w:eastAsia="宋体" w:cs="宋体"/>
          <w:color w:val="auto"/>
          <w:highlight w:val="none"/>
        </w:rPr>
        <w:t xml:space="preserve"> </w:t>
      </w:r>
    </w:p>
    <w:p w14:paraId="074C8BC5">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投标人或者其他利害关系人对招标文件有异议的，应当在投标截止时间 10 日前以书面形式提出。招标人将在收到异议之日起 3 日内作出答复；作出答复前，将暂停招标投标活动。 </w:t>
      </w:r>
    </w:p>
    <w:p w14:paraId="6B100990">
      <w:pPr>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sz w:val="21"/>
          <w:highlight w:val="none"/>
          <w:u w:val="single"/>
        </w:rPr>
        <w:t>注：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作出答复前，应当暂停招标投标活动。 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6AD2C36B">
      <w:pPr>
        <w:pStyle w:val="4"/>
        <w:spacing w:after="0" w:line="480" w:lineRule="auto"/>
        <w:ind w:left="-5" w:right="0"/>
        <w:rPr>
          <w:rFonts w:hint="eastAsia" w:ascii="宋体" w:hAnsi="宋体" w:eastAsia="宋体" w:cs="宋体"/>
          <w:color w:val="auto"/>
          <w:highlight w:val="none"/>
        </w:rPr>
      </w:pPr>
      <w:bookmarkStart w:id="33" w:name="_Toc526894990"/>
      <w:bookmarkStart w:id="34" w:name="_Toc5956_WPSOffice_Level2"/>
      <w:bookmarkStart w:id="35" w:name="_Toc23059"/>
      <w:bookmarkStart w:id="36" w:name="_Toc24650_WPSOffice_Level2"/>
      <w:r>
        <w:rPr>
          <w:rFonts w:hint="eastAsia" w:ascii="宋体" w:hAnsi="宋体" w:eastAsia="宋体" w:cs="宋体"/>
          <w:b/>
          <w:color w:val="auto"/>
          <w:sz w:val="32"/>
          <w:highlight w:val="none"/>
        </w:rPr>
        <w:t xml:space="preserve">3. </w:t>
      </w:r>
      <w:r>
        <w:rPr>
          <w:rFonts w:hint="eastAsia" w:ascii="宋体" w:hAnsi="宋体" w:eastAsia="宋体" w:cs="宋体"/>
          <w:color w:val="auto"/>
          <w:sz w:val="32"/>
          <w:highlight w:val="none"/>
        </w:rPr>
        <w:t>投标文件</w:t>
      </w:r>
      <w:bookmarkEnd w:id="33"/>
      <w:bookmarkEnd w:id="34"/>
      <w:bookmarkEnd w:id="35"/>
      <w:bookmarkEnd w:id="36"/>
      <w:r>
        <w:rPr>
          <w:rFonts w:hint="eastAsia" w:ascii="宋体" w:hAnsi="宋体" w:eastAsia="宋体" w:cs="宋体"/>
          <w:b/>
          <w:color w:val="auto"/>
          <w:sz w:val="32"/>
          <w:highlight w:val="none"/>
        </w:rPr>
        <w:t xml:space="preserve"> </w:t>
      </w:r>
    </w:p>
    <w:p w14:paraId="42F0E8CC">
      <w:pPr>
        <w:pStyle w:val="6"/>
        <w:spacing w:after="0" w:line="480" w:lineRule="auto"/>
        <w:ind w:left="132" w:right="0"/>
        <w:rPr>
          <w:rFonts w:hint="eastAsia" w:ascii="宋体" w:hAnsi="宋体" w:eastAsia="宋体" w:cs="宋体"/>
          <w:color w:val="auto"/>
          <w:highlight w:val="none"/>
        </w:rPr>
      </w:pPr>
      <w:bookmarkStart w:id="37" w:name="_Toc526894991"/>
      <w:r>
        <w:rPr>
          <w:rFonts w:hint="eastAsia" w:ascii="宋体" w:hAnsi="宋体" w:eastAsia="宋体" w:cs="宋体"/>
          <w:color w:val="auto"/>
          <w:highlight w:val="none"/>
        </w:rPr>
        <w:t>3.1 投标文件的组成</w:t>
      </w:r>
      <w:bookmarkEnd w:id="37"/>
      <w:r>
        <w:rPr>
          <w:rFonts w:hint="eastAsia" w:ascii="宋体" w:hAnsi="宋体" w:eastAsia="宋体" w:cs="宋体"/>
          <w:color w:val="auto"/>
          <w:highlight w:val="none"/>
        </w:rPr>
        <w:t xml:space="preserve"> </w:t>
      </w:r>
    </w:p>
    <w:p w14:paraId="1F4CB078">
      <w:pPr>
        <w:spacing w:after="0" w:line="480"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3.1.1 投标文件应包括下列内容： </w:t>
      </w:r>
    </w:p>
    <w:p w14:paraId="4B8AC450">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（1）投标函及投标函附录</w:t>
      </w:r>
    </w:p>
    <w:p w14:paraId="01FA011C">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（2）法定代表人身份证明（适用于无委托代理人的情况）</w:t>
      </w:r>
    </w:p>
    <w:p w14:paraId="0163F58C">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（3）授权委托书（适用于有委托代理人的情况）</w:t>
      </w:r>
    </w:p>
    <w:p w14:paraId="6E98E297">
      <w:pPr>
        <w:spacing w:after="0" w:line="480" w:lineRule="auto"/>
        <w:ind w:left="-15" w:firstLine="420"/>
        <w:rPr>
          <w:rFonts w:hint="eastAsia" w:ascii="宋体" w:hAnsi="宋体" w:eastAsia="宋体" w:cs="宋体"/>
          <w:strike/>
          <w:color w:val="auto"/>
          <w:sz w:val="21"/>
          <w:highlight w:val="none"/>
        </w:rPr>
      </w:pPr>
      <w:r>
        <w:rPr>
          <w:rFonts w:hint="eastAsia" w:ascii="宋体" w:hAnsi="宋体" w:eastAsia="宋体" w:cs="宋体"/>
          <w:strike/>
          <w:color w:val="auto"/>
          <w:sz w:val="21"/>
          <w:highlight w:val="none"/>
        </w:rPr>
        <w:t>（4）联合体协议书</w:t>
      </w:r>
    </w:p>
    <w:p w14:paraId="75553203">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）第三方检测工程量清单</w:t>
      </w:r>
    </w:p>
    <w:p w14:paraId="528869E4">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（5）资格审查资料</w:t>
      </w:r>
    </w:p>
    <w:p w14:paraId="5902B30C">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（6）检测纲要</w:t>
      </w:r>
    </w:p>
    <w:p w14:paraId="2A0BD329">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（7）其它资料</w:t>
      </w:r>
    </w:p>
    <w:p w14:paraId="01E0D010">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（8）根据招标文件及评标办法要求，投标文件格式未能进列的其他内容投标人须知前附表规定的其他资料。 </w:t>
      </w:r>
    </w:p>
    <w:p w14:paraId="65AB64CD">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投标人在评标过程中作出的符合法律法规和招标文件规定的澄清确认，构成投标文件的组成部分。 </w:t>
      </w:r>
    </w:p>
    <w:p w14:paraId="3715F628">
      <w:pPr>
        <w:pStyle w:val="6"/>
        <w:spacing w:after="0" w:line="480" w:lineRule="auto"/>
        <w:ind w:left="132" w:right="0"/>
        <w:rPr>
          <w:rFonts w:hint="eastAsia" w:ascii="宋体" w:hAnsi="宋体" w:eastAsia="宋体" w:cs="宋体"/>
          <w:color w:val="auto"/>
          <w:highlight w:val="none"/>
        </w:rPr>
      </w:pPr>
      <w:bookmarkStart w:id="38" w:name="_Toc526894992"/>
      <w:r>
        <w:rPr>
          <w:rFonts w:hint="eastAsia" w:ascii="宋体" w:hAnsi="宋体" w:eastAsia="宋体" w:cs="宋体"/>
          <w:color w:val="auto"/>
          <w:highlight w:val="none"/>
        </w:rPr>
        <w:t>3.2 投标报价</w:t>
      </w:r>
      <w:bookmarkEnd w:id="38"/>
      <w:r>
        <w:rPr>
          <w:rFonts w:hint="eastAsia" w:ascii="宋体" w:hAnsi="宋体" w:eastAsia="宋体" w:cs="宋体"/>
          <w:color w:val="auto"/>
          <w:highlight w:val="none"/>
        </w:rPr>
        <w:t xml:space="preserve"> </w:t>
      </w:r>
    </w:p>
    <w:p w14:paraId="0F9355D3">
      <w:pPr>
        <w:spacing w:after="0" w:line="480" w:lineRule="auto"/>
        <w:ind w:left="-15" w:firstLine="41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3.2.1 投标报价应包括国家规定的增值税税金，除投标人须知前附表另有规定外，增值税税金按一般计税方法计算。投标人应按第六章“投标文件格式”的要求在投标函中进行报价并填写投标报价。 </w:t>
      </w:r>
    </w:p>
    <w:p w14:paraId="1F44FA7D">
      <w:pPr>
        <w:spacing w:after="0" w:line="480" w:lineRule="auto"/>
        <w:ind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3.2.2 投标人应充分了解该项目的总体情况以及影响投标报价的其他要素。 </w:t>
      </w:r>
    </w:p>
    <w:p w14:paraId="05C865A8">
      <w:pPr>
        <w:spacing w:after="0" w:line="480" w:lineRule="auto"/>
        <w:ind w:left="-15" w:firstLine="41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3.2.3 本项目的报价方式见投标人须知前附表。投标人在投标截止时间前修改投标函中的投标报价总额，应同时修改投标文件中的相应报价。此修改须符合本章第 4.3 款的有关要求。 </w:t>
      </w:r>
    </w:p>
    <w:p w14:paraId="583AE396">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3.2.4 招标人设有最高投标限价的，投标人的投标报价不得超过最高投标限价。 </w:t>
      </w:r>
    </w:p>
    <w:p w14:paraId="2117299B">
      <w:pPr>
        <w:spacing w:after="0" w:line="480"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3.2.5  投标报价的其他要求见投标人须知前附表。 </w:t>
      </w:r>
    </w:p>
    <w:p w14:paraId="7D2FD196">
      <w:pPr>
        <w:spacing w:after="0" w:line="480" w:lineRule="auto"/>
        <w:ind w:firstLine="420"/>
        <w:rPr>
          <w:rFonts w:ascii="宋体" w:hAnsi="宋体" w:eastAsia="宋体" w:cs="宋体"/>
          <w:color w:val="auto"/>
          <w:sz w:val="21"/>
          <w:highlight w:val="none"/>
        </w:rPr>
      </w:pPr>
      <w:bookmarkStart w:id="39" w:name="_Toc526894993"/>
      <w:r>
        <w:rPr>
          <w:rFonts w:hint="eastAsia" w:ascii="宋体" w:hAnsi="宋体" w:eastAsia="宋体" w:cs="宋体"/>
          <w:color w:val="auto"/>
          <w:sz w:val="21"/>
          <w:highlight w:val="none"/>
          <w:u w:val="single"/>
        </w:rPr>
        <w:t>3.2.6投标人的投标价均包括但不限于：人工费、材料费、机械设备费、试验费、各项措施费（包括但不限于：安全文明施工、临水临电安装、机械设备进出场及整理、检测配载、工作搭架、工作棚、锚桩焊接等相关费用）、报告编写费、配合协调费、工程保险费、风险费、管理费、规费、利润、税金等所有的一切相关费用。该报价已包含了为完成所有招标要求所可能产生的不可预见的费用。不论实际费用有无发生，亦不论各项费用有无涨落，均不再调整。</w:t>
      </w:r>
    </w:p>
    <w:p w14:paraId="7575802A">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3.2.7投标人应认真阅读本招标文件、技术文件及其他资料，根据招标文件要求的工作范围、工作内容、技术成果深度、服务期、人员和工作量等，确定检测工作的方法、设备以及费用等，考虑工作量变化的风险、各种不确定因素，以本企业的优势和承受能力，按照市场价格态势结合自身实力和现场踏勘情况合理报价。</w:t>
      </w:r>
    </w:p>
    <w:p w14:paraId="6649C7DF">
      <w:pPr>
        <w:spacing w:after="0" w:line="480" w:lineRule="auto"/>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3.2.8招标人向投标人提供的资料和数据，是招标人现有的能使投标人利用的资料，招标人对投标人由此而作出的推论、理解和结论概不负责。投标人根据招标文件中的内容进行报价所产生的一切风险，投标人应充分预见并承担风险。投标人应认真审阅招标文件的所有内容，对工程现场和周围环境进行现场踏勘，获取编制投标文件和签署合同所需的所有资料。一旦中标，这种考察即被认为其结果已在投标文件中得到充分的考虑。</w:t>
      </w:r>
    </w:p>
    <w:p w14:paraId="5DB9E884">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3.2.9投标人应严格按招标人提供的工程量清单报价表进行报价,不得增减,并严格按工程量清单报价表中项目顺序填写单价、合价,不得改动报价顺序。如有改动，由此造成的责任及后果由投标人自行承担。</w:t>
      </w:r>
    </w:p>
    <w:p w14:paraId="1AF5D39E">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3.2.10所有报价均以人民币表示，以元为单位，保留小数点后两位小数,第三位小数四舍五入。</w:t>
      </w:r>
    </w:p>
    <w:p w14:paraId="1E86A253">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3.2.11本合同采用全费用综合单价包干，综合单价以投标报价工程量清单报价表的综合单价为准。工程量以实际发生（按业主、监理人、受托人确认）进行计算，最终以增城区财政评审中心审定为准结算。</w:t>
      </w:r>
    </w:p>
    <w:p w14:paraId="3C4FD6EB">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3.2.12综合单价按包工、包料、包设备设施、包工期、包质量、包安全、包文明作业、包与建设项目相关单位的协调以及本项目可能产生的风险等所有费用；委托人现场不提供办公及住宿等条件，所有费用由受托人在投标报价中综合考虑。</w:t>
      </w:r>
    </w:p>
    <w:p w14:paraId="56BE3899">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3.2.13检测服务的工作量根据经委托人批准的检测方案，并结合现场实际情况由委托人、监理人、受托人三方进行签证确认，受托人自行增加的额外工作量将不被承认，最终以增城区财政评审中心审定为准结算。</w:t>
      </w:r>
    </w:p>
    <w:p w14:paraId="46B98E6C">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3.2.14工程报价计费依据按国家发展计划委员会、建设部颁发的《工程勘察设计收费标准》（2002年修订本）与《广东省物价局关于建筑工程质量检测收费标准的复函》（粤价函[2004]428号）及《广东省房屋建筑和市政工程质量安全检测收费指导价》（粤建检协﹝2015﹞8号文）等的有关的检测收费规定下浮计算。以上费用已包含了税费和为完成所有要求而可能产生的不可预见的费用。</w:t>
      </w:r>
    </w:p>
    <w:p w14:paraId="302A5F37">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3.2.15招标文件检测工程量清单中漏列而由监理和建设单位现场签证确认的工程项目，视为本项目的检测范围应承担的项目。</w:t>
      </w:r>
    </w:p>
    <w:p w14:paraId="4A82796C">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3.2.16项目最终结算总价不得高于概算审定的检测费总价，概算审定的检测费总价为本项目的封顶结算价，若实际完成的检测工作量乘以综合单价计算的总价高于概算审定的检测费总价，以概算审定的检测费总价为项目最终结算总价，除非发包人同意额外增加费用。</w:t>
      </w:r>
    </w:p>
    <w:p w14:paraId="1C5360C4">
      <w:pPr>
        <w:pStyle w:val="6"/>
        <w:spacing w:after="0" w:line="480" w:lineRule="auto"/>
        <w:ind w:left="132" w:right="0"/>
        <w:rPr>
          <w:rFonts w:hint="eastAsia" w:ascii="宋体" w:hAnsi="宋体" w:eastAsia="宋体" w:cs="宋体"/>
          <w:color w:val="auto"/>
          <w:highlight w:val="none"/>
        </w:rPr>
      </w:pPr>
      <w:r>
        <w:rPr>
          <w:rFonts w:hint="eastAsia" w:ascii="宋体" w:hAnsi="宋体" w:eastAsia="宋体" w:cs="宋体"/>
          <w:color w:val="auto"/>
          <w:highlight w:val="none"/>
        </w:rPr>
        <w:t>3.3 投标有效期</w:t>
      </w:r>
      <w:bookmarkEnd w:id="39"/>
      <w:r>
        <w:rPr>
          <w:rFonts w:hint="eastAsia" w:ascii="宋体" w:hAnsi="宋体" w:eastAsia="宋体" w:cs="宋体"/>
          <w:color w:val="auto"/>
          <w:highlight w:val="none"/>
        </w:rPr>
        <w:t xml:space="preserve"> </w:t>
      </w:r>
    </w:p>
    <w:p w14:paraId="7C8C8FC3">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3.3.1 除投标人须知前附表另有规定外，投标有效期为 90 天。 </w:t>
      </w:r>
    </w:p>
    <w:p w14:paraId="78C35916">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3.3.2 在投标有效期内，投标人撤销投标文件的，应承担招标文件和法律规定的责任。 </w:t>
      </w:r>
    </w:p>
    <w:p w14:paraId="2BEDE842">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3.3.3 出现特殊情况需要延长投标有效期的，招标人以书面形式通知所有投标人延长投标有效期。投标人应予以书面答复，</w:t>
      </w:r>
      <w:r>
        <w:rPr>
          <w:rFonts w:hint="eastAsia" w:ascii="宋体" w:hAnsi="宋体" w:eastAsia="宋体" w:cs="宋体"/>
          <w:strike/>
          <w:color w:val="auto"/>
          <w:sz w:val="21"/>
          <w:highlight w:val="none"/>
        </w:rPr>
        <w:t>同意延长的，应相应延长其投标保证金的有效期，</w:t>
      </w:r>
      <w:r>
        <w:rPr>
          <w:rFonts w:hint="eastAsia" w:ascii="宋体" w:hAnsi="宋体" w:eastAsia="宋体" w:cs="宋体"/>
          <w:color w:val="auto"/>
          <w:sz w:val="21"/>
          <w:highlight w:val="none"/>
        </w:rPr>
        <w:t>但不得要求或被允许修改其投标文件；投标人拒绝延长的，其投标失效</w:t>
      </w:r>
      <w:r>
        <w:rPr>
          <w:rFonts w:hint="eastAsia" w:ascii="宋体" w:hAnsi="宋体" w:eastAsia="宋体" w:cs="宋体"/>
          <w:strike/>
          <w:color w:val="auto"/>
          <w:sz w:val="21"/>
          <w:highlight w:val="none"/>
        </w:rPr>
        <w:t>，但投标人有权收回其投标保证金及以现金或者支票形式递交的投标保证金的银行同期存款利息</w:t>
      </w:r>
      <w:r>
        <w:rPr>
          <w:rFonts w:hint="eastAsia" w:ascii="宋体" w:hAnsi="宋体" w:eastAsia="宋体" w:cs="宋体"/>
          <w:color w:val="auto"/>
          <w:sz w:val="21"/>
          <w:highlight w:val="none"/>
        </w:rPr>
        <w:t xml:space="preserve">。 </w:t>
      </w:r>
    </w:p>
    <w:p w14:paraId="0C2AD795">
      <w:pPr>
        <w:pStyle w:val="6"/>
        <w:spacing w:after="0" w:line="480" w:lineRule="auto"/>
        <w:ind w:left="132" w:right="0"/>
        <w:rPr>
          <w:rFonts w:hint="eastAsia" w:ascii="宋体" w:hAnsi="宋体" w:eastAsia="宋体" w:cs="宋体"/>
          <w:color w:val="auto"/>
          <w:highlight w:val="none"/>
        </w:rPr>
      </w:pPr>
      <w:bookmarkStart w:id="40" w:name="_Toc526894994"/>
      <w:r>
        <w:rPr>
          <w:rFonts w:hint="eastAsia" w:ascii="宋体" w:hAnsi="宋体" w:eastAsia="宋体" w:cs="宋体"/>
          <w:color w:val="auto"/>
          <w:highlight w:val="none"/>
        </w:rPr>
        <w:t>3.4 投标保证金</w:t>
      </w:r>
      <w:bookmarkEnd w:id="40"/>
      <w:r>
        <w:rPr>
          <w:rFonts w:hint="eastAsia" w:ascii="宋体" w:hAnsi="宋体" w:eastAsia="宋体" w:cs="宋体"/>
          <w:color w:val="auto"/>
          <w:highlight w:val="none"/>
        </w:rPr>
        <w:t xml:space="preserve"> </w:t>
      </w:r>
    </w:p>
    <w:p w14:paraId="21589BDD">
      <w:pPr>
        <w:spacing w:after="0" w:line="48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3.4.1</w:t>
      </w:r>
      <w:r>
        <w:rPr>
          <w:rFonts w:hint="eastAsia" w:ascii="宋体" w:hAnsi="宋体" w:eastAsia="宋体" w:cs="宋体"/>
          <w:color w:val="auto"/>
          <w:sz w:val="21"/>
          <w:highlight w:val="none"/>
          <w:u w:val="single"/>
        </w:rPr>
        <w:t>本项目不要求投标人递交投标保证金。</w:t>
      </w:r>
    </w:p>
    <w:p w14:paraId="5C40042A">
      <w:pPr>
        <w:spacing w:after="0" w:line="480" w:lineRule="auto"/>
        <w:ind w:firstLine="420" w:firstLineChars="200"/>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3.4.2 投标人不按本章第 3.4.1 项要求提交投标保证金的，评标委员会将否决其投标。 </w:t>
      </w:r>
    </w:p>
    <w:p w14:paraId="3CE612A9">
      <w:pPr>
        <w:spacing w:after="0" w:line="480" w:lineRule="auto"/>
        <w:ind w:left="-15" w:firstLine="420"/>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3.4.3 招标人最迟将在与中标人签订合同后 5 日内，向未中标的投标人和中标人退还投标保证金。投标保证金以现金或者支票形式递交的，还应退还银行同期存款利息。 </w:t>
      </w:r>
    </w:p>
    <w:p w14:paraId="351B2FE5">
      <w:pPr>
        <w:spacing w:after="0" w:line="480" w:lineRule="auto"/>
        <w:ind w:left="430" w:hanging="10"/>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3.4.4 有下列情形之一的，投标保证金将不予退还： </w:t>
      </w:r>
    </w:p>
    <w:p w14:paraId="4C690F81">
      <w:pPr>
        <w:numPr>
          <w:ilvl w:val="0"/>
          <w:numId w:val="4"/>
        </w:numPr>
        <w:spacing w:after="0" w:line="480" w:lineRule="auto"/>
        <w:ind w:firstLine="314"/>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投标人在投标有效期内撤销投标文件； </w:t>
      </w:r>
    </w:p>
    <w:p w14:paraId="7A561351">
      <w:pPr>
        <w:numPr>
          <w:ilvl w:val="0"/>
          <w:numId w:val="4"/>
        </w:numPr>
        <w:spacing w:after="0" w:line="480" w:lineRule="auto"/>
        <w:ind w:firstLine="314"/>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中标人在收到中标通知书后，无正当理由不与招标人订立合同，在签订合同时向招标人提出附加条件； </w:t>
      </w:r>
    </w:p>
    <w:p w14:paraId="6E82607A">
      <w:pPr>
        <w:numPr>
          <w:ilvl w:val="0"/>
          <w:numId w:val="4"/>
        </w:numPr>
        <w:spacing w:after="0" w:line="480" w:lineRule="auto"/>
        <w:ind w:firstLine="314"/>
        <w:rPr>
          <w:rFonts w:hint="eastAsia" w:ascii="宋体" w:hAnsi="宋体" w:eastAsia="宋体" w:cs="宋体"/>
          <w:strike/>
          <w:color w:val="auto"/>
          <w:highlight w:val="none"/>
        </w:rPr>
      </w:pPr>
      <w:r>
        <w:rPr>
          <w:rFonts w:hint="eastAsia" w:ascii="宋体" w:hAnsi="宋体" w:eastAsia="宋体" w:cs="宋体"/>
          <w:strike/>
          <w:color w:val="auto"/>
          <w:sz w:val="21"/>
          <w:highlight w:val="none"/>
        </w:rPr>
        <w:t xml:space="preserve">发生投标人须知前附表规定的其他可以不予退还投标保证金的情形。 </w:t>
      </w:r>
    </w:p>
    <w:p w14:paraId="5A7C598F">
      <w:pPr>
        <w:pStyle w:val="6"/>
        <w:spacing w:after="0" w:line="480" w:lineRule="auto"/>
        <w:ind w:left="132" w:right="0"/>
        <w:rPr>
          <w:rFonts w:hint="eastAsia" w:ascii="宋体" w:hAnsi="宋体" w:eastAsia="宋体" w:cs="宋体"/>
          <w:color w:val="auto"/>
          <w:highlight w:val="none"/>
        </w:rPr>
      </w:pPr>
      <w:bookmarkStart w:id="41" w:name="_Toc526894995"/>
      <w:r>
        <w:rPr>
          <w:rFonts w:hint="eastAsia" w:ascii="宋体" w:hAnsi="宋体" w:eastAsia="宋体" w:cs="宋体"/>
          <w:color w:val="auto"/>
          <w:highlight w:val="none"/>
        </w:rPr>
        <w:t>3.5 资格审查资料</w:t>
      </w:r>
      <w:bookmarkEnd w:id="41"/>
    </w:p>
    <w:p w14:paraId="515AD590">
      <w:pPr>
        <w:spacing w:after="0" w:line="480" w:lineRule="auto"/>
        <w:ind w:left="11" w:firstLine="420" w:firstLineChars="200"/>
        <w:rPr>
          <w:rFonts w:hint="eastAsia" w:ascii="宋体" w:hAnsi="宋体" w:eastAsia="宋体" w:cs="宋体"/>
          <w:color w:val="auto"/>
          <w:sz w:val="21"/>
          <w:highlight w:val="none"/>
          <w:u w:val="single"/>
        </w:rPr>
      </w:pPr>
      <w:bookmarkStart w:id="42" w:name="_Toc526894996"/>
      <w:r>
        <w:rPr>
          <w:rFonts w:hint="eastAsia" w:ascii="宋体" w:hAnsi="宋体" w:eastAsia="宋体" w:cs="宋体"/>
          <w:color w:val="auto"/>
          <w:sz w:val="21"/>
          <w:highlight w:val="none"/>
        </w:rPr>
        <w:t>除投标人须知前附表另有规定外，投标人应按下列规定提供资格审查资料，以证明其满足本章第 1.4 款规定的资质、财务、业绩、信誉等要求。</w:t>
      </w:r>
      <w:r>
        <w:rPr>
          <w:rFonts w:hint="eastAsia" w:ascii="宋体" w:hAnsi="宋体" w:eastAsia="宋体" w:cs="宋体"/>
          <w:color w:val="auto"/>
          <w:sz w:val="21"/>
          <w:highlight w:val="none"/>
          <w:u w:val="single"/>
        </w:rPr>
        <w:t xml:space="preserve"> </w:t>
      </w:r>
    </w:p>
    <w:p w14:paraId="498D6C03">
      <w:pPr>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3.5.1“投标人基本情况表”应附投标人事业单位登记管理部门核发的事业单位法人证书或营业执照副本。</w:t>
      </w:r>
    </w:p>
    <w:p w14:paraId="2B68E685">
      <w:pPr>
        <w:spacing w:after="0" w:line="500" w:lineRule="exact"/>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u w:val="single"/>
        </w:rPr>
        <w:t>3.5.2</w:t>
      </w:r>
      <w:r>
        <w:rPr>
          <w:rFonts w:hint="eastAsia" w:ascii="宋体" w:hAnsi="宋体" w:eastAsia="宋体" w:cs="宋体"/>
          <w:color w:val="auto"/>
          <w:sz w:val="21"/>
          <w:szCs w:val="21"/>
          <w:highlight w:val="none"/>
        </w:rPr>
        <w:t>投标人应具备建设行政主管部门颁发的建设工程质量检测机构资质证书（检测范围须涵盖见证取样检测、地基基础检测、主体结构工程现场检测），且证书在有效期内；或具备建设行政主管部门颁发的建设工程质量检测机构综合资质证书或专项资质证书（专项资质证书包括：地基基础、市政工程材料、道路工程），且证书在有效期内。</w:t>
      </w:r>
    </w:p>
    <w:p w14:paraId="6C1B026D">
      <w:pPr>
        <w:spacing w:after="0" w:line="500" w:lineRule="exact"/>
        <w:ind w:left="0" w:firstLine="424" w:firstLineChars="202"/>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rPr>
        <w:t>注：旧资质标准按《住房和城乡建设部办公厅关于做好建设工程质量检测机构新旧资质标准过渡工作的通知》（建办质函〔2023〕100号）执行；新资质标准按《住房和城乡建设部关于印发〈建设工程质量检测机构资质标准〉的通知》（建质规〔2023〕1号）执行。</w:t>
      </w:r>
    </w:p>
    <w:p w14:paraId="0FA78F4D">
      <w:pPr>
        <w:spacing w:after="0" w:line="36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3.5.3投标人应具有质量技术监督部门颁发的CMA计量认证合格证书（CMA计量认证合格证书附表的认证范围覆盖本次招标主要内容：包括见证取样检测、地基基础检测、主体结构工程现场检测）,且证书在有效期内。如投标人CMA计量认证合格证书中的检测项目与上述名称不同，但表达的意思一致也视为满足该项条件。</w:t>
      </w:r>
    </w:p>
    <w:p w14:paraId="41E4A39C">
      <w:pPr>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3.5.4投标人拟委派项目负责人要求具备工程类工程师或以上技术职称。</w:t>
      </w:r>
    </w:p>
    <w:p w14:paraId="5FDDF5DD">
      <w:pPr>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3.5.5投标人必须在投标登记前在广州市住建行业信用管理平台建立了企业信用档案。</w:t>
      </w:r>
    </w:p>
    <w:p w14:paraId="07C2F462">
      <w:pPr>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3.5.6投标人应签署盖章的《投标申请人声明》。</w:t>
      </w:r>
    </w:p>
    <w:p w14:paraId="7E8F9BB2">
      <w:pPr>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3.5.7投标人近二年（从2021年1月1日起至投标截止时间止）未因以往检测工作中存在伪造检测数据、出具虚假检测报告的行为被各级建设行政主管部门或市场监督管理部门行政处罚或通报的（按投标人提供的《投标申请人声明》第三条内容进行评审）。</w:t>
      </w:r>
    </w:p>
    <w:p w14:paraId="439083AA">
      <w:pPr>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3.5.8投标人单位负责人为同一人或者存在控股、管理关系的不同单位，不得参加同一标段投标或者未划分标段的同一招标项目登记。</w:t>
      </w:r>
    </w:p>
    <w:p w14:paraId="63A6AFAC">
      <w:pPr>
        <w:tabs>
          <w:tab w:val="left" w:pos="7700"/>
        </w:tabs>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3.5.9标人未被列入拖欠农民工工资失信联合惩戒对象名单（具体名单以提交投标文件截止时间前“信用广州”https://credit1.gz.gov.cn/publicity/punishList?sid=1000201910100000001412公布的“严重拖欠农民工工资黑名单信息”为准，若资格审查时网址有变化，以最新网址为准。投标人需提供相关查询信息结果网页截图）。</w:t>
      </w:r>
    </w:p>
    <w:p w14:paraId="1E70AB1F">
      <w:pPr>
        <w:tabs>
          <w:tab w:val="left" w:pos="7700"/>
        </w:tabs>
        <w:spacing w:after="0" w:line="480" w:lineRule="auto"/>
        <w:ind w:left="1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3.5.10关于联合体投标：本项目不接受联合体投标。</w:t>
      </w:r>
    </w:p>
    <w:p w14:paraId="665A4571">
      <w:pPr>
        <w:spacing w:after="0" w:line="480" w:lineRule="auto"/>
        <w:ind w:firstLine="424" w:firstLineChars="202"/>
        <w:rPr>
          <w:rFonts w:hint="eastAsia" w:ascii="宋体" w:hAnsi="宋体" w:eastAsia="宋体" w:cs="宋体"/>
          <w:bCs/>
          <w:strike/>
          <w:color w:val="auto"/>
          <w:sz w:val="21"/>
          <w:szCs w:val="21"/>
          <w:highlight w:val="none"/>
          <w:u w:val="single"/>
        </w:rPr>
      </w:pPr>
      <w:r>
        <w:rPr>
          <w:rFonts w:hint="eastAsia" w:ascii="宋体" w:hAnsi="宋体" w:eastAsia="宋体" w:cs="宋体"/>
          <w:bCs/>
          <w:strike/>
          <w:color w:val="auto"/>
          <w:sz w:val="21"/>
          <w:szCs w:val="21"/>
          <w:highlight w:val="none"/>
          <w:u w:val="single"/>
        </w:rPr>
        <w:t>注：（1）如投标人组成联合体，只接受不多于2家单位组成的联合体，应当在投标登记前组成，并按招标文件提供的格式签订联合体协议书，明确联合体牵头人（主办方）和各方权利义务，将该联合体协议书随投标文件一并提交招标人；</w:t>
      </w:r>
    </w:p>
    <w:p w14:paraId="16075B46">
      <w:pPr>
        <w:spacing w:after="0" w:line="480" w:lineRule="auto"/>
        <w:ind w:firstLine="424" w:firstLineChars="202"/>
        <w:rPr>
          <w:rFonts w:hint="eastAsia" w:ascii="宋体" w:hAnsi="宋体" w:eastAsia="宋体" w:cs="宋体"/>
          <w:bCs/>
          <w:strike/>
          <w:color w:val="auto"/>
          <w:sz w:val="21"/>
          <w:szCs w:val="21"/>
          <w:highlight w:val="none"/>
          <w:u w:val="single"/>
        </w:rPr>
      </w:pPr>
      <w:r>
        <w:rPr>
          <w:rFonts w:hint="eastAsia" w:ascii="宋体" w:hAnsi="宋体" w:eastAsia="宋体" w:cs="宋体"/>
          <w:bCs/>
          <w:strike/>
          <w:color w:val="auto"/>
          <w:sz w:val="21"/>
          <w:szCs w:val="21"/>
          <w:highlight w:val="none"/>
          <w:u w:val="single"/>
        </w:rPr>
        <w:t>（2）联合体牵头人（主办方）的被授权人作为联合体各方的代表，承担责任和指令，并负责整个投标过程中的一切责任；</w:t>
      </w:r>
    </w:p>
    <w:p w14:paraId="3A49629C">
      <w:pPr>
        <w:spacing w:after="0" w:line="480" w:lineRule="auto"/>
        <w:ind w:firstLine="424" w:firstLineChars="202"/>
        <w:rPr>
          <w:rFonts w:hint="eastAsia" w:ascii="宋体" w:hAnsi="宋体" w:eastAsia="宋体" w:cs="宋体"/>
          <w:bCs/>
          <w:strike/>
          <w:color w:val="auto"/>
          <w:sz w:val="21"/>
          <w:szCs w:val="21"/>
          <w:highlight w:val="none"/>
          <w:u w:val="single"/>
        </w:rPr>
      </w:pPr>
      <w:r>
        <w:rPr>
          <w:rFonts w:hint="eastAsia" w:ascii="宋体" w:hAnsi="宋体" w:eastAsia="宋体" w:cs="宋体"/>
          <w:bCs/>
          <w:strike/>
          <w:color w:val="auto"/>
          <w:sz w:val="21"/>
          <w:szCs w:val="21"/>
          <w:highlight w:val="none"/>
          <w:u w:val="single"/>
        </w:rPr>
        <w:t>（3）联合体各方不得再以自己名义单独或参加其他联合体在本招标项目中投标，否则各相关投标均无效；</w:t>
      </w:r>
    </w:p>
    <w:p w14:paraId="1F79B270">
      <w:pPr>
        <w:spacing w:after="0" w:line="480" w:lineRule="auto"/>
        <w:ind w:firstLine="424" w:firstLineChars="202"/>
        <w:rPr>
          <w:rFonts w:hint="eastAsia" w:ascii="宋体" w:hAnsi="宋体" w:eastAsia="宋体" w:cs="宋体"/>
          <w:bCs/>
          <w:strike/>
          <w:color w:val="auto"/>
          <w:sz w:val="21"/>
          <w:szCs w:val="21"/>
          <w:highlight w:val="none"/>
        </w:rPr>
      </w:pPr>
      <w:r>
        <w:rPr>
          <w:rFonts w:hint="eastAsia" w:ascii="宋体" w:hAnsi="宋体" w:eastAsia="宋体" w:cs="宋体"/>
          <w:bCs/>
          <w:strike/>
          <w:color w:val="auto"/>
          <w:sz w:val="21"/>
          <w:szCs w:val="21"/>
          <w:highlight w:val="none"/>
          <w:u w:val="single"/>
        </w:rPr>
        <w:t>（4）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主办方按要求签字或盖章即可。电子签章由主办方进行签章即可</w:t>
      </w:r>
      <w:r>
        <w:rPr>
          <w:rFonts w:hint="eastAsia" w:ascii="宋体" w:hAnsi="宋体" w:eastAsia="宋体" w:cs="宋体"/>
          <w:bCs/>
          <w:strike/>
          <w:color w:val="auto"/>
          <w:sz w:val="21"/>
          <w:szCs w:val="21"/>
          <w:highlight w:val="none"/>
        </w:rPr>
        <w:t>。</w:t>
      </w:r>
    </w:p>
    <w:p w14:paraId="79D1A006">
      <w:pPr>
        <w:pStyle w:val="6"/>
        <w:spacing w:after="0" w:line="480" w:lineRule="auto"/>
        <w:ind w:left="132" w:right="0"/>
        <w:rPr>
          <w:rFonts w:hint="eastAsia" w:ascii="宋体" w:hAnsi="宋体" w:eastAsia="宋体" w:cs="宋体"/>
          <w:color w:val="auto"/>
          <w:highlight w:val="none"/>
        </w:rPr>
      </w:pPr>
      <w:r>
        <w:rPr>
          <w:rFonts w:hint="eastAsia" w:ascii="宋体" w:hAnsi="宋体" w:eastAsia="宋体" w:cs="宋体"/>
          <w:color w:val="auto"/>
          <w:highlight w:val="none"/>
        </w:rPr>
        <w:t>3.6 备选投标方案</w:t>
      </w:r>
      <w:bookmarkEnd w:id="42"/>
      <w:r>
        <w:rPr>
          <w:rFonts w:hint="eastAsia" w:ascii="宋体" w:hAnsi="宋体" w:eastAsia="宋体" w:cs="宋体"/>
          <w:color w:val="auto"/>
          <w:highlight w:val="none"/>
        </w:rPr>
        <w:t xml:space="preserve"> </w:t>
      </w:r>
    </w:p>
    <w:p w14:paraId="1CC9C4D3">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3.6.1 除投标人须知前附表规定允许外，投标人不得递交备选投标方案，否则其投标将被否决。 </w:t>
      </w:r>
    </w:p>
    <w:p w14:paraId="36C37830">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14:paraId="3A08F827">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3.6.3 投标人提供两个或两个以上投标报价，或者在投标文件中提供一个报价，但同时提供两个或两个以上检测方案的，视为提供备选方案。 </w:t>
      </w:r>
    </w:p>
    <w:p w14:paraId="39ABD53B">
      <w:pPr>
        <w:pStyle w:val="6"/>
        <w:spacing w:after="0" w:line="480" w:lineRule="auto"/>
        <w:ind w:left="132" w:right="0"/>
        <w:rPr>
          <w:rFonts w:hint="eastAsia" w:ascii="宋体" w:hAnsi="宋体" w:eastAsia="宋体" w:cs="宋体"/>
          <w:color w:val="auto"/>
          <w:highlight w:val="none"/>
        </w:rPr>
      </w:pPr>
      <w:bookmarkStart w:id="43" w:name="_Toc526894997"/>
      <w:r>
        <w:rPr>
          <w:rFonts w:hint="eastAsia" w:ascii="宋体" w:hAnsi="宋体" w:eastAsia="宋体" w:cs="宋体"/>
          <w:color w:val="auto"/>
          <w:highlight w:val="none"/>
        </w:rPr>
        <w:t>3.7 投标文件的编制</w:t>
      </w:r>
      <w:bookmarkEnd w:id="43"/>
      <w:r>
        <w:rPr>
          <w:rFonts w:hint="eastAsia" w:ascii="宋体" w:hAnsi="宋体" w:eastAsia="宋体" w:cs="宋体"/>
          <w:color w:val="auto"/>
          <w:highlight w:val="none"/>
        </w:rPr>
        <w:t xml:space="preserve"> </w:t>
      </w:r>
    </w:p>
    <w:p w14:paraId="635F92FC">
      <w:pPr>
        <w:spacing w:after="0" w:line="480" w:lineRule="auto"/>
        <w:ind w:firstLine="420" w:firstLineChars="200"/>
        <w:outlineLvl w:val="0"/>
        <w:rPr>
          <w:rFonts w:hint="eastAsia" w:ascii="宋体" w:hAnsi="宋体" w:eastAsia="宋体" w:cs="宋体"/>
          <w:color w:val="auto"/>
          <w:highlight w:val="none"/>
        </w:rPr>
      </w:pPr>
      <w:bookmarkStart w:id="44" w:name="_Toc20165"/>
      <w:r>
        <w:rPr>
          <w:rFonts w:hint="eastAsia" w:ascii="宋体" w:hAnsi="宋体" w:eastAsia="宋体" w:cs="宋体"/>
          <w:color w:val="auto"/>
          <w:sz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bookmarkEnd w:id="44"/>
    </w:p>
    <w:p w14:paraId="0A980097">
      <w:pPr>
        <w:spacing w:after="0" w:line="480" w:lineRule="auto"/>
        <w:ind w:firstLine="420" w:firstLineChars="200"/>
        <w:outlineLvl w:val="0"/>
        <w:rPr>
          <w:rFonts w:hint="eastAsia" w:ascii="宋体" w:hAnsi="宋体" w:eastAsia="宋体" w:cs="宋体"/>
          <w:color w:val="auto"/>
          <w:highlight w:val="none"/>
        </w:rPr>
      </w:pPr>
      <w:bookmarkStart w:id="45" w:name="_Toc17005"/>
      <w:r>
        <w:rPr>
          <w:rFonts w:hint="eastAsia" w:ascii="宋体" w:hAnsi="宋体" w:eastAsia="宋体" w:cs="宋体"/>
          <w:color w:val="auto"/>
          <w:sz w:val="21"/>
          <w:highlight w:val="none"/>
        </w:rPr>
        <w:t>3.7.2 投标文件应当对招标文件有关服务期限、投标有效期等实质性内容作出响应。</w:t>
      </w:r>
      <w:bookmarkEnd w:id="45"/>
    </w:p>
    <w:p w14:paraId="4C5D62CD">
      <w:pPr>
        <w:spacing w:after="0"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highlight w:val="none"/>
        </w:rPr>
        <w:t>3.7.3</w:t>
      </w:r>
      <w:r>
        <w:rPr>
          <w:rFonts w:hint="eastAsia" w:ascii="宋体" w:hAnsi="宋体" w:eastAsia="宋体" w:cs="宋体"/>
          <w:color w:val="auto"/>
          <w:sz w:val="21"/>
          <w:szCs w:val="21"/>
          <w:highlight w:val="none"/>
          <w:u w:val="single"/>
        </w:rPr>
        <w:t>电子投标文件的编制要求：</w:t>
      </w:r>
    </w:p>
    <w:p w14:paraId="66154DC1">
      <w:pPr>
        <w:spacing w:after="0"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投标人应使用广州公共资源交易中心的投标文件管理软件进行投标文件的合成、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14:paraId="2E427BEF">
      <w:pPr>
        <w:spacing w:after="0"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取消在招标文件中采用个人数字证书和加盖个人电子印章要求，投标文件中需法定代表人、代理人签字或加盖电子印章的，应手签或盖章后扫描上传，对加盖个人电子印章不做要求。投标文件按招标文件要求加盖单位电子印章。相关操作详见广州公共资源交易中心网站最新发布的《房建市政全流程电子化项目操作专章》。</w:t>
      </w:r>
    </w:p>
    <w:p w14:paraId="6A4DC575">
      <w:pPr>
        <w:spacing w:after="0"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③投标文件的内容均以电子文件（纸质原件的扫描件，《广州建设工程投标信息表》除外）编制，其格式要求详见第六章投标文件格式说明。</w:t>
      </w:r>
    </w:p>
    <w:p w14:paraId="3FAB0FDF">
      <w:pPr>
        <w:spacing w:after="0"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④投标文件应按上述的编排要求编制。如因不按上述编排要求编制而所引起系统无法检索、读取相关信息时，其后果将由投标人自行承担。</w:t>
      </w:r>
    </w:p>
    <w:p w14:paraId="7C85BE0D">
      <w:pPr>
        <w:spacing w:after="0"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有关无纸化电子招投标的操作手册可自行在广州公共资源交易中心网站相关栏目下载。</w:t>
      </w:r>
    </w:p>
    <w:p w14:paraId="20064E95">
      <w:pPr>
        <w:pStyle w:val="4"/>
        <w:spacing w:after="0" w:line="480" w:lineRule="auto"/>
        <w:ind w:left="-5" w:right="0"/>
        <w:rPr>
          <w:rFonts w:hint="eastAsia" w:ascii="宋体" w:hAnsi="宋体" w:eastAsia="宋体" w:cs="宋体"/>
          <w:color w:val="auto"/>
          <w:highlight w:val="none"/>
        </w:rPr>
      </w:pPr>
      <w:bookmarkStart w:id="46" w:name="_Toc526894998"/>
      <w:bookmarkStart w:id="47" w:name="_Toc27683_WPSOffice_Level2"/>
      <w:bookmarkStart w:id="48" w:name="_Toc9225_WPSOffice_Level2"/>
      <w:bookmarkStart w:id="49" w:name="_Toc430"/>
      <w:r>
        <w:rPr>
          <w:rFonts w:hint="eastAsia" w:ascii="宋体" w:hAnsi="宋体" w:eastAsia="宋体" w:cs="宋体"/>
          <w:b/>
          <w:color w:val="auto"/>
          <w:sz w:val="32"/>
          <w:highlight w:val="none"/>
        </w:rPr>
        <w:t xml:space="preserve">4. </w:t>
      </w:r>
      <w:r>
        <w:rPr>
          <w:rFonts w:hint="eastAsia" w:ascii="宋体" w:hAnsi="宋体" w:eastAsia="宋体" w:cs="宋体"/>
          <w:color w:val="auto"/>
          <w:sz w:val="32"/>
          <w:highlight w:val="none"/>
        </w:rPr>
        <w:t>投标</w:t>
      </w:r>
      <w:bookmarkEnd w:id="46"/>
      <w:bookmarkEnd w:id="47"/>
      <w:bookmarkEnd w:id="48"/>
      <w:bookmarkEnd w:id="49"/>
      <w:r>
        <w:rPr>
          <w:rFonts w:hint="eastAsia" w:ascii="宋体" w:hAnsi="宋体" w:eastAsia="宋体" w:cs="宋体"/>
          <w:b/>
          <w:color w:val="auto"/>
          <w:sz w:val="32"/>
          <w:highlight w:val="none"/>
        </w:rPr>
        <w:t xml:space="preserve"> </w:t>
      </w:r>
    </w:p>
    <w:p w14:paraId="6C675D69">
      <w:pPr>
        <w:pStyle w:val="6"/>
        <w:spacing w:after="0" w:line="480" w:lineRule="auto"/>
        <w:ind w:left="132" w:right="0"/>
        <w:rPr>
          <w:rFonts w:hint="eastAsia" w:ascii="宋体" w:hAnsi="宋体" w:eastAsia="宋体" w:cs="宋体"/>
          <w:color w:val="auto"/>
          <w:highlight w:val="none"/>
        </w:rPr>
      </w:pPr>
      <w:bookmarkStart w:id="50" w:name="_Toc526894999"/>
      <w:r>
        <w:rPr>
          <w:rFonts w:hint="eastAsia" w:ascii="宋体" w:hAnsi="宋体" w:eastAsia="宋体" w:cs="宋体"/>
          <w:color w:val="auto"/>
          <w:highlight w:val="none"/>
        </w:rPr>
        <w:t>4.1 投标文件的密封和标记</w:t>
      </w:r>
      <w:bookmarkEnd w:id="50"/>
      <w:r>
        <w:rPr>
          <w:rFonts w:hint="eastAsia" w:ascii="宋体" w:hAnsi="宋体" w:eastAsia="宋体" w:cs="宋体"/>
          <w:color w:val="auto"/>
          <w:highlight w:val="none"/>
        </w:rPr>
        <w:t xml:space="preserve"> </w:t>
      </w:r>
    </w:p>
    <w:p w14:paraId="2FD17312">
      <w:pPr>
        <w:spacing w:after="0"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1"/>
          <w:highlight w:val="none"/>
        </w:rPr>
        <w:t>4.1.1</w:t>
      </w:r>
      <w:r>
        <w:rPr>
          <w:rFonts w:hint="eastAsia" w:ascii="宋体" w:hAnsi="宋体" w:eastAsia="宋体" w:cs="宋体"/>
          <w:color w:val="auto"/>
          <w:sz w:val="21"/>
          <w:highlight w:val="none"/>
          <w:u w:val="single"/>
        </w:rPr>
        <w:t>投标人应当按照招标文件和电子招标投标交易平台的要求加密电子投标文件，具体要求见投标人须知前附表。</w:t>
      </w:r>
    </w:p>
    <w:p w14:paraId="3D702D96">
      <w:pPr>
        <w:spacing w:after="0" w:line="48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4.1.2投标文件的密封要求：投标人应使用广州公共资源交易中心交易服务系统提供的软件制作电子投标文件并进行电子签章及加密打包。不得修改所生成电子投标文件的文件格式。</w:t>
      </w:r>
    </w:p>
    <w:p w14:paraId="38F5CAFC">
      <w:pPr>
        <w:spacing w:after="0" w:line="48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4.1.3投标文件的电子签章要求：电子投标文件必须包含完整的投标人电子签章。</w:t>
      </w:r>
    </w:p>
    <w:p w14:paraId="2E81393D">
      <w:pPr>
        <w:pStyle w:val="6"/>
        <w:spacing w:after="0" w:line="480" w:lineRule="auto"/>
        <w:ind w:left="132" w:right="0"/>
        <w:rPr>
          <w:rFonts w:hint="eastAsia" w:ascii="宋体" w:hAnsi="宋体" w:eastAsia="宋体" w:cs="宋体"/>
          <w:color w:val="auto"/>
          <w:highlight w:val="none"/>
        </w:rPr>
      </w:pPr>
      <w:bookmarkStart w:id="51" w:name="_Toc526895000"/>
      <w:r>
        <w:rPr>
          <w:rFonts w:hint="eastAsia" w:ascii="宋体" w:hAnsi="宋体" w:eastAsia="宋体" w:cs="宋体"/>
          <w:color w:val="auto"/>
          <w:highlight w:val="none"/>
        </w:rPr>
        <w:t>4.2 投标文件的递交</w:t>
      </w:r>
      <w:bookmarkEnd w:id="51"/>
      <w:r>
        <w:rPr>
          <w:rFonts w:hint="eastAsia" w:ascii="宋体" w:hAnsi="宋体" w:eastAsia="宋体" w:cs="宋体"/>
          <w:color w:val="auto"/>
          <w:highlight w:val="none"/>
        </w:rPr>
        <w:t xml:space="preserve"> </w:t>
      </w:r>
    </w:p>
    <w:p w14:paraId="6F857732">
      <w:pPr>
        <w:spacing w:after="0" w:line="480" w:lineRule="auto"/>
        <w:ind w:firstLine="424" w:firstLineChars="202"/>
        <w:outlineLvl w:val="0"/>
        <w:rPr>
          <w:rFonts w:hint="eastAsia" w:ascii="宋体" w:hAnsi="宋体" w:eastAsia="宋体" w:cs="宋体"/>
          <w:color w:val="auto"/>
          <w:highlight w:val="none"/>
        </w:rPr>
      </w:pPr>
      <w:bookmarkStart w:id="52" w:name="_Toc1778"/>
      <w:r>
        <w:rPr>
          <w:rFonts w:hint="eastAsia" w:ascii="宋体" w:hAnsi="宋体" w:eastAsia="宋体" w:cs="宋体"/>
          <w:color w:val="auto"/>
          <w:sz w:val="21"/>
          <w:highlight w:val="none"/>
        </w:rPr>
        <w:t>4.2.1 投标人应在投标人须知前附表规定的投标截止时间前递交投标文件。</w:t>
      </w:r>
      <w:r>
        <w:rPr>
          <w:rFonts w:hint="eastAsia" w:ascii="宋体" w:hAnsi="宋体" w:eastAsia="宋体" w:cs="宋体"/>
          <w:color w:val="auto"/>
          <w:sz w:val="21"/>
          <w:highlight w:val="none"/>
          <w:u w:val="single"/>
        </w:rPr>
        <w:t>投标人应在上传电子投标文件前将投标人的相关信息在广州公共资源交易中心信息系统中录入完毕。</w:t>
      </w:r>
      <w:r>
        <w:rPr>
          <w:rFonts w:hint="eastAsia" w:ascii="宋体" w:hAnsi="宋体" w:eastAsia="宋体" w:cs="宋体"/>
          <w:color w:val="auto"/>
          <w:sz w:val="21"/>
          <w:szCs w:val="21"/>
          <w:highlight w:val="none"/>
          <w:u w:val="single"/>
        </w:rPr>
        <w:t>到投标截止时间止，招标人收到的投标文件少于三家的，招标人将依法重新组织招标。</w:t>
      </w:r>
      <w:bookmarkEnd w:id="52"/>
    </w:p>
    <w:p w14:paraId="33F06C9E">
      <w:pPr>
        <w:spacing w:after="0" w:line="480" w:lineRule="auto"/>
        <w:ind w:firstLine="424" w:firstLineChars="202"/>
        <w:outlineLvl w:val="0"/>
        <w:rPr>
          <w:rFonts w:hint="eastAsia" w:ascii="宋体" w:hAnsi="宋体" w:eastAsia="宋体" w:cs="宋体"/>
          <w:color w:val="auto"/>
          <w:highlight w:val="none"/>
        </w:rPr>
      </w:pPr>
      <w:bookmarkStart w:id="53" w:name="_Toc14596"/>
      <w:r>
        <w:rPr>
          <w:rFonts w:hint="eastAsia" w:ascii="宋体" w:hAnsi="宋体" w:eastAsia="宋体" w:cs="宋体"/>
          <w:color w:val="auto"/>
          <w:sz w:val="21"/>
          <w:highlight w:val="none"/>
        </w:rPr>
        <w:t>4.2.2</w:t>
      </w:r>
      <w:r>
        <w:rPr>
          <w:rFonts w:hint="eastAsia" w:ascii="宋体" w:hAnsi="宋体" w:eastAsia="宋体" w:cs="宋体"/>
          <w:color w:val="auto"/>
          <w:sz w:val="21"/>
          <w:highlight w:val="none"/>
          <w:u w:val="single"/>
        </w:rPr>
        <w:t>投标人通过下载招标文件的电子招标投标交易平台（即广州公共资源交易中心网，下同）递交电子投标文件。</w:t>
      </w:r>
      <w:bookmarkEnd w:id="53"/>
    </w:p>
    <w:p w14:paraId="142BAA45">
      <w:pPr>
        <w:spacing w:after="0" w:line="480" w:lineRule="auto"/>
        <w:ind w:firstLine="424" w:firstLineChars="202"/>
        <w:outlineLvl w:val="0"/>
        <w:rPr>
          <w:rFonts w:hint="eastAsia" w:ascii="宋体" w:hAnsi="宋体" w:eastAsia="宋体" w:cs="宋体"/>
          <w:color w:val="auto"/>
          <w:highlight w:val="none"/>
        </w:rPr>
      </w:pPr>
      <w:bookmarkStart w:id="54" w:name="_Toc31843"/>
      <w:r>
        <w:rPr>
          <w:rFonts w:hint="eastAsia" w:ascii="宋体" w:hAnsi="宋体" w:eastAsia="宋体" w:cs="宋体"/>
          <w:color w:val="auto"/>
          <w:sz w:val="21"/>
          <w:highlight w:val="none"/>
        </w:rPr>
        <w:t>4.2.3 除投标人须知前附表另有规定外，投标人所递交的投标文件不予退还。</w:t>
      </w:r>
      <w:bookmarkEnd w:id="54"/>
    </w:p>
    <w:p w14:paraId="4CD9203D">
      <w:pPr>
        <w:spacing w:after="0" w:line="480" w:lineRule="auto"/>
        <w:ind w:firstLine="424" w:firstLineChars="202"/>
        <w:outlineLvl w:val="0"/>
        <w:rPr>
          <w:rFonts w:hint="eastAsia" w:ascii="宋体" w:hAnsi="宋体" w:eastAsia="宋体" w:cs="宋体"/>
          <w:color w:val="auto"/>
          <w:highlight w:val="none"/>
        </w:rPr>
      </w:pPr>
      <w:bookmarkStart w:id="55" w:name="_Toc2037"/>
      <w:r>
        <w:rPr>
          <w:rFonts w:hint="eastAsia" w:ascii="宋体" w:hAnsi="宋体" w:eastAsia="宋体" w:cs="宋体"/>
          <w:color w:val="auto"/>
          <w:sz w:val="21"/>
          <w:highlight w:val="none"/>
        </w:rPr>
        <w:t>4.2.4</w:t>
      </w:r>
      <w:r>
        <w:rPr>
          <w:rFonts w:hint="eastAsia" w:ascii="宋体" w:hAnsi="宋体" w:eastAsia="宋体" w:cs="宋体"/>
          <w:color w:val="auto"/>
          <w:sz w:val="21"/>
          <w:highlight w:val="none"/>
          <w:u w:val="single"/>
        </w:rPr>
        <w:t>投标人完成电子投标文件上传后，电子招标投标交易平台即时向投标人发出递交回执通知。递交时间以递交回执通知载明的传输完成时间为准。</w:t>
      </w:r>
      <w:bookmarkEnd w:id="55"/>
    </w:p>
    <w:p w14:paraId="5E584F36">
      <w:pPr>
        <w:spacing w:after="0" w:line="480" w:lineRule="auto"/>
        <w:ind w:firstLine="424" w:firstLineChars="202"/>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4.2.5</w:t>
      </w:r>
      <w:r>
        <w:rPr>
          <w:rFonts w:hint="eastAsia" w:ascii="宋体" w:hAnsi="宋体" w:eastAsia="宋体" w:cs="宋体"/>
          <w:color w:val="auto"/>
          <w:sz w:val="21"/>
          <w:highlight w:val="none"/>
          <w:u w:val="single"/>
        </w:rPr>
        <w:t>电子投标文件若出现以下情况之一的，招标人将按废标处理：</w:t>
      </w:r>
    </w:p>
    <w:p w14:paraId="6E1212FE">
      <w:pPr>
        <w:spacing w:after="0" w:line="480" w:lineRule="auto"/>
        <w:ind w:firstLine="424" w:firstLineChars="202"/>
        <w:outlineLvl w:val="0"/>
        <w:rPr>
          <w:rFonts w:hint="eastAsia" w:ascii="宋体" w:hAnsi="宋体" w:eastAsia="宋体" w:cs="宋体"/>
          <w:color w:val="auto"/>
          <w:sz w:val="21"/>
          <w:highlight w:val="none"/>
          <w:u w:val="single"/>
        </w:rPr>
      </w:pPr>
      <w:bookmarkStart w:id="56" w:name="_Toc31972"/>
      <w:r>
        <w:rPr>
          <w:rFonts w:hint="eastAsia" w:ascii="宋体" w:hAnsi="宋体" w:eastAsia="宋体" w:cs="宋体"/>
          <w:color w:val="auto"/>
          <w:sz w:val="21"/>
          <w:highlight w:val="none"/>
          <w:u w:val="single"/>
        </w:rPr>
        <w:t>①电子投标文件未在投标截止时间前成功上传并保存在交易中心数字交易平台的；</w:t>
      </w:r>
      <w:bookmarkEnd w:id="56"/>
    </w:p>
    <w:p w14:paraId="49F94DD4">
      <w:pPr>
        <w:spacing w:after="0" w:line="480" w:lineRule="auto"/>
        <w:ind w:firstLine="424" w:firstLineChars="202"/>
        <w:outlineLvl w:val="0"/>
        <w:rPr>
          <w:rFonts w:hint="eastAsia" w:ascii="宋体" w:hAnsi="宋体" w:eastAsia="宋体" w:cs="宋体"/>
          <w:color w:val="auto"/>
          <w:sz w:val="21"/>
          <w:highlight w:val="none"/>
          <w:u w:val="single"/>
        </w:rPr>
      </w:pPr>
      <w:bookmarkStart w:id="57" w:name="_Toc19736"/>
      <w:r>
        <w:rPr>
          <w:rFonts w:hint="eastAsia" w:ascii="宋体" w:hAnsi="宋体" w:eastAsia="宋体" w:cs="宋体"/>
          <w:color w:val="auto"/>
          <w:sz w:val="21"/>
          <w:highlight w:val="none"/>
          <w:u w:val="single"/>
        </w:rPr>
        <w:t>②因投标人原因造成电子投标文件未解密或逾期解密的；</w:t>
      </w:r>
      <w:bookmarkEnd w:id="57"/>
    </w:p>
    <w:p w14:paraId="3D376843">
      <w:pPr>
        <w:spacing w:after="0" w:line="480" w:lineRule="auto"/>
        <w:ind w:firstLine="424" w:firstLineChars="202"/>
        <w:outlineLvl w:val="0"/>
        <w:rPr>
          <w:rFonts w:hint="eastAsia" w:ascii="宋体" w:hAnsi="宋体" w:eastAsia="宋体" w:cs="宋体"/>
          <w:color w:val="auto"/>
          <w:sz w:val="21"/>
          <w:highlight w:val="none"/>
          <w:u w:val="single"/>
        </w:rPr>
      </w:pPr>
      <w:bookmarkStart w:id="58" w:name="_Toc15849"/>
      <w:r>
        <w:rPr>
          <w:rFonts w:hint="eastAsia" w:ascii="宋体" w:hAnsi="宋体" w:eastAsia="宋体" w:cs="宋体"/>
          <w:color w:val="auto"/>
          <w:sz w:val="21"/>
          <w:highlight w:val="none"/>
          <w:u w:val="single"/>
        </w:rPr>
        <w:t>③两个（含两个）以上的投标人加密打包的电子投标文件电脑机器码一致的；</w:t>
      </w:r>
      <w:bookmarkEnd w:id="58"/>
    </w:p>
    <w:p w14:paraId="42745082">
      <w:pPr>
        <w:spacing w:after="0" w:line="480" w:lineRule="auto"/>
        <w:ind w:firstLine="424" w:firstLineChars="202"/>
        <w:outlineLvl w:val="0"/>
        <w:rPr>
          <w:rFonts w:hint="eastAsia" w:ascii="宋体" w:hAnsi="宋体" w:eastAsia="宋体" w:cs="宋体"/>
          <w:color w:val="auto"/>
          <w:sz w:val="21"/>
          <w:highlight w:val="none"/>
          <w:u w:val="single"/>
        </w:rPr>
      </w:pPr>
      <w:bookmarkStart w:id="59" w:name="_Toc18179"/>
      <w:r>
        <w:rPr>
          <w:rFonts w:hint="eastAsia" w:ascii="宋体" w:hAnsi="宋体" w:eastAsia="宋体" w:cs="宋体"/>
          <w:color w:val="auto"/>
          <w:sz w:val="21"/>
          <w:highlight w:val="none"/>
          <w:u w:val="single"/>
        </w:rPr>
        <w:t>④投标文件中的投标人、项目负责人与投标登记时的信息不一致的。</w:t>
      </w:r>
      <w:bookmarkEnd w:id="59"/>
    </w:p>
    <w:p w14:paraId="3AE618F2">
      <w:pPr>
        <w:spacing w:after="0" w:line="480" w:lineRule="auto"/>
        <w:ind w:firstLine="424" w:firstLineChars="202"/>
        <w:rPr>
          <w:rFonts w:hint="eastAsia" w:ascii="宋体" w:hAnsi="宋体" w:eastAsia="宋体" w:cs="宋体"/>
          <w:color w:val="auto"/>
          <w:sz w:val="21"/>
          <w:highlight w:val="none"/>
          <w:u w:val="single"/>
        </w:rPr>
      </w:pPr>
      <w:bookmarkStart w:id="60" w:name="page30"/>
      <w:bookmarkEnd w:id="60"/>
      <w:r>
        <w:rPr>
          <w:rFonts w:hint="eastAsia" w:ascii="宋体" w:hAnsi="宋体" w:eastAsia="宋体" w:cs="宋体"/>
          <w:color w:val="auto"/>
          <w:sz w:val="21"/>
          <w:highlight w:val="none"/>
          <w:u w:val="single"/>
        </w:rPr>
        <w:t>4.2.6电子投标文件的解密：电子投标文件</w:t>
      </w:r>
      <w:r>
        <w:rPr>
          <w:rFonts w:hint="eastAsia" w:ascii="宋体" w:hAnsi="宋体" w:eastAsia="宋体" w:cs="宋体"/>
          <w:color w:val="auto"/>
          <w:sz w:val="21"/>
          <w:szCs w:val="21"/>
          <w:highlight w:val="none"/>
          <w:u w:val="single"/>
        </w:rPr>
        <w:t>递交截止时间到达后的</w:t>
      </w:r>
      <w:r>
        <w:rPr>
          <w:rFonts w:hint="eastAsia" w:ascii="宋体" w:hAnsi="宋体" w:eastAsia="宋体" w:cs="宋体"/>
          <w:b/>
          <w:color w:val="auto"/>
          <w:sz w:val="21"/>
          <w:szCs w:val="21"/>
          <w:highlight w:val="none"/>
          <w:u w:val="single"/>
        </w:rPr>
        <w:t>半个小时内</w:t>
      </w:r>
      <w:r>
        <w:rPr>
          <w:rFonts w:hint="eastAsia" w:ascii="宋体" w:hAnsi="宋体" w:eastAsia="宋体" w:cs="宋体"/>
          <w:color w:val="auto"/>
          <w:sz w:val="21"/>
          <w:szCs w:val="21"/>
          <w:highlight w:val="none"/>
          <w:u w:val="single"/>
        </w:rPr>
        <w:t>为投标人对电子投标文件的解密时间。投标人须在规定解密时间内使用制作该电子投标文件的机构业务数字证书对投标文件进行解密。逾期未解密的电子投标文件将被否决。</w:t>
      </w:r>
    </w:p>
    <w:p w14:paraId="54464321">
      <w:pPr>
        <w:pStyle w:val="6"/>
        <w:spacing w:after="0" w:line="480" w:lineRule="auto"/>
        <w:ind w:left="132" w:right="0"/>
        <w:rPr>
          <w:rFonts w:hint="eastAsia" w:ascii="宋体" w:hAnsi="宋体" w:eastAsia="宋体" w:cs="宋体"/>
          <w:color w:val="auto"/>
          <w:highlight w:val="none"/>
        </w:rPr>
      </w:pPr>
      <w:bookmarkStart w:id="61" w:name="_Toc526895001"/>
      <w:r>
        <w:rPr>
          <w:rFonts w:hint="eastAsia" w:ascii="宋体" w:hAnsi="宋体" w:eastAsia="宋体" w:cs="宋体"/>
          <w:color w:val="auto"/>
          <w:highlight w:val="none"/>
        </w:rPr>
        <w:t>4.3</w:t>
      </w:r>
      <w:r>
        <w:rPr>
          <w:rFonts w:hint="eastAsia" w:ascii="宋体" w:hAnsi="宋体" w:eastAsia="宋体" w:cs="宋体"/>
          <w:color w:val="auto"/>
          <w:highlight w:val="none"/>
          <w:u w:val="single"/>
        </w:rPr>
        <w:t>投标文件的修改与撤回</w:t>
      </w:r>
      <w:bookmarkEnd w:id="61"/>
    </w:p>
    <w:p w14:paraId="177F0B0E">
      <w:pPr>
        <w:spacing w:after="0" w:line="480" w:lineRule="auto"/>
        <w:ind w:firstLine="424" w:firstLineChars="202"/>
        <w:outlineLvl w:val="0"/>
        <w:rPr>
          <w:rFonts w:hint="eastAsia" w:ascii="宋体" w:hAnsi="宋体" w:eastAsia="宋体" w:cs="宋体"/>
          <w:color w:val="auto"/>
          <w:highlight w:val="none"/>
        </w:rPr>
      </w:pPr>
      <w:bookmarkStart w:id="62" w:name="_Toc20229"/>
      <w:r>
        <w:rPr>
          <w:rFonts w:hint="eastAsia" w:ascii="宋体" w:hAnsi="宋体" w:eastAsia="宋体" w:cs="宋体"/>
          <w:color w:val="auto"/>
          <w:sz w:val="21"/>
          <w:szCs w:val="21"/>
          <w:highlight w:val="none"/>
        </w:rPr>
        <w:t xml:space="preserve">4.3.1 </w:t>
      </w:r>
      <w:r>
        <w:rPr>
          <w:rFonts w:hint="eastAsia" w:ascii="宋体" w:hAnsi="宋体" w:eastAsia="宋体" w:cs="宋体"/>
          <w:color w:val="auto"/>
          <w:sz w:val="21"/>
          <w:szCs w:val="21"/>
          <w:highlight w:val="none"/>
          <w:u w:val="single"/>
        </w:rPr>
        <w:t>在本章第 4.2.1 项规定的投标截止时间前，投标人可以修改或撤回已递交的投标文件。</w:t>
      </w:r>
      <w:bookmarkEnd w:id="62"/>
    </w:p>
    <w:p w14:paraId="5A65855D">
      <w:pPr>
        <w:spacing w:after="0" w:line="480" w:lineRule="auto"/>
        <w:ind w:firstLine="424" w:firstLineChars="202"/>
        <w:outlineLvl w:val="0"/>
        <w:rPr>
          <w:rFonts w:hint="eastAsia" w:ascii="宋体" w:hAnsi="宋体" w:eastAsia="宋体" w:cs="宋体"/>
          <w:color w:val="auto"/>
          <w:highlight w:val="none"/>
        </w:rPr>
      </w:pPr>
      <w:bookmarkStart w:id="63" w:name="_Toc6716"/>
      <w:r>
        <w:rPr>
          <w:rFonts w:hint="eastAsia" w:ascii="宋体" w:hAnsi="宋体" w:eastAsia="宋体" w:cs="宋体"/>
          <w:color w:val="auto"/>
          <w:sz w:val="21"/>
          <w:highlight w:val="none"/>
        </w:rPr>
        <w:t>4.3.2</w:t>
      </w:r>
      <w:r>
        <w:rPr>
          <w:rFonts w:hint="eastAsia" w:ascii="宋体" w:hAnsi="宋体" w:eastAsia="宋体" w:cs="宋体"/>
          <w:color w:val="auto"/>
          <w:sz w:val="21"/>
          <w:highlight w:val="none"/>
          <w:u w:val="single"/>
        </w:rPr>
        <w:t>投标人修改或撤回已递交电子投标文件的通知，应按照本章第 3.7.3项的要求加盖电子印章。电子招标投标交易平台收到通知后，即时向投标人发出确认回执通知。</w:t>
      </w:r>
      <w:bookmarkEnd w:id="63"/>
    </w:p>
    <w:p w14:paraId="3FA98DAF">
      <w:pPr>
        <w:spacing w:after="0" w:line="480" w:lineRule="auto"/>
        <w:ind w:firstLine="424" w:firstLineChars="202"/>
        <w:outlineLvl w:val="0"/>
        <w:rPr>
          <w:rFonts w:hint="eastAsia" w:ascii="宋体" w:hAnsi="宋体" w:eastAsia="宋体" w:cs="宋体"/>
          <w:strike/>
          <w:color w:val="auto"/>
          <w:highlight w:val="none"/>
        </w:rPr>
      </w:pPr>
      <w:bookmarkStart w:id="64" w:name="_Toc26453"/>
      <w:r>
        <w:rPr>
          <w:rFonts w:hint="eastAsia" w:ascii="宋体" w:hAnsi="宋体" w:eastAsia="宋体" w:cs="宋体"/>
          <w:strike/>
          <w:color w:val="auto"/>
          <w:sz w:val="21"/>
          <w:highlight w:val="none"/>
        </w:rPr>
        <w:t>4.3.3投标人撤回投标文件的，招标人自</w:t>
      </w:r>
      <w:r>
        <w:rPr>
          <w:rFonts w:hint="eastAsia" w:ascii="宋体" w:hAnsi="宋体" w:eastAsia="宋体" w:cs="宋体"/>
          <w:strike/>
          <w:color w:val="auto"/>
          <w:sz w:val="21"/>
          <w:highlight w:val="none"/>
          <w:u w:val="single"/>
        </w:rPr>
        <w:t>中标候选人公示结束</w:t>
      </w:r>
      <w:r>
        <w:rPr>
          <w:rFonts w:hint="eastAsia" w:ascii="宋体" w:hAnsi="宋体" w:eastAsia="宋体" w:cs="宋体"/>
          <w:strike/>
          <w:color w:val="auto"/>
          <w:sz w:val="21"/>
          <w:highlight w:val="none"/>
        </w:rPr>
        <w:t>之日起 5 日内</w:t>
      </w:r>
      <w:r>
        <w:rPr>
          <w:rFonts w:hint="eastAsia" w:ascii="宋体" w:hAnsi="宋体" w:eastAsia="宋体" w:cs="宋体"/>
          <w:strike/>
          <w:color w:val="auto"/>
          <w:sz w:val="21"/>
          <w:highlight w:val="none"/>
          <w:u w:val="single"/>
        </w:rPr>
        <w:t>向广州公共资源交易中心申请</w:t>
      </w:r>
      <w:r>
        <w:rPr>
          <w:rFonts w:hint="eastAsia" w:ascii="宋体" w:hAnsi="宋体" w:eastAsia="宋体" w:cs="宋体"/>
          <w:strike/>
          <w:color w:val="auto"/>
          <w:sz w:val="21"/>
          <w:highlight w:val="none"/>
        </w:rPr>
        <w:t>退还已收取的投标保证金。</w:t>
      </w:r>
      <w:bookmarkEnd w:id="64"/>
    </w:p>
    <w:p w14:paraId="65C43E7C">
      <w:pPr>
        <w:spacing w:after="0" w:line="480" w:lineRule="auto"/>
        <w:ind w:firstLine="424" w:firstLineChars="202"/>
        <w:outlineLvl w:val="0"/>
        <w:rPr>
          <w:rFonts w:hint="eastAsia" w:ascii="宋体" w:hAnsi="宋体" w:eastAsia="宋体" w:cs="宋体"/>
          <w:color w:val="auto"/>
          <w:sz w:val="21"/>
          <w:highlight w:val="none"/>
        </w:rPr>
      </w:pPr>
      <w:bookmarkStart w:id="65" w:name="_Toc10879"/>
      <w:r>
        <w:rPr>
          <w:rFonts w:hint="eastAsia" w:ascii="宋体" w:hAnsi="宋体" w:eastAsia="宋体" w:cs="宋体"/>
          <w:color w:val="auto"/>
          <w:sz w:val="21"/>
          <w:highlight w:val="none"/>
        </w:rPr>
        <w:t>4.3.4 修改的内容为投标文件的组成部分。</w:t>
      </w:r>
      <w:r>
        <w:rPr>
          <w:rFonts w:hint="eastAsia" w:ascii="宋体" w:hAnsi="宋体" w:eastAsia="宋体" w:cs="宋体"/>
          <w:color w:val="auto"/>
          <w:sz w:val="21"/>
          <w:highlight w:val="none"/>
          <w:u w:val="single"/>
        </w:rPr>
        <w:t>修改的投标文件应按照本章第 3 条、第 4 条的规定进行编制和递交。</w:t>
      </w:r>
      <w:bookmarkEnd w:id="65"/>
    </w:p>
    <w:p w14:paraId="187DFE82">
      <w:pPr>
        <w:spacing w:after="0" w:line="480" w:lineRule="auto"/>
        <w:ind w:firstLine="424" w:firstLineChars="202"/>
        <w:outlineLvl w:val="0"/>
        <w:rPr>
          <w:rFonts w:hint="eastAsia" w:ascii="宋体" w:hAnsi="宋体" w:eastAsia="宋体" w:cs="宋体"/>
          <w:color w:val="auto"/>
          <w:sz w:val="21"/>
          <w:highlight w:val="none"/>
        </w:rPr>
      </w:pPr>
      <w:bookmarkStart w:id="66" w:name="_Toc32142"/>
      <w:r>
        <w:rPr>
          <w:rFonts w:hint="eastAsia" w:ascii="宋体" w:hAnsi="宋体" w:eastAsia="宋体" w:cs="宋体"/>
          <w:color w:val="auto"/>
          <w:sz w:val="21"/>
          <w:highlight w:val="none"/>
          <w:u w:val="single"/>
        </w:rPr>
        <w:t>4.3.5</w:t>
      </w:r>
      <w:r>
        <w:rPr>
          <w:rFonts w:hint="eastAsia" w:ascii="宋体" w:hAnsi="宋体" w:eastAsia="宋体" w:cs="宋体"/>
          <w:color w:val="auto"/>
          <w:sz w:val="21"/>
          <w:szCs w:val="21"/>
          <w:highlight w:val="none"/>
          <w:u w:val="single"/>
        </w:rPr>
        <w:t>在投标截止后，投标人在投标文件中填报的投标有效期终止日前，投标人不能撤回投标文件，否则</w:t>
      </w:r>
      <w:r>
        <w:rPr>
          <w:rFonts w:hint="eastAsia" w:ascii="宋体" w:hAnsi="宋体" w:eastAsia="宋体" w:cs="宋体"/>
          <w:strike/>
          <w:color w:val="auto"/>
          <w:sz w:val="21"/>
          <w:szCs w:val="21"/>
          <w:highlight w:val="none"/>
          <w:u w:val="single"/>
        </w:rPr>
        <w:t>其投标保证金（即投标担保）将被没收，且</w:t>
      </w:r>
      <w:r>
        <w:rPr>
          <w:rFonts w:hint="eastAsia" w:ascii="宋体" w:hAnsi="宋体" w:eastAsia="宋体" w:cs="宋体"/>
          <w:color w:val="auto"/>
          <w:sz w:val="21"/>
          <w:szCs w:val="21"/>
          <w:highlight w:val="none"/>
          <w:u w:val="single"/>
        </w:rPr>
        <w:t>招标人有权就其撤回行为报告政府主管部门载入不良信用记录</w:t>
      </w:r>
      <w:r>
        <w:rPr>
          <w:rFonts w:hint="eastAsia" w:ascii="宋体" w:hAnsi="宋体" w:eastAsia="宋体" w:cs="宋体"/>
          <w:color w:val="auto"/>
          <w:sz w:val="21"/>
          <w:highlight w:val="none"/>
          <w:u w:val="single"/>
        </w:rPr>
        <w:t>。</w:t>
      </w:r>
      <w:bookmarkEnd w:id="66"/>
    </w:p>
    <w:p w14:paraId="5D22CD3D">
      <w:pPr>
        <w:spacing w:after="0" w:line="48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4.4</w:t>
      </w:r>
      <w:r>
        <w:rPr>
          <w:rFonts w:hint="eastAsia" w:ascii="宋体" w:hAnsi="宋体" w:eastAsia="宋体" w:cs="宋体"/>
          <w:b/>
          <w:bCs/>
          <w:color w:val="auto"/>
          <w:sz w:val="24"/>
          <w:highlight w:val="none"/>
        </w:rPr>
        <w:t xml:space="preserve"> 迟交的投标文件</w:t>
      </w:r>
    </w:p>
    <w:p w14:paraId="26E45C8F">
      <w:pPr>
        <w:spacing w:after="0" w:line="48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highlight w:val="none"/>
        </w:rPr>
        <w:t>.1投标截止时间到达后，电子评标系统将不允许投标人上传投标文件。</w:t>
      </w:r>
    </w:p>
    <w:p w14:paraId="415002D0">
      <w:pPr>
        <w:spacing w:after="0" w:line="48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b/>
          <w:bCs/>
          <w:color w:val="auto"/>
          <w:sz w:val="24"/>
          <w:highlight w:val="none"/>
        </w:rPr>
        <w:t xml:space="preserve"> 投标文件的补充、修改与撤回</w:t>
      </w:r>
    </w:p>
    <w:p w14:paraId="25B6FB50">
      <w:pPr>
        <w:spacing w:after="0" w:line="48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highlight w:val="none"/>
        </w:rPr>
        <w:t>.1 投标人在递交投标文件截止时间前，可以撤回或替换已递交的投标文件。</w:t>
      </w:r>
    </w:p>
    <w:p w14:paraId="1848FB89">
      <w:pPr>
        <w:spacing w:after="0" w:line="48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highlight w:val="none"/>
        </w:rPr>
        <w:t>.3 在递交投标文件截止时间后，投标人不得补充、修改和更换投标文件。</w:t>
      </w:r>
    </w:p>
    <w:p w14:paraId="085E3AC0">
      <w:pPr>
        <w:snapToGrid w:val="0"/>
        <w:spacing w:after="0" w:line="48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highlight w:val="none"/>
        </w:rPr>
        <w:t>.4 在递交投标文件截止时间后，投标人在投标文件格式中规定的有效期终止日前，投标人不能撤回投标文件，否则其投标担保将不予退还，且招标人有权就其撤回行为报告政府主管部门载入不良信用记录。</w:t>
      </w:r>
    </w:p>
    <w:p w14:paraId="6F2A029A">
      <w:pPr>
        <w:snapToGrid w:val="0"/>
        <w:spacing w:after="0"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4.6</w:t>
      </w:r>
      <w:r>
        <w:rPr>
          <w:rFonts w:hint="eastAsia" w:ascii="宋体" w:hAnsi="宋体" w:eastAsia="宋体" w:cs="宋体"/>
          <w:b/>
          <w:color w:val="auto"/>
          <w:sz w:val="24"/>
          <w:highlight w:val="none"/>
        </w:rPr>
        <w:t xml:space="preserve"> 投标信息录入</w:t>
      </w:r>
    </w:p>
    <w:p w14:paraId="053C8980">
      <w:pPr>
        <w:spacing w:after="0"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highlight w:val="none"/>
        </w:rPr>
        <w:t>.1 投标人应在上传电子投标文件前将投标人的相关信息在广州公共资源交易中心信息系统中录入完毕。</w:t>
      </w:r>
    </w:p>
    <w:p w14:paraId="46895906">
      <w:pPr>
        <w:spacing w:after="0"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4.7</w:t>
      </w:r>
      <w:r>
        <w:rPr>
          <w:rFonts w:hint="eastAsia" w:ascii="宋体" w:hAnsi="宋体" w:eastAsia="宋体" w:cs="宋体"/>
          <w:b/>
          <w:color w:val="auto"/>
          <w:sz w:val="24"/>
          <w:highlight w:val="none"/>
        </w:rPr>
        <w:t xml:space="preserve"> 投标文件的解密</w:t>
      </w:r>
    </w:p>
    <w:p w14:paraId="70BB75C6">
      <w:pPr>
        <w:tabs>
          <w:tab w:val="left" w:pos="105"/>
        </w:tabs>
        <w:spacing w:after="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4.7.1递交投标文件截止时间到达后的</w:t>
      </w:r>
      <w:r>
        <w:rPr>
          <w:rFonts w:hint="eastAsia" w:ascii="宋体" w:hAnsi="宋体" w:eastAsia="宋体"/>
          <w:b/>
          <w:color w:val="auto"/>
          <w:sz w:val="21"/>
          <w:szCs w:val="21"/>
          <w:highlight w:val="none"/>
        </w:rPr>
        <w:t>半个小时内</w:t>
      </w:r>
      <w:r>
        <w:rPr>
          <w:rFonts w:hint="eastAsia" w:ascii="宋体" w:hAnsi="宋体" w:eastAsia="宋体" w:cs="宋体"/>
          <w:color w:val="auto"/>
          <w:sz w:val="24"/>
          <w:szCs w:val="24"/>
          <w:highlight w:val="none"/>
        </w:rPr>
        <w:t>内为投标人对电子投标文件解密时间。</w:t>
      </w:r>
    </w:p>
    <w:p w14:paraId="684C1688">
      <w:pPr>
        <w:spacing w:after="0"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4.7.2投标人须在规定解密时间内使用制作该投标文件的机构业务数字证书对投标文件进行解密。逾期未解密的电子投标文件将被否决。</w:t>
      </w:r>
    </w:p>
    <w:p w14:paraId="636FB6BE">
      <w:pPr>
        <w:pStyle w:val="4"/>
        <w:spacing w:after="0" w:line="480" w:lineRule="auto"/>
        <w:ind w:left="-5" w:right="0"/>
        <w:rPr>
          <w:rFonts w:hint="eastAsia" w:ascii="宋体" w:hAnsi="宋体" w:eastAsia="宋体" w:cs="宋体"/>
          <w:color w:val="auto"/>
          <w:highlight w:val="none"/>
        </w:rPr>
      </w:pPr>
      <w:bookmarkStart w:id="67" w:name="_Toc526895002"/>
      <w:bookmarkStart w:id="68" w:name="_Toc31084_WPSOffice_Level2"/>
      <w:bookmarkStart w:id="69" w:name="_Toc11790_WPSOffice_Level2"/>
      <w:bookmarkStart w:id="70" w:name="_Toc6891"/>
      <w:r>
        <w:rPr>
          <w:rFonts w:hint="eastAsia" w:ascii="宋体" w:hAnsi="宋体" w:eastAsia="宋体" w:cs="宋体"/>
          <w:b/>
          <w:color w:val="auto"/>
          <w:sz w:val="32"/>
          <w:highlight w:val="none"/>
        </w:rPr>
        <w:t xml:space="preserve">5. </w:t>
      </w:r>
      <w:r>
        <w:rPr>
          <w:rFonts w:hint="eastAsia" w:ascii="宋体" w:hAnsi="宋体" w:eastAsia="宋体" w:cs="宋体"/>
          <w:color w:val="auto"/>
          <w:sz w:val="32"/>
          <w:highlight w:val="none"/>
        </w:rPr>
        <w:t>开标</w:t>
      </w:r>
      <w:bookmarkEnd w:id="67"/>
      <w:bookmarkEnd w:id="68"/>
      <w:bookmarkEnd w:id="69"/>
      <w:bookmarkEnd w:id="70"/>
      <w:r>
        <w:rPr>
          <w:rFonts w:hint="eastAsia" w:ascii="宋体" w:hAnsi="宋体" w:eastAsia="宋体" w:cs="宋体"/>
          <w:b/>
          <w:color w:val="auto"/>
          <w:sz w:val="32"/>
          <w:highlight w:val="none"/>
        </w:rPr>
        <w:t xml:space="preserve"> </w:t>
      </w:r>
    </w:p>
    <w:p w14:paraId="3B0A94B9">
      <w:pPr>
        <w:pStyle w:val="6"/>
        <w:spacing w:after="0" w:line="480" w:lineRule="auto"/>
        <w:ind w:left="132" w:right="0"/>
        <w:rPr>
          <w:rFonts w:hint="eastAsia" w:ascii="宋体" w:hAnsi="宋体" w:eastAsia="宋体" w:cs="宋体"/>
          <w:color w:val="auto"/>
          <w:highlight w:val="none"/>
        </w:rPr>
      </w:pPr>
      <w:bookmarkStart w:id="71" w:name="_Toc526895003"/>
      <w:r>
        <w:rPr>
          <w:rFonts w:hint="eastAsia" w:ascii="宋体" w:hAnsi="宋体" w:eastAsia="宋体" w:cs="宋体"/>
          <w:color w:val="auto"/>
          <w:highlight w:val="none"/>
        </w:rPr>
        <w:t>5.1 开标时间和地点</w:t>
      </w:r>
      <w:bookmarkEnd w:id="71"/>
      <w:r>
        <w:rPr>
          <w:rFonts w:hint="eastAsia" w:ascii="宋体" w:hAnsi="宋体" w:eastAsia="宋体" w:cs="宋体"/>
          <w:color w:val="auto"/>
          <w:highlight w:val="none"/>
        </w:rPr>
        <w:t xml:space="preserve"> </w:t>
      </w:r>
    </w:p>
    <w:p w14:paraId="6550CE4D">
      <w:pPr>
        <w:spacing w:after="0" w:line="480" w:lineRule="auto"/>
        <w:ind w:firstLine="525" w:firstLineChars="25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招标人在本章投标人须知前附表条款号5.1 项规定的开标时间和地点，通过电子招标投标交易平台公开开标，</w:t>
      </w:r>
      <w:r>
        <w:rPr>
          <w:rFonts w:hint="eastAsia" w:ascii="宋体" w:hAnsi="宋体" w:eastAsia="宋体" w:cs="宋体"/>
          <w:color w:val="auto"/>
          <w:sz w:val="21"/>
          <w:szCs w:val="21"/>
          <w:highlight w:val="none"/>
          <w:u w:val="single"/>
        </w:rPr>
        <w:t>开标过程邀请所有投标人的法定代表人或其委托代理人准时参加，如投标人不参与开标，视同认可整个开标过程和结果。上述时间及地点是否有改变，请密切留意招标答疑纪要的相关信息。</w:t>
      </w:r>
    </w:p>
    <w:p w14:paraId="16EC7FE0">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bookmarkStart w:id="72" w:name="_Toc526895004"/>
      <w:r>
        <w:rPr>
          <w:rFonts w:hint="eastAsia" w:ascii="宋体" w:hAnsi="宋体" w:eastAsia="宋体" w:cs="宋体"/>
          <w:color w:val="auto"/>
          <w:highlight w:val="none"/>
        </w:rPr>
        <w:t>5.2 开标程序</w:t>
      </w:r>
      <w:bookmarkEnd w:id="72"/>
      <w:r>
        <w:rPr>
          <w:rFonts w:hint="eastAsia" w:ascii="宋体" w:hAnsi="宋体" w:eastAsia="宋体" w:cs="宋体"/>
          <w:color w:val="auto"/>
          <w:highlight w:val="none"/>
        </w:rPr>
        <w:t xml:space="preserve"> </w:t>
      </w:r>
    </w:p>
    <w:p w14:paraId="68283ACE">
      <w:pPr>
        <w:spacing w:after="0" w:line="480" w:lineRule="auto"/>
        <w:ind w:left="780"/>
        <w:rPr>
          <w:rFonts w:hint="eastAsia" w:ascii="宋体" w:hAnsi="宋体" w:eastAsia="宋体" w:cs="宋体"/>
          <w:color w:val="auto"/>
          <w:highlight w:val="none"/>
        </w:rPr>
      </w:pPr>
      <w:r>
        <w:rPr>
          <w:rFonts w:hint="eastAsia" w:ascii="宋体" w:hAnsi="宋体" w:eastAsia="宋体" w:cs="宋体"/>
          <w:color w:val="auto"/>
          <w:sz w:val="21"/>
          <w:highlight w:val="none"/>
        </w:rPr>
        <w:t>主持人按下列程序进行开标：</w:t>
      </w:r>
    </w:p>
    <w:p w14:paraId="126E590B">
      <w:pPr>
        <w:spacing w:after="0" w:line="480" w:lineRule="auto"/>
        <w:ind w:left="780"/>
        <w:rPr>
          <w:rFonts w:hint="eastAsia" w:ascii="宋体" w:hAnsi="宋体" w:eastAsia="宋体" w:cs="宋体"/>
          <w:color w:val="auto"/>
          <w:highlight w:val="none"/>
        </w:rPr>
      </w:pPr>
      <w:r>
        <w:rPr>
          <w:rFonts w:hint="eastAsia" w:ascii="宋体" w:hAnsi="宋体" w:eastAsia="宋体" w:cs="宋体"/>
          <w:color w:val="auto"/>
          <w:sz w:val="21"/>
          <w:highlight w:val="none"/>
        </w:rPr>
        <w:t>（1）宣布开标纪律；</w:t>
      </w:r>
    </w:p>
    <w:p w14:paraId="16135E32">
      <w:pPr>
        <w:spacing w:after="0" w:line="480" w:lineRule="auto"/>
        <w:ind w:left="780"/>
        <w:rPr>
          <w:rFonts w:hint="eastAsia" w:ascii="宋体" w:hAnsi="宋体" w:eastAsia="宋体" w:cs="宋体"/>
          <w:color w:val="auto"/>
          <w:highlight w:val="none"/>
        </w:rPr>
      </w:pPr>
      <w:r>
        <w:rPr>
          <w:rFonts w:hint="eastAsia" w:ascii="宋体" w:hAnsi="宋体" w:eastAsia="宋体" w:cs="宋体"/>
          <w:color w:val="auto"/>
          <w:sz w:val="21"/>
          <w:highlight w:val="none"/>
        </w:rPr>
        <w:t>（2）公布在投标截止时间前递交投标文件的投标人名称；</w:t>
      </w:r>
    </w:p>
    <w:p w14:paraId="7D0F5053">
      <w:pPr>
        <w:spacing w:after="0" w:line="480" w:lineRule="auto"/>
        <w:ind w:left="780"/>
        <w:rPr>
          <w:rFonts w:hint="eastAsia" w:ascii="宋体" w:hAnsi="宋体" w:eastAsia="宋体" w:cs="宋体"/>
          <w:color w:val="auto"/>
          <w:highlight w:val="none"/>
        </w:rPr>
      </w:pPr>
      <w:r>
        <w:rPr>
          <w:rFonts w:hint="eastAsia" w:ascii="宋体" w:hAnsi="宋体" w:eastAsia="宋体" w:cs="宋体"/>
          <w:color w:val="auto"/>
          <w:sz w:val="21"/>
          <w:highlight w:val="none"/>
        </w:rPr>
        <w:t>（3）宣布开标人、唱标人、记录人、监标人等有关人员姓名；</w:t>
      </w:r>
    </w:p>
    <w:p w14:paraId="7B06E03E">
      <w:pPr>
        <w:spacing w:after="0" w:line="480" w:lineRule="auto"/>
        <w:ind w:left="396" w:leftChars="180"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（4）</w:t>
      </w:r>
      <w:bookmarkStart w:id="73" w:name="page31"/>
      <w:bookmarkEnd w:id="73"/>
      <w:r>
        <w:rPr>
          <w:rFonts w:hint="eastAsia" w:ascii="宋体" w:hAnsi="宋体" w:eastAsia="宋体" w:cs="宋体"/>
          <w:color w:val="auto"/>
          <w:sz w:val="21"/>
          <w:highlight w:val="none"/>
          <w:u w:val="single"/>
        </w:rPr>
        <w:t>导入电子招标文件；</w:t>
      </w:r>
    </w:p>
    <w:p w14:paraId="12886695">
      <w:pPr>
        <w:spacing w:after="0" w:line="480" w:lineRule="auto"/>
        <w:ind w:left="396" w:leftChars="18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highlight w:val="none"/>
          <w:u w:val="single"/>
        </w:rPr>
        <w:t>交易中心数字交易平台开标系统自动检查电子投标文件的递交、投标人解密情况；逾期未完成投标人解密的电子投标文件将按废标处理。如因交易中心数字交易平台开标系统原因导致投标人解密失败，则待交易系统恢复正常后，由招标人另择时间进行开标和评标；</w:t>
      </w:r>
    </w:p>
    <w:p w14:paraId="020248EB">
      <w:pPr>
        <w:spacing w:after="0" w:line="480" w:lineRule="auto"/>
        <w:ind w:left="400"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highlight w:val="none"/>
          <w:u w:val="single"/>
        </w:rPr>
        <w:t>招标人（或招标代理人）使用制作该电子招标文件的机构业务数字证书对已完成投标人解密的电子投标文件进行招标人解密；若因交易中心数字交易平台开标系统原因导致招标人解密不成功，则待交易系统恢复正常后，由招标人另择时间进行开标和评标；</w:t>
      </w:r>
    </w:p>
    <w:p w14:paraId="1E8AA87D">
      <w:pPr>
        <w:spacing w:after="0" w:line="480" w:lineRule="auto"/>
        <w:ind w:left="396" w:leftChars="180" w:firstLine="420" w:firstLineChars="200"/>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highlight w:val="none"/>
          <w:u w:val="single"/>
        </w:rPr>
        <w:t>将所有解密成功的电子投标文件导入交易中心数字交易平台开标系统并公开开标，按照交易中心数字交易平台开标系统自动确定的电子投标文件顺序进行开标、唱标；若因交易中心数字交易平台开标系统原因导致无法采用电子投标文件进行开标，则待交易系统恢复正常后，由招标人另择时间进行开标和评标；</w:t>
      </w:r>
    </w:p>
    <w:p w14:paraId="70BE4940">
      <w:pPr>
        <w:spacing w:after="0" w:line="480" w:lineRule="auto"/>
        <w:ind w:left="400" w:firstLine="378" w:firstLineChars="18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（8）按照宣布的开标顺序当众唱标，公布投标人名称、投标报价、服务技术要求、服务期限及其他内容，并记录在案；</w:t>
      </w:r>
    </w:p>
    <w:p w14:paraId="679C284E">
      <w:pPr>
        <w:spacing w:after="0" w:line="480" w:lineRule="auto"/>
        <w:ind w:left="78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（9）投标人代表、招标人代表、监标人、记录人等有关人员在开标记录上签字确认；</w:t>
      </w:r>
    </w:p>
    <w:p w14:paraId="755310E8">
      <w:pPr>
        <w:spacing w:after="0" w:line="480" w:lineRule="auto"/>
        <w:ind w:left="78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(10) 开标结束。</w:t>
      </w:r>
    </w:p>
    <w:p w14:paraId="42B136BF">
      <w:pPr>
        <w:pStyle w:val="6"/>
        <w:spacing w:after="0" w:line="480" w:lineRule="auto"/>
        <w:ind w:left="132" w:right="0"/>
        <w:rPr>
          <w:rFonts w:hint="eastAsia" w:ascii="宋体" w:hAnsi="宋体" w:eastAsia="宋体" w:cs="宋体"/>
          <w:color w:val="auto"/>
          <w:highlight w:val="none"/>
        </w:rPr>
      </w:pPr>
      <w:bookmarkStart w:id="74" w:name="_Toc526895005"/>
      <w:r>
        <w:rPr>
          <w:rFonts w:hint="eastAsia" w:ascii="宋体" w:hAnsi="宋体" w:eastAsia="宋体" w:cs="宋体"/>
          <w:color w:val="auto"/>
          <w:highlight w:val="none"/>
        </w:rPr>
        <w:t>5.3 开标异议</w:t>
      </w:r>
      <w:bookmarkEnd w:id="74"/>
      <w:r>
        <w:rPr>
          <w:rFonts w:hint="eastAsia" w:ascii="宋体" w:hAnsi="宋体" w:eastAsia="宋体" w:cs="宋体"/>
          <w:color w:val="auto"/>
          <w:highlight w:val="none"/>
        </w:rPr>
        <w:t xml:space="preserve"> </w:t>
      </w:r>
    </w:p>
    <w:p w14:paraId="26D2061F">
      <w:pPr>
        <w:spacing w:after="0" w:line="480" w:lineRule="auto"/>
        <w:ind w:left="442" w:leftChars="201"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投标人对开标有异议的，应当在开标现场提出，招标人当场作出答复，并制作</w:t>
      </w:r>
      <w:r>
        <w:rPr>
          <w:rFonts w:hint="eastAsia" w:ascii="宋体" w:hAnsi="宋体" w:eastAsia="宋体" w:cs="宋体"/>
          <w:color w:val="auto"/>
          <w:sz w:val="21"/>
          <w:highlight w:val="none"/>
          <w:u w:val="single"/>
        </w:rPr>
        <w:t>书面记录。异议成立的，招标人应当及时采取纠正措施，或者提交评标委员会评审确认；异议不成立的，招标人当场给予解释说明。招标人按照同一异议提起人一份记录的方式，对异议事项的处理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p w14:paraId="61945794">
      <w:pPr>
        <w:spacing w:line="360" w:lineRule="auto"/>
        <w:ind w:left="0" w:leftChars="0" w:firstLine="0" w:firstLineChars="0"/>
        <w:rPr>
          <w:rFonts w:hint="eastAsia" w:ascii="宋体" w:hAnsi="宋体" w:eastAsia="宋体" w:cs="宋体"/>
          <w:color w:val="auto"/>
          <w:highlight w:val="none"/>
        </w:rPr>
      </w:pPr>
      <w:bookmarkStart w:id="75" w:name="_Toc24673_WPSOffice_Level2"/>
      <w:bookmarkStart w:id="76" w:name="_Toc526895006"/>
      <w:bookmarkStart w:id="77" w:name="_Toc30813_WPSOffice_Level2"/>
      <w:bookmarkStart w:id="78" w:name="_Toc31404"/>
      <w:r>
        <w:rPr>
          <w:rFonts w:hint="eastAsia" w:ascii="宋体" w:hAnsi="宋体" w:eastAsia="宋体" w:cs="宋体"/>
          <w:b/>
          <w:color w:val="auto"/>
          <w:sz w:val="32"/>
          <w:highlight w:val="none"/>
        </w:rPr>
        <w:t xml:space="preserve">6. </w:t>
      </w:r>
      <w:r>
        <w:rPr>
          <w:rFonts w:hint="eastAsia" w:ascii="宋体" w:hAnsi="宋体" w:eastAsia="宋体" w:cs="宋体"/>
          <w:color w:val="auto"/>
          <w:sz w:val="32"/>
          <w:highlight w:val="none"/>
        </w:rPr>
        <w:t>评标</w:t>
      </w:r>
      <w:bookmarkEnd w:id="75"/>
      <w:bookmarkEnd w:id="76"/>
      <w:bookmarkEnd w:id="77"/>
      <w:bookmarkEnd w:id="78"/>
      <w:r>
        <w:rPr>
          <w:rFonts w:hint="eastAsia" w:ascii="宋体" w:hAnsi="宋体" w:eastAsia="宋体" w:cs="宋体"/>
          <w:b/>
          <w:color w:val="auto"/>
          <w:sz w:val="32"/>
          <w:highlight w:val="none"/>
        </w:rPr>
        <w:t xml:space="preserve"> </w:t>
      </w:r>
    </w:p>
    <w:p w14:paraId="1A24265F">
      <w:pPr>
        <w:pStyle w:val="6"/>
        <w:spacing w:after="0" w:line="480" w:lineRule="auto"/>
        <w:ind w:left="132" w:right="0"/>
        <w:rPr>
          <w:rFonts w:hint="eastAsia" w:ascii="宋体" w:hAnsi="宋体" w:eastAsia="宋体" w:cs="宋体"/>
          <w:color w:val="auto"/>
          <w:highlight w:val="none"/>
        </w:rPr>
      </w:pPr>
      <w:bookmarkStart w:id="79" w:name="_Toc526895007"/>
      <w:r>
        <w:rPr>
          <w:rFonts w:hint="eastAsia" w:ascii="宋体" w:hAnsi="宋体" w:eastAsia="宋体" w:cs="宋体"/>
          <w:color w:val="auto"/>
          <w:highlight w:val="none"/>
        </w:rPr>
        <w:t>6.1 评标委员会</w:t>
      </w:r>
      <w:bookmarkEnd w:id="79"/>
      <w:r>
        <w:rPr>
          <w:rFonts w:hint="eastAsia" w:ascii="宋体" w:hAnsi="宋体" w:eastAsia="宋体" w:cs="宋体"/>
          <w:color w:val="auto"/>
          <w:highlight w:val="none"/>
        </w:rPr>
        <w:t xml:space="preserve"> </w:t>
      </w:r>
    </w:p>
    <w:p w14:paraId="3221D1E9">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6.1.1 评标由招标人依法组建的评标委员会负责。</w:t>
      </w:r>
      <w:r>
        <w:rPr>
          <w:rFonts w:hint="eastAsia" w:ascii="宋体" w:hAnsi="宋体" w:eastAsia="宋体" w:cs="宋体"/>
          <w:color w:val="auto"/>
          <w:sz w:val="21"/>
          <w:highlight w:val="none"/>
          <w:u w:val="single"/>
        </w:rPr>
        <w:t>评标委员会由招标人依法组建。</w:t>
      </w:r>
      <w:r>
        <w:rPr>
          <w:rFonts w:hint="eastAsia" w:ascii="宋体" w:hAnsi="宋体" w:eastAsia="宋体" w:cs="宋体"/>
          <w:color w:val="auto"/>
          <w:sz w:val="21"/>
          <w:highlight w:val="none"/>
        </w:rPr>
        <w:t xml:space="preserve">评标委员会成员人数以及技术、经济等方面专家的确定方式见投标人须知前附表。 </w:t>
      </w:r>
    </w:p>
    <w:p w14:paraId="3E1AB775">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6.1.2 评标委员会成员有下列情形之一的，应当回避： </w:t>
      </w:r>
    </w:p>
    <w:p w14:paraId="57DCAAAF">
      <w:pPr>
        <w:numPr>
          <w:ilvl w:val="0"/>
          <w:numId w:val="5"/>
        </w:numPr>
        <w:spacing w:after="0" w:line="480" w:lineRule="auto"/>
        <w:ind w:left="718" w:hanging="58"/>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投标人或投标人主要负责人的近亲属； </w:t>
      </w:r>
    </w:p>
    <w:p w14:paraId="441C96FB">
      <w:pPr>
        <w:numPr>
          <w:ilvl w:val="0"/>
          <w:numId w:val="5"/>
        </w:numPr>
        <w:spacing w:after="0" w:line="480" w:lineRule="auto"/>
        <w:ind w:left="718" w:hanging="58"/>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项目主管部门或者行政监督部门的人员； </w:t>
      </w:r>
    </w:p>
    <w:p w14:paraId="4A626521">
      <w:pPr>
        <w:numPr>
          <w:ilvl w:val="0"/>
          <w:numId w:val="5"/>
        </w:numPr>
        <w:spacing w:after="0" w:line="480" w:lineRule="auto"/>
        <w:ind w:left="718" w:hanging="58"/>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与投标人有经济利益关系，可能影响对投标公正评审的； </w:t>
      </w:r>
    </w:p>
    <w:p w14:paraId="214CC1E6">
      <w:pPr>
        <w:numPr>
          <w:ilvl w:val="0"/>
          <w:numId w:val="5"/>
        </w:numPr>
        <w:spacing w:after="0" w:line="480" w:lineRule="auto"/>
        <w:ind w:left="718" w:hanging="58"/>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曾因在招标、评标以及其他与招标投标有关活动中从事违法行为而受过行政处罚或刑事处罚的； </w:t>
      </w:r>
    </w:p>
    <w:p w14:paraId="6CFFE290">
      <w:pPr>
        <w:numPr>
          <w:ilvl w:val="0"/>
          <w:numId w:val="5"/>
        </w:numPr>
        <w:spacing w:after="0" w:line="480" w:lineRule="auto"/>
        <w:ind w:left="718" w:hanging="58"/>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与投标人有其他利害关系。 </w:t>
      </w:r>
    </w:p>
    <w:p w14:paraId="24750B96">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6.1.3 评标过程中，评标委员会成员有回避事由、擅离职守或者因健康等原因不能继续评标的，招标人有权更换。被更换的评标委员会成员作出的评审结论无效，由更换后的评标委员会成员重新进行评审。 </w:t>
      </w:r>
    </w:p>
    <w:p w14:paraId="47410D9E">
      <w:pPr>
        <w:spacing w:after="0" w:line="480" w:lineRule="auto"/>
        <w:ind w:firstLine="420" w:firstLineChars="200"/>
        <w:outlineLvl w:val="0"/>
        <w:rPr>
          <w:rFonts w:hint="eastAsia" w:ascii="宋体" w:hAnsi="宋体" w:eastAsia="宋体" w:cs="宋体"/>
          <w:color w:val="auto"/>
          <w:sz w:val="21"/>
          <w:highlight w:val="none"/>
          <w:u w:val="single"/>
        </w:rPr>
      </w:pPr>
      <w:bookmarkStart w:id="80" w:name="_Toc401"/>
      <w:r>
        <w:rPr>
          <w:rFonts w:hint="eastAsia" w:ascii="宋体" w:hAnsi="宋体" w:eastAsia="宋体" w:cs="宋体"/>
          <w:color w:val="auto"/>
          <w:sz w:val="21"/>
          <w:szCs w:val="21"/>
          <w:highlight w:val="none"/>
          <w:u w:val="single"/>
        </w:rPr>
        <w:t>6.1.4招标人需将开标异议提交给评标委员会进行评审确认时，评标委员会须进行评审确认，不得以任何理由拒绝。</w:t>
      </w:r>
      <w:bookmarkEnd w:id="80"/>
    </w:p>
    <w:p w14:paraId="40110B02">
      <w:pPr>
        <w:pStyle w:val="6"/>
        <w:spacing w:after="0" w:line="480" w:lineRule="auto"/>
        <w:ind w:left="132" w:right="0"/>
        <w:rPr>
          <w:rFonts w:hint="eastAsia" w:ascii="宋体" w:hAnsi="宋体" w:eastAsia="宋体" w:cs="宋体"/>
          <w:color w:val="auto"/>
          <w:highlight w:val="none"/>
        </w:rPr>
      </w:pPr>
      <w:bookmarkStart w:id="81" w:name="_Toc526895008"/>
      <w:r>
        <w:rPr>
          <w:rFonts w:hint="eastAsia" w:ascii="宋体" w:hAnsi="宋体" w:eastAsia="宋体" w:cs="宋体"/>
          <w:color w:val="auto"/>
          <w:highlight w:val="none"/>
        </w:rPr>
        <w:t>6.2 评标原则</w:t>
      </w:r>
      <w:bookmarkEnd w:id="81"/>
      <w:r>
        <w:rPr>
          <w:rFonts w:hint="eastAsia" w:ascii="宋体" w:hAnsi="宋体" w:eastAsia="宋体" w:cs="宋体"/>
          <w:color w:val="auto"/>
          <w:highlight w:val="none"/>
        </w:rPr>
        <w:t xml:space="preserve"> </w:t>
      </w:r>
    </w:p>
    <w:p w14:paraId="7EFCE297">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评标活动遵循公平、公正、科学和择优的原则。 </w:t>
      </w:r>
    </w:p>
    <w:p w14:paraId="5D72C5F1">
      <w:pPr>
        <w:pStyle w:val="6"/>
        <w:spacing w:after="0" w:line="480" w:lineRule="auto"/>
        <w:ind w:left="132" w:right="0"/>
        <w:rPr>
          <w:rFonts w:hint="eastAsia" w:ascii="宋体" w:hAnsi="宋体" w:eastAsia="宋体" w:cs="宋体"/>
          <w:color w:val="auto"/>
          <w:highlight w:val="none"/>
        </w:rPr>
      </w:pPr>
      <w:bookmarkStart w:id="82" w:name="_Toc526895009"/>
      <w:r>
        <w:rPr>
          <w:rFonts w:hint="eastAsia" w:ascii="宋体" w:hAnsi="宋体" w:eastAsia="宋体" w:cs="宋体"/>
          <w:color w:val="auto"/>
          <w:highlight w:val="none"/>
        </w:rPr>
        <w:t>6.3 评标</w:t>
      </w:r>
      <w:bookmarkEnd w:id="82"/>
      <w:r>
        <w:rPr>
          <w:rFonts w:hint="eastAsia" w:ascii="宋体" w:hAnsi="宋体" w:eastAsia="宋体" w:cs="宋体"/>
          <w:color w:val="auto"/>
          <w:highlight w:val="none"/>
        </w:rPr>
        <w:t xml:space="preserve"> </w:t>
      </w:r>
    </w:p>
    <w:p w14:paraId="19204F27">
      <w:pPr>
        <w:spacing w:after="0" w:line="48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6.3.1 评标委员会按照第三章“评标办法”规定的方法、评审因素、标准和程序对投标文件进行评审。第三章“评标办法”没有规定的方法、评审因素和标准，不作为评标依据。 </w:t>
      </w:r>
    </w:p>
    <w:p w14:paraId="6A95D1F2">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评标完成后，评标委员会应当向招标人提交书面评标报告和中标候选人名单。评标委员会推荐中标候选人的人数见投标人须知前附表。 </w:t>
      </w:r>
    </w:p>
    <w:p w14:paraId="49BBF0D7">
      <w:pPr>
        <w:spacing w:after="0" w:line="48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6.3.3 评标委员会对招标人提交的开标异议必须依据招标文件的有关条款进行评审确认，评标委员会必须给出评审结论，不得以任何理由拒绝评审。</w:t>
      </w:r>
    </w:p>
    <w:p w14:paraId="2164714C">
      <w:pPr>
        <w:spacing w:after="0" w:line="480" w:lineRule="auto"/>
        <w:ind w:firstLine="525" w:firstLineChars="250"/>
        <w:outlineLvl w:val="0"/>
        <w:rPr>
          <w:rFonts w:hint="eastAsia" w:ascii="宋体" w:hAnsi="宋体" w:eastAsia="宋体" w:cs="宋体"/>
          <w:color w:val="auto"/>
          <w:sz w:val="21"/>
          <w:highlight w:val="none"/>
          <w:u w:val="single"/>
        </w:rPr>
      </w:pPr>
      <w:bookmarkStart w:id="83" w:name="_Toc20822"/>
      <w:r>
        <w:rPr>
          <w:rFonts w:hint="eastAsia" w:ascii="宋体" w:hAnsi="宋体" w:eastAsia="宋体" w:cs="宋体"/>
          <w:color w:val="auto"/>
          <w:sz w:val="21"/>
          <w:szCs w:val="21"/>
          <w:highlight w:val="none"/>
          <w:u w:val="single"/>
        </w:rPr>
        <w:t>6.3.4评标过程应急预案：</w:t>
      </w:r>
      <w:r>
        <w:rPr>
          <w:rFonts w:hint="eastAsia" w:ascii="宋体" w:hAnsi="宋体" w:eastAsia="宋体" w:cs="宋体"/>
          <w:color w:val="auto"/>
          <w:sz w:val="21"/>
          <w:szCs w:val="21"/>
          <w:highlight w:val="none"/>
          <w:u w:val="single"/>
          <w:lang w:bidi="ar"/>
        </w:rPr>
        <w:t>在电子评标过程中，如系统发生故障时，应立即通知广州公共资源交易中心进行技术排查，若经广州公共资源交易中心确认，故障无法当天解除，则评标委员会结束评审，待交易系统恢复正常后，由招标人另择时间进行评标。在电子</w:t>
      </w:r>
      <w:r>
        <w:rPr>
          <w:rFonts w:hint="eastAsia" w:ascii="宋体" w:hAnsi="宋体" w:eastAsia="宋体" w:cs="宋体"/>
          <w:color w:val="auto"/>
          <w:sz w:val="21"/>
          <w:szCs w:val="21"/>
          <w:highlight w:val="none"/>
          <w:u w:val="single"/>
        </w:rPr>
        <w:t>评标过程中，无论遇到任何系统异常或故障，评标委员会均应出具评标报告。</w:t>
      </w:r>
      <w:bookmarkEnd w:id="83"/>
    </w:p>
    <w:p w14:paraId="7A9ECC0F">
      <w:pPr>
        <w:pStyle w:val="4"/>
        <w:spacing w:after="0" w:line="480" w:lineRule="auto"/>
        <w:ind w:left="-5" w:right="0"/>
        <w:rPr>
          <w:rFonts w:hint="eastAsia" w:ascii="宋体" w:hAnsi="宋体" w:eastAsia="宋体" w:cs="宋体"/>
          <w:color w:val="auto"/>
          <w:highlight w:val="none"/>
        </w:rPr>
      </w:pPr>
      <w:bookmarkStart w:id="84" w:name="_Toc28634"/>
      <w:bookmarkStart w:id="85" w:name="_Toc10135_WPSOffice_Level2"/>
      <w:bookmarkStart w:id="86" w:name="_Toc526895010"/>
      <w:bookmarkStart w:id="87" w:name="_Toc26608_WPSOffice_Level2"/>
      <w:r>
        <w:rPr>
          <w:rFonts w:hint="eastAsia" w:ascii="宋体" w:hAnsi="宋体" w:eastAsia="宋体" w:cs="宋体"/>
          <w:b/>
          <w:color w:val="auto"/>
          <w:sz w:val="32"/>
          <w:highlight w:val="none"/>
        </w:rPr>
        <w:t xml:space="preserve">7. </w:t>
      </w:r>
      <w:r>
        <w:rPr>
          <w:rFonts w:hint="eastAsia" w:ascii="宋体" w:hAnsi="宋体" w:eastAsia="宋体" w:cs="宋体"/>
          <w:color w:val="auto"/>
          <w:sz w:val="32"/>
          <w:highlight w:val="none"/>
        </w:rPr>
        <w:t>合同授予</w:t>
      </w:r>
      <w:bookmarkEnd w:id="84"/>
      <w:bookmarkEnd w:id="85"/>
      <w:bookmarkEnd w:id="86"/>
      <w:bookmarkEnd w:id="87"/>
      <w:r>
        <w:rPr>
          <w:rFonts w:hint="eastAsia" w:ascii="宋体" w:hAnsi="宋体" w:eastAsia="宋体" w:cs="宋体"/>
          <w:b/>
          <w:color w:val="auto"/>
          <w:sz w:val="32"/>
          <w:highlight w:val="none"/>
        </w:rPr>
        <w:t xml:space="preserve"> </w:t>
      </w:r>
    </w:p>
    <w:p w14:paraId="2D90D51A">
      <w:pPr>
        <w:pStyle w:val="6"/>
        <w:spacing w:after="0" w:line="480" w:lineRule="auto"/>
        <w:ind w:left="132" w:right="0"/>
        <w:rPr>
          <w:rFonts w:hint="eastAsia" w:ascii="宋体" w:hAnsi="宋体" w:eastAsia="宋体" w:cs="宋体"/>
          <w:color w:val="auto"/>
          <w:highlight w:val="none"/>
        </w:rPr>
      </w:pPr>
      <w:bookmarkStart w:id="88" w:name="_Toc526895011"/>
      <w:r>
        <w:rPr>
          <w:rFonts w:hint="eastAsia" w:ascii="宋体" w:hAnsi="宋体" w:eastAsia="宋体" w:cs="宋体"/>
          <w:color w:val="auto"/>
          <w:highlight w:val="none"/>
        </w:rPr>
        <w:t>7.1 中标候选人公示</w:t>
      </w:r>
      <w:bookmarkEnd w:id="88"/>
      <w:r>
        <w:rPr>
          <w:rFonts w:hint="eastAsia" w:ascii="宋体" w:hAnsi="宋体" w:eastAsia="宋体" w:cs="宋体"/>
          <w:color w:val="auto"/>
          <w:highlight w:val="none"/>
        </w:rPr>
        <w:t xml:space="preserve"> </w:t>
      </w:r>
    </w:p>
    <w:p w14:paraId="2FCD3930">
      <w:pPr>
        <w:spacing w:after="0" w:line="480" w:lineRule="auto"/>
        <w:ind w:left="-15" w:firstLine="420" w:firstLineChars="200"/>
        <w:rPr>
          <w:rFonts w:hint="eastAsia" w:ascii="宋体" w:hAnsi="宋体" w:eastAsia="宋体" w:cs="宋体"/>
          <w:color w:val="auto"/>
          <w:highlight w:val="none"/>
          <w:u w:val="single"/>
        </w:rPr>
      </w:pPr>
      <w:r>
        <w:rPr>
          <w:rFonts w:hint="eastAsia" w:ascii="宋体" w:hAnsi="宋体" w:eastAsia="宋体" w:cs="宋体"/>
          <w:color w:val="auto"/>
          <w:sz w:val="21"/>
          <w:highlight w:val="none"/>
        </w:rPr>
        <w:t>按照投标人须知前附表规定的公示媒介和期限公示中标候选人，公示期不得少于 3 天</w:t>
      </w:r>
      <w:r>
        <w:rPr>
          <w:rFonts w:hint="eastAsia" w:ascii="宋体" w:hAnsi="宋体" w:eastAsia="宋体" w:cs="宋体"/>
          <w:color w:val="auto"/>
          <w:sz w:val="21"/>
          <w:highlight w:val="none"/>
          <w:u w:val="single"/>
        </w:rPr>
        <w:t xml:space="preserve">（公示期间的最后1天应当为工作日，否则将公示期的最后1天顺延至下一个工作日）。 </w:t>
      </w:r>
    </w:p>
    <w:p w14:paraId="4E45871C">
      <w:pPr>
        <w:pStyle w:val="6"/>
        <w:spacing w:after="0" w:line="480" w:lineRule="auto"/>
        <w:ind w:left="132" w:right="0"/>
        <w:rPr>
          <w:rFonts w:hint="eastAsia" w:ascii="宋体" w:hAnsi="宋体" w:eastAsia="宋体" w:cs="宋体"/>
          <w:color w:val="auto"/>
          <w:highlight w:val="none"/>
        </w:rPr>
      </w:pPr>
      <w:bookmarkStart w:id="89" w:name="_Toc526895012"/>
      <w:r>
        <w:rPr>
          <w:rFonts w:hint="eastAsia" w:ascii="宋体" w:hAnsi="宋体" w:eastAsia="宋体" w:cs="宋体"/>
          <w:color w:val="auto"/>
          <w:highlight w:val="none"/>
        </w:rPr>
        <w:t>7.2 评标结果异议</w:t>
      </w:r>
      <w:bookmarkEnd w:id="89"/>
      <w:r>
        <w:rPr>
          <w:rFonts w:hint="eastAsia" w:ascii="宋体" w:hAnsi="宋体" w:eastAsia="宋体" w:cs="宋体"/>
          <w:color w:val="auto"/>
          <w:highlight w:val="none"/>
        </w:rPr>
        <w:t xml:space="preserve"> </w:t>
      </w:r>
    </w:p>
    <w:p w14:paraId="6833C556">
      <w:pPr>
        <w:spacing w:after="0" w:line="480" w:lineRule="auto"/>
        <w:ind w:left="-15" w:firstLine="525" w:firstLineChars="25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投标人或者其他利害关系人对评标结果有异议的，应当在中标候选人公示期间提出。招标人将在收到异议之日起 3 日内作出答复；作出答复前，将暂停招标投标活动。 </w:t>
      </w:r>
    </w:p>
    <w:p w14:paraId="24F670F2">
      <w:pPr>
        <w:pStyle w:val="6"/>
        <w:spacing w:after="0" w:line="480" w:lineRule="auto"/>
        <w:ind w:left="132" w:right="0"/>
        <w:rPr>
          <w:rFonts w:hint="eastAsia" w:ascii="宋体" w:hAnsi="宋体" w:eastAsia="宋体" w:cs="宋体"/>
          <w:color w:val="auto"/>
          <w:highlight w:val="none"/>
        </w:rPr>
      </w:pPr>
      <w:bookmarkStart w:id="90" w:name="_Toc526895013"/>
      <w:r>
        <w:rPr>
          <w:rFonts w:hint="eastAsia" w:ascii="宋体" w:hAnsi="宋体" w:eastAsia="宋体" w:cs="宋体"/>
          <w:color w:val="auto"/>
          <w:highlight w:val="none"/>
        </w:rPr>
        <w:t>7.3 中标候选人履约能力审查</w:t>
      </w:r>
      <w:bookmarkEnd w:id="90"/>
      <w:r>
        <w:rPr>
          <w:rFonts w:hint="eastAsia" w:ascii="宋体" w:hAnsi="宋体" w:eastAsia="宋体" w:cs="宋体"/>
          <w:color w:val="auto"/>
          <w:highlight w:val="none"/>
        </w:rPr>
        <w:t xml:space="preserve"> </w:t>
      </w:r>
    </w:p>
    <w:p w14:paraId="094689E7">
      <w:pPr>
        <w:spacing w:after="0" w:line="480" w:lineRule="auto"/>
        <w:ind w:left="-15" w:firstLine="525" w:firstLineChars="25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中标候选人的经营、财务状况发生较大变化或存在违法行为，招标人认为可能影响其履约能力的，将在发出中标通知书前提请原评标委员会按照招标文件规定的标准和方法进行审查确认。 </w:t>
      </w:r>
    </w:p>
    <w:p w14:paraId="1C04A70E">
      <w:pPr>
        <w:pStyle w:val="6"/>
        <w:spacing w:after="0" w:line="480" w:lineRule="auto"/>
        <w:ind w:left="132" w:right="0"/>
        <w:rPr>
          <w:rFonts w:hint="eastAsia" w:ascii="宋体" w:hAnsi="宋体" w:eastAsia="宋体" w:cs="宋体"/>
          <w:color w:val="auto"/>
          <w:highlight w:val="none"/>
        </w:rPr>
      </w:pPr>
      <w:bookmarkStart w:id="91" w:name="_Toc526895014"/>
      <w:r>
        <w:rPr>
          <w:rFonts w:hint="eastAsia" w:ascii="宋体" w:hAnsi="宋体" w:eastAsia="宋体" w:cs="宋体"/>
          <w:color w:val="auto"/>
          <w:highlight w:val="none"/>
        </w:rPr>
        <w:t>7.4 定标</w:t>
      </w:r>
      <w:bookmarkEnd w:id="91"/>
      <w:r>
        <w:rPr>
          <w:rFonts w:hint="eastAsia" w:ascii="宋体" w:hAnsi="宋体" w:eastAsia="宋体" w:cs="宋体"/>
          <w:color w:val="auto"/>
          <w:highlight w:val="none"/>
        </w:rPr>
        <w:t xml:space="preserve"> </w:t>
      </w:r>
    </w:p>
    <w:p w14:paraId="4E12C58E">
      <w:pPr>
        <w:spacing w:after="0"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按照投标人须知前附表的规定，</w:t>
      </w:r>
      <w:r>
        <w:rPr>
          <w:rFonts w:hint="eastAsia" w:ascii="宋体" w:hAnsi="宋体" w:eastAsia="宋体" w:cs="宋体"/>
          <w:color w:val="auto"/>
          <w:sz w:val="21"/>
          <w:highlight w:val="none"/>
          <w:u w:val="single"/>
        </w:rPr>
        <w:t>招标人依法确定中标人。依法必须进行公开招标的项目，招标人应当确定排名第一的中标候选人为中标人。排名第一的中标候选人放弃中标、或被取消中标资格，或因不可抗力提出不能履行合同，招标人可以按照中标候选人顺序依次上升替补定标，以此类推。若本项目所有中标候选人都不能成为中标人，则本项目招标失败，招标人依法重新招标。</w:t>
      </w:r>
    </w:p>
    <w:p w14:paraId="5846B7F7">
      <w:pPr>
        <w:pStyle w:val="6"/>
        <w:spacing w:after="0" w:line="480" w:lineRule="auto"/>
        <w:ind w:left="132" w:right="0"/>
        <w:rPr>
          <w:rFonts w:hint="eastAsia" w:ascii="宋体" w:hAnsi="宋体" w:eastAsia="宋体" w:cs="宋体"/>
          <w:color w:val="auto"/>
          <w:highlight w:val="none"/>
        </w:rPr>
      </w:pPr>
      <w:bookmarkStart w:id="92" w:name="_Toc526895015"/>
      <w:r>
        <w:rPr>
          <w:rFonts w:hint="eastAsia" w:ascii="宋体" w:hAnsi="宋体" w:eastAsia="宋体" w:cs="宋体"/>
          <w:color w:val="auto"/>
          <w:highlight w:val="none"/>
        </w:rPr>
        <w:t>7.5 中标通知</w:t>
      </w:r>
      <w:bookmarkEnd w:id="92"/>
      <w:r>
        <w:rPr>
          <w:rFonts w:hint="eastAsia" w:ascii="宋体" w:hAnsi="宋体" w:eastAsia="宋体" w:cs="宋体"/>
          <w:color w:val="auto"/>
          <w:highlight w:val="none"/>
        </w:rPr>
        <w:t xml:space="preserve"> </w:t>
      </w:r>
    </w:p>
    <w:p w14:paraId="743E0777">
      <w:pPr>
        <w:spacing w:after="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在本章第 3.3 款规定的投标有效期内，</w:t>
      </w:r>
      <w:r>
        <w:rPr>
          <w:rFonts w:hint="eastAsia" w:ascii="宋体" w:hAnsi="宋体" w:eastAsia="宋体" w:cs="宋体"/>
          <w:color w:val="auto"/>
          <w:sz w:val="21"/>
          <w:highlight w:val="none"/>
          <w:u w:val="single"/>
        </w:rPr>
        <w:t>招标人以书面形式向中标人发出中标通</w:t>
      </w:r>
      <w:r>
        <w:rPr>
          <w:rFonts w:hint="eastAsia" w:ascii="宋体" w:hAnsi="宋体" w:eastAsia="宋体" w:cs="宋体"/>
          <w:color w:val="auto"/>
          <w:sz w:val="21"/>
          <w:szCs w:val="21"/>
          <w:highlight w:val="none"/>
          <w:u w:val="single"/>
        </w:rPr>
        <w:t>知书。中标通知书由招标人颁发，并经广州公共资源交易中心确认。</w:t>
      </w:r>
    </w:p>
    <w:p w14:paraId="2C05A6E7">
      <w:pPr>
        <w:pStyle w:val="6"/>
        <w:spacing w:after="0" w:line="480" w:lineRule="auto"/>
        <w:ind w:left="132" w:right="0"/>
        <w:rPr>
          <w:rFonts w:hint="eastAsia" w:ascii="宋体" w:hAnsi="宋体" w:eastAsia="宋体" w:cs="宋体"/>
          <w:color w:val="auto"/>
          <w:highlight w:val="none"/>
        </w:rPr>
      </w:pPr>
      <w:bookmarkStart w:id="93" w:name="_Toc526895016"/>
      <w:r>
        <w:rPr>
          <w:rFonts w:hint="eastAsia" w:ascii="宋体" w:hAnsi="宋体" w:eastAsia="宋体" w:cs="宋体"/>
          <w:color w:val="auto"/>
          <w:highlight w:val="none"/>
        </w:rPr>
        <w:t>7.6 履约保证金</w:t>
      </w:r>
      <w:bookmarkEnd w:id="93"/>
      <w:r>
        <w:rPr>
          <w:rFonts w:hint="eastAsia" w:ascii="宋体" w:hAnsi="宋体" w:eastAsia="宋体" w:cs="宋体"/>
          <w:color w:val="auto"/>
          <w:highlight w:val="none"/>
        </w:rPr>
        <w:t xml:space="preserve"> </w:t>
      </w:r>
    </w:p>
    <w:p w14:paraId="2AB1BBE2">
      <w:pPr>
        <w:spacing w:after="0" w:line="480" w:lineRule="auto"/>
        <w:ind w:firstLine="420" w:firstLineChars="200"/>
        <w:rPr>
          <w:rFonts w:hint="eastAsia" w:ascii="宋体" w:hAnsi="宋体" w:eastAsia="宋体" w:cs="宋体"/>
          <w:color w:val="auto"/>
          <w:sz w:val="21"/>
          <w:highlight w:val="none"/>
          <w:u w:val="single"/>
        </w:rPr>
      </w:pPr>
      <w:bookmarkStart w:id="94" w:name="_Toc526895017"/>
      <w:r>
        <w:rPr>
          <w:rFonts w:hint="eastAsia" w:ascii="宋体" w:hAnsi="宋体" w:eastAsia="宋体" w:cs="宋体"/>
          <w:color w:val="auto"/>
          <w:sz w:val="21"/>
          <w:highlight w:val="none"/>
          <w:u w:val="single"/>
        </w:rPr>
        <w:t>本项目不要求中标人提交履约保证金。</w:t>
      </w:r>
    </w:p>
    <w:p w14:paraId="5458187C">
      <w:pPr>
        <w:pStyle w:val="6"/>
        <w:spacing w:after="0" w:line="480" w:lineRule="auto"/>
        <w:ind w:left="132" w:right="0"/>
        <w:rPr>
          <w:rFonts w:hint="eastAsia" w:ascii="宋体" w:hAnsi="宋体" w:eastAsia="宋体" w:cs="宋体"/>
          <w:color w:val="auto"/>
          <w:highlight w:val="none"/>
        </w:rPr>
      </w:pPr>
      <w:r>
        <w:rPr>
          <w:rFonts w:hint="eastAsia" w:ascii="宋体" w:hAnsi="宋体" w:eastAsia="宋体" w:cs="宋体"/>
          <w:color w:val="auto"/>
          <w:highlight w:val="none"/>
        </w:rPr>
        <w:t>7.7 签订合同</w:t>
      </w:r>
      <w:bookmarkEnd w:id="94"/>
      <w:r>
        <w:rPr>
          <w:rFonts w:hint="eastAsia" w:ascii="宋体" w:hAnsi="宋体" w:eastAsia="宋体" w:cs="宋体"/>
          <w:color w:val="auto"/>
          <w:highlight w:val="none"/>
        </w:rPr>
        <w:t xml:space="preserve"> </w:t>
      </w:r>
    </w:p>
    <w:p w14:paraId="60C0C11C">
      <w:pPr>
        <w:spacing w:after="0" w:line="480" w:lineRule="auto"/>
        <w:ind w:left="-15" w:firstLine="525" w:firstLineChars="250"/>
        <w:rPr>
          <w:rFonts w:hint="eastAsia" w:ascii="宋体" w:hAnsi="宋体" w:eastAsia="宋体" w:cs="宋体"/>
          <w:color w:val="auto"/>
          <w:highlight w:val="none"/>
        </w:rPr>
      </w:pPr>
      <w:r>
        <w:rPr>
          <w:rFonts w:hint="eastAsia" w:ascii="宋体" w:hAnsi="宋体" w:eastAsia="宋体" w:cs="宋体"/>
          <w:color w:val="auto"/>
          <w:sz w:val="21"/>
          <w:highlight w:val="none"/>
        </w:rPr>
        <w:t>7.7.1 招标人和中标人应当在中标通知书发出之日起 30 日内，根据招标文件和中标人的投标文件订立书面合同。中标人无正当理由拒签合同，在签订合同时向招标人提出附加条件，招标人有权取消其中标资格</w:t>
      </w:r>
      <w:r>
        <w:rPr>
          <w:rFonts w:hint="eastAsia" w:ascii="宋体" w:hAnsi="宋体" w:eastAsia="宋体" w:cs="宋体"/>
          <w:strike/>
          <w:color w:val="auto"/>
          <w:sz w:val="21"/>
          <w:highlight w:val="none"/>
        </w:rPr>
        <w:t>，其投标保证金不予退还</w:t>
      </w:r>
      <w:r>
        <w:rPr>
          <w:rFonts w:hint="eastAsia" w:ascii="宋体" w:hAnsi="宋体" w:eastAsia="宋体" w:cs="宋体"/>
          <w:color w:val="auto"/>
          <w:sz w:val="21"/>
          <w:highlight w:val="none"/>
        </w:rPr>
        <w:t>；给招标人造成的损失</w:t>
      </w:r>
      <w:r>
        <w:rPr>
          <w:rFonts w:hint="eastAsia" w:ascii="宋体" w:hAnsi="宋体" w:eastAsia="宋体" w:cs="宋体"/>
          <w:strike/>
          <w:color w:val="auto"/>
          <w:sz w:val="21"/>
          <w:highlight w:val="none"/>
        </w:rPr>
        <w:t>超过投标保证金数额的</w:t>
      </w:r>
      <w:r>
        <w:rPr>
          <w:rFonts w:hint="eastAsia" w:ascii="宋体" w:hAnsi="宋体" w:eastAsia="宋体" w:cs="宋体"/>
          <w:color w:val="auto"/>
          <w:sz w:val="21"/>
          <w:highlight w:val="none"/>
        </w:rPr>
        <w:t>，中标人还应当</w:t>
      </w:r>
      <w:r>
        <w:rPr>
          <w:rFonts w:hint="eastAsia" w:ascii="宋体" w:hAnsi="宋体" w:eastAsia="宋体" w:cs="宋体"/>
          <w:strike/>
          <w:color w:val="auto"/>
          <w:sz w:val="21"/>
          <w:highlight w:val="none"/>
        </w:rPr>
        <w:t>对超过部分</w:t>
      </w:r>
      <w:r>
        <w:rPr>
          <w:rFonts w:hint="eastAsia" w:ascii="宋体" w:hAnsi="宋体" w:eastAsia="宋体" w:cs="宋体"/>
          <w:color w:val="auto"/>
          <w:sz w:val="21"/>
          <w:highlight w:val="none"/>
        </w:rPr>
        <w:t xml:space="preserve">予以赔偿。 </w:t>
      </w:r>
    </w:p>
    <w:p w14:paraId="62D05BB9">
      <w:pPr>
        <w:spacing w:after="0" w:line="480" w:lineRule="auto"/>
        <w:ind w:left="-15" w:firstLine="525" w:firstLineChars="250"/>
        <w:rPr>
          <w:rFonts w:hint="eastAsia" w:ascii="宋体" w:hAnsi="宋体" w:eastAsia="宋体" w:cs="宋体"/>
          <w:color w:val="auto"/>
          <w:sz w:val="21"/>
          <w:highlight w:val="none"/>
        </w:rPr>
      </w:pPr>
      <w:r>
        <w:rPr>
          <w:rFonts w:hint="eastAsia" w:ascii="宋体" w:hAnsi="宋体" w:eastAsia="宋体" w:cs="宋体"/>
          <w:color w:val="auto"/>
          <w:sz w:val="21"/>
          <w:highlight w:val="none"/>
        </w:rPr>
        <w:t>7.7.2 发出中标通知书后，招标人无正当理由拒签合同，或者在签订合同时向中标人提出附加条件的，</w:t>
      </w:r>
      <w:r>
        <w:rPr>
          <w:rFonts w:hint="eastAsia" w:ascii="宋体" w:hAnsi="宋体" w:eastAsia="宋体" w:cs="宋体"/>
          <w:strike/>
          <w:color w:val="auto"/>
          <w:sz w:val="21"/>
          <w:highlight w:val="none"/>
        </w:rPr>
        <w:t>招标人向中标人退还投标保证金；</w:t>
      </w:r>
      <w:r>
        <w:rPr>
          <w:rFonts w:hint="eastAsia" w:ascii="宋体" w:hAnsi="宋体" w:eastAsia="宋体" w:cs="宋体"/>
          <w:color w:val="auto"/>
          <w:sz w:val="21"/>
          <w:highlight w:val="none"/>
        </w:rPr>
        <w:t xml:space="preserve">给中标人造成损失的，还应当赔偿损失。 </w:t>
      </w:r>
    </w:p>
    <w:p w14:paraId="4E44D776">
      <w:pPr>
        <w:spacing w:after="0" w:line="480" w:lineRule="auto"/>
        <w:ind w:left="-15" w:firstLine="525" w:firstLineChars="250"/>
        <w:rPr>
          <w:rFonts w:hint="eastAsia" w:ascii="宋体" w:hAnsi="宋体" w:eastAsia="宋体" w:cs="宋体"/>
          <w:color w:val="auto"/>
          <w:sz w:val="21"/>
          <w:highlight w:val="none"/>
        </w:rPr>
      </w:pPr>
      <w:r>
        <w:rPr>
          <w:rFonts w:hint="eastAsia" w:ascii="宋体" w:hAnsi="宋体" w:eastAsia="宋体" w:cs="宋体"/>
          <w:strike/>
          <w:color w:val="auto"/>
          <w:sz w:val="21"/>
          <w:highlight w:val="none"/>
          <w:lang w:val="en-US" w:eastAsia="zh-CN"/>
        </w:rPr>
        <w:t xml:space="preserve">7.7.3 </w:t>
      </w:r>
      <w:r>
        <w:rPr>
          <w:rFonts w:hint="eastAsia" w:ascii="宋体" w:hAnsi="宋体" w:eastAsia="宋体" w:cs="宋体"/>
          <w:strike/>
          <w:color w:val="auto"/>
          <w:sz w:val="21"/>
          <w:highlight w:val="none"/>
        </w:rPr>
        <w:t>联合体中标的，联合体各方应当共同与招标人签订合同，就中标项目向招标人承担连带责任</w:t>
      </w:r>
      <w:r>
        <w:rPr>
          <w:rFonts w:hint="eastAsia" w:ascii="宋体" w:hAnsi="宋体" w:eastAsia="宋体" w:cs="宋体"/>
          <w:color w:val="auto"/>
          <w:sz w:val="21"/>
          <w:highlight w:val="none"/>
        </w:rPr>
        <w:t>。</w:t>
      </w:r>
    </w:p>
    <w:p w14:paraId="1600921C">
      <w:pPr>
        <w:pStyle w:val="4"/>
        <w:spacing w:after="0" w:line="480" w:lineRule="auto"/>
        <w:ind w:left="-5" w:right="0"/>
        <w:rPr>
          <w:rFonts w:hint="eastAsia" w:ascii="宋体" w:hAnsi="宋体" w:eastAsia="宋体" w:cs="宋体"/>
          <w:color w:val="auto"/>
          <w:highlight w:val="none"/>
        </w:rPr>
      </w:pPr>
      <w:bookmarkStart w:id="95" w:name="_Toc29092_WPSOffice_Level2"/>
      <w:bookmarkStart w:id="96" w:name="_Toc2401_WPSOffice_Level2"/>
      <w:bookmarkStart w:id="97" w:name="_Toc526895018"/>
      <w:bookmarkStart w:id="98" w:name="_Toc31050"/>
      <w:r>
        <w:rPr>
          <w:rFonts w:hint="eastAsia" w:ascii="宋体" w:hAnsi="宋体" w:eastAsia="宋体" w:cs="宋体"/>
          <w:b/>
          <w:color w:val="auto"/>
          <w:sz w:val="32"/>
          <w:highlight w:val="none"/>
        </w:rPr>
        <w:t>8.</w:t>
      </w:r>
      <w:r>
        <w:rPr>
          <w:rFonts w:hint="eastAsia" w:ascii="宋体" w:hAnsi="宋体" w:eastAsia="宋体" w:cs="宋体"/>
          <w:color w:val="auto"/>
          <w:sz w:val="32"/>
          <w:highlight w:val="none"/>
        </w:rPr>
        <w:t>纪律和监督</w:t>
      </w:r>
      <w:bookmarkEnd w:id="95"/>
      <w:bookmarkEnd w:id="96"/>
      <w:bookmarkEnd w:id="97"/>
      <w:bookmarkEnd w:id="98"/>
      <w:r>
        <w:rPr>
          <w:rFonts w:hint="eastAsia" w:ascii="宋体" w:hAnsi="宋体" w:eastAsia="宋体" w:cs="宋体"/>
          <w:b/>
          <w:color w:val="auto"/>
          <w:sz w:val="32"/>
          <w:highlight w:val="none"/>
        </w:rPr>
        <w:t xml:space="preserve"> </w:t>
      </w:r>
    </w:p>
    <w:p w14:paraId="3BA043F3">
      <w:pPr>
        <w:pStyle w:val="6"/>
        <w:spacing w:after="0" w:line="480" w:lineRule="auto"/>
        <w:ind w:left="132" w:right="0"/>
        <w:rPr>
          <w:rFonts w:hint="eastAsia" w:ascii="宋体" w:hAnsi="宋体" w:eastAsia="宋体" w:cs="宋体"/>
          <w:color w:val="auto"/>
          <w:highlight w:val="none"/>
        </w:rPr>
      </w:pPr>
      <w:bookmarkStart w:id="99" w:name="_Toc526895019"/>
      <w:r>
        <w:rPr>
          <w:rFonts w:hint="eastAsia" w:ascii="宋体" w:hAnsi="宋体" w:eastAsia="宋体" w:cs="宋体"/>
          <w:color w:val="auto"/>
          <w:highlight w:val="none"/>
        </w:rPr>
        <w:t>8.1 对招标人的纪律要求</w:t>
      </w:r>
      <w:bookmarkEnd w:id="99"/>
      <w:r>
        <w:rPr>
          <w:rFonts w:hint="eastAsia" w:ascii="宋体" w:hAnsi="宋体" w:eastAsia="宋体" w:cs="宋体"/>
          <w:color w:val="auto"/>
          <w:highlight w:val="none"/>
        </w:rPr>
        <w:t xml:space="preserve"> </w:t>
      </w:r>
    </w:p>
    <w:p w14:paraId="7C4ADB33">
      <w:pPr>
        <w:spacing w:after="0" w:line="480" w:lineRule="auto"/>
        <w:ind w:left="-15" w:firstLine="525" w:firstLineChars="25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招标人不得泄露招标投标活动中应当保密的情况和资料，不得与投标人串通损害国家利益、社会公共利益或者他人合法权益。 </w:t>
      </w:r>
    </w:p>
    <w:p w14:paraId="1AE70BE4">
      <w:pPr>
        <w:pStyle w:val="6"/>
        <w:spacing w:after="0" w:line="480" w:lineRule="auto"/>
        <w:ind w:left="132" w:right="0"/>
        <w:rPr>
          <w:rFonts w:hint="eastAsia" w:ascii="宋体" w:hAnsi="宋体" w:eastAsia="宋体" w:cs="宋体"/>
          <w:color w:val="auto"/>
          <w:highlight w:val="none"/>
        </w:rPr>
      </w:pPr>
      <w:bookmarkStart w:id="100" w:name="_Toc526895020"/>
      <w:r>
        <w:rPr>
          <w:rFonts w:hint="eastAsia" w:ascii="宋体" w:hAnsi="宋体" w:eastAsia="宋体" w:cs="宋体"/>
          <w:color w:val="auto"/>
          <w:highlight w:val="none"/>
        </w:rPr>
        <w:t>8.2 对投标人的纪律要求</w:t>
      </w:r>
      <w:bookmarkEnd w:id="100"/>
      <w:r>
        <w:rPr>
          <w:rFonts w:hint="eastAsia" w:ascii="宋体" w:hAnsi="宋体" w:eastAsia="宋体" w:cs="宋体"/>
          <w:color w:val="auto"/>
          <w:highlight w:val="none"/>
        </w:rPr>
        <w:t xml:space="preserve"> </w:t>
      </w:r>
    </w:p>
    <w:p w14:paraId="5F27A555">
      <w:pPr>
        <w:spacing w:after="0" w:line="480" w:lineRule="auto"/>
        <w:ind w:left="-15" w:firstLine="525" w:firstLineChars="25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14:paraId="5AC81678">
      <w:pPr>
        <w:pStyle w:val="6"/>
        <w:spacing w:after="0" w:line="480" w:lineRule="auto"/>
        <w:ind w:left="132" w:right="0"/>
        <w:rPr>
          <w:rFonts w:hint="eastAsia" w:ascii="宋体" w:hAnsi="宋体" w:eastAsia="宋体" w:cs="宋体"/>
          <w:color w:val="auto"/>
          <w:highlight w:val="none"/>
        </w:rPr>
      </w:pPr>
      <w:bookmarkStart w:id="101" w:name="_Toc526895021"/>
      <w:r>
        <w:rPr>
          <w:rFonts w:hint="eastAsia" w:ascii="宋体" w:hAnsi="宋体" w:eastAsia="宋体" w:cs="宋体"/>
          <w:color w:val="auto"/>
          <w:highlight w:val="none"/>
        </w:rPr>
        <w:t>8.3 对评标委员会成员的纪律要求</w:t>
      </w:r>
      <w:bookmarkEnd w:id="101"/>
      <w:r>
        <w:rPr>
          <w:rFonts w:hint="eastAsia" w:ascii="宋体" w:hAnsi="宋体" w:eastAsia="宋体" w:cs="宋体"/>
          <w:color w:val="auto"/>
          <w:highlight w:val="none"/>
        </w:rPr>
        <w:t xml:space="preserve"> </w:t>
      </w:r>
    </w:p>
    <w:p w14:paraId="02A81204">
      <w:pPr>
        <w:spacing w:line="360"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 </w:t>
      </w:r>
      <w:bookmarkStart w:id="102" w:name="_Toc526895022"/>
    </w:p>
    <w:p w14:paraId="49A4247E">
      <w:pPr>
        <w:pStyle w:val="6"/>
        <w:ind w:left="132"/>
        <w:rPr>
          <w:rFonts w:hint="eastAsia" w:ascii="宋体" w:hAnsi="宋体" w:eastAsia="宋体" w:cs="宋体"/>
          <w:color w:val="auto"/>
          <w:highlight w:val="none"/>
        </w:rPr>
      </w:pPr>
      <w:r>
        <w:rPr>
          <w:rFonts w:hint="eastAsia" w:ascii="宋体" w:hAnsi="宋体" w:eastAsia="宋体" w:cs="宋体"/>
          <w:color w:val="auto"/>
          <w:highlight w:val="none"/>
        </w:rPr>
        <w:t>8.4 对与评标活动有关的工作人员的纪律要求</w:t>
      </w:r>
      <w:bookmarkEnd w:id="102"/>
      <w:r>
        <w:rPr>
          <w:rFonts w:hint="eastAsia" w:ascii="宋体" w:hAnsi="宋体" w:eastAsia="宋体" w:cs="宋体"/>
          <w:color w:val="auto"/>
          <w:highlight w:val="none"/>
        </w:rPr>
        <w:t xml:space="preserve"> </w:t>
      </w:r>
    </w:p>
    <w:p w14:paraId="297C0D25">
      <w:pPr>
        <w:spacing w:after="0" w:line="360" w:lineRule="auto"/>
        <w:ind w:left="-15"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14:paraId="61DF90CE">
      <w:pPr>
        <w:pStyle w:val="6"/>
        <w:spacing w:after="0" w:line="480" w:lineRule="auto"/>
        <w:ind w:left="132" w:right="0"/>
        <w:rPr>
          <w:rFonts w:hint="eastAsia" w:ascii="宋体" w:hAnsi="宋体" w:eastAsia="宋体" w:cs="宋体"/>
          <w:color w:val="auto"/>
          <w:highlight w:val="none"/>
        </w:rPr>
      </w:pPr>
      <w:bookmarkStart w:id="103" w:name="_Toc526895023"/>
      <w:r>
        <w:rPr>
          <w:rFonts w:hint="eastAsia" w:ascii="宋体" w:hAnsi="宋体" w:eastAsia="宋体" w:cs="宋体"/>
          <w:color w:val="auto"/>
          <w:highlight w:val="none"/>
        </w:rPr>
        <w:t>8.5 投诉</w:t>
      </w:r>
      <w:bookmarkEnd w:id="103"/>
      <w:r>
        <w:rPr>
          <w:rFonts w:hint="eastAsia" w:ascii="宋体" w:hAnsi="宋体" w:eastAsia="宋体" w:cs="宋体"/>
          <w:color w:val="auto"/>
          <w:highlight w:val="none"/>
        </w:rPr>
        <w:t xml:space="preserve"> </w:t>
      </w:r>
    </w:p>
    <w:p w14:paraId="5EE899FC">
      <w:pPr>
        <w:spacing w:after="0" w:line="480" w:lineRule="auto"/>
        <w:ind w:left="-15" w:firstLine="41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8.5.1 投标人或者其他利害关系人认为招标投标活动不符合法律、行政法规规定的，可以自知道或者应当知道之日起 10 日内向有关行政监督部门投诉。投诉应当有明确的请求和必要的证明材料。 </w:t>
      </w:r>
    </w:p>
    <w:p w14:paraId="09C310BE">
      <w:pPr>
        <w:spacing w:after="0" w:line="480" w:lineRule="auto"/>
        <w:ind w:left="-15" w:firstLine="410"/>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8.5.2 投标人或者其他利害关系人对招标文件、开标和评标结果提出投诉的，应当按照投标人须知第 2.4 款、第 5.3 款和第 7.2 款的规定先向招标人提出异议。异议答复期间不计算在第 8.5.1 项规定的期限内。 </w:t>
      </w:r>
    </w:p>
    <w:p w14:paraId="78FF7CAA">
      <w:pPr>
        <w:pStyle w:val="4"/>
        <w:spacing w:after="0" w:line="480" w:lineRule="auto"/>
        <w:ind w:left="-5" w:right="0"/>
        <w:rPr>
          <w:rFonts w:hint="eastAsia" w:ascii="宋体" w:hAnsi="宋体" w:eastAsia="宋体" w:cs="宋体"/>
          <w:color w:val="auto"/>
          <w:highlight w:val="none"/>
        </w:rPr>
      </w:pPr>
      <w:bookmarkStart w:id="104" w:name="_Toc31412_WPSOffice_Level2"/>
      <w:bookmarkStart w:id="105" w:name="_Toc16235_WPSOffice_Level2"/>
      <w:bookmarkStart w:id="106" w:name="_Toc17073"/>
      <w:bookmarkStart w:id="107" w:name="_Toc526895024"/>
      <w:r>
        <w:rPr>
          <w:rFonts w:hint="eastAsia" w:ascii="宋体" w:hAnsi="宋体" w:eastAsia="宋体" w:cs="宋体"/>
          <w:b/>
          <w:color w:val="auto"/>
          <w:sz w:val="32"/>
          <w:highlight w:val="none"/>
        </w:rPr>
        <w:t xml:space="preserve">9. </w:t>
      </w:r>
      <w:r>
        <w:rPr>
          <w:rFonts w:hint="eastAsia" w:ascii="宋体" w:hAnsi="宋体" w:eastAsia="宋体" w:cs="宋体"/>
          <w:color w:val="auto"/>
          <w:sz w:val="32"/>
          <w:highlight w:val="none"/>
        </w:rPr>
        <w:t>是否采用电子招标投标</w:t>
      </w:r>
      <w:bookmarkEnd w:id="104"/>
      <w:bookmarkEnd w:id="105"/>
      <w:bookmarkEnd w:id="106"/>
      <w:bookmarkEnd w:id="107"/>
      <w:r>
        <w:rPr>
          <w:rFonts w:hint="eastAsia" w:ascii="宋体" w:hAnsi="宋体" w:eastAsia="宋体" w:cs="宋体"/>
          <w:b/>
          <w:color w:val="auto"/>
          <w:sz w:val="32"/>
          <w:highlight w:val="none"/>
        </w:rPr>
        <w:t xml:space="preserve"> </w:t>
      </w:r>
    </w:p>
    <w:p w14:paraId="7324B124">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本招标项目是否采用电子招标投标方式，见投标人须知前附表。 </w:t>
      </w:r>
    </w:p>
    <w:p w14:paraId="19F82786">
      <w:pPr>
        <w:pStyle w:val="4"/>
        <w:spacing w:after="0" w:line="480" w:lineRule="auto"/>
        <w:ind w:left="-5" w:right="0"/>
        <w:rPr>
          <w:rFonts w:hint="eastAsia" w:ascii="宋体" w:hAnsi="宋体" w:eastAsia="宋体" w:cs="宋体"/>
          <w:color w:val="auto"/>
          <w:highlight w:val="none"/>
        </w:rPr>
      </w:pPr>
      <w:bookmarkStart w:id="108" w:name="_Toc14149"/>
      <w:bookmarkStart w:id="109" w:name="_Toc30944_WPSOffice_Level2"/>
      <w:bookmarkStart w:id="110" w:name="_Toc526895025"/>
      <w:bookmarkStart w:id="111" w:name="_Toc27610_WPSOffice_Level2"/>
      <w:r>
        <w:rPr>
          <w:rFonts w:hint="eastAsia" w:ascii="宋体" w:hAnsi="宋体" w:eastAsia="宋体" w:cs="宋体"/>
          <w:b/>
          <w:color w:val="auto"/>
          <w:sz w:val="32"/>
          <w:highlight w:val="none"/>
        </w:rPr>
        <w:t xml:space="preserve">10. </w:t>
      </w:r>
      <w:r>
        <w:rPr>
          <w:rFonts w:hint="eastAsia" w:ascii="宋体" w:hAnsi="宋体" w:eastAsia="宋体" w:cs="宋体"/>
          <w:color w:val="auto"/>
          <w:sz w:val="32"/>
          <w:highlight w:val="none"/>
        </w:rPr>
        <w:t>需要补充的其他内容</w:t>
      </w:r>
      <w:bookmarkEnd w:id="108"/>
      <w:bookmarkEnd w:id="109"/>
      <w:bookmarkEnd w:id="110"/>
      <w:bookmarkEnd w:id="111"/>
      <w:r>
        <w:rPr>
          <w:rFonts w:hint="eastAsia" w:ascii="宋体" w:hAnsi="宋体" w:eastAsia="宋体" w:cs="宋体"/>
          <w:b/>
          <w:color w:val="auto"/>
          <w:sz w:val="32"/>
          <w:highlight w:val="none"/>
        </w:rPr>
        <w:t xml:space="preserve"> </w:t>
      </w:r>
    </w:p>
    <w:p w14:paraId="1588C26E">
      <w:pPr>
        <w:spacing w:after="0" w:line="480"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需要补充的其他内容：见投标人须知前附表。 </w:t>
      </w:r>
    </w:p>
    <w:p w14:paraId="1D41A694">
      <w:pPr>
        <w:spacing w:after="0" w:line="480" w:lineRule="auto"/>
        <w:ind w:left="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 xml:space="preserve"> </w:t>
      </w:r>
    </w:p>
    <w:p w14:paraId="19C28D9C">
      <w:pPr>
        <w:pStyle w:val="6"/>
        <w:spacing w:after="0" w:line="480" w:lineRule="auto"/>
        <w:ind w:left="132" w:right="0"/>
        <w:jc w:val="center"/>
        <w:rPr>
          <w:rFonts w:hint="eastAsia" w:ascii="宋体" w:hAnsi="宋体" w:eastAsia="宋体" w:cs="宋体"/>
          <w:b/>
          <w:bCs/>
          <w:color w:val="auto"/>
          <w:sz w:val="35"/>
          <w:szCs w:val="35"/>
          <w:highlight w:val="none"/>
          <w:u w:val="single"/>
        </w:rPr>
      </w:pPr>
      <w:bookmarkStart w:id="112" w:name="_Toc28027_WPSOffice_Level2"/>
      <w:bookmarkStart w:id="113" w:name="_Toc526895026"/>
      <w:bookmarkStart w:id="114" w:name="_Toc31188_WPSOffice_Level2"/>
      <w:r>
        <w:rPr>
          <w:rFonts w:hint="eastAsia" w:ascii="宋体" w:hAnsi="宋体" w:eastAsia="宋体" w:cs="宋体"/>
          <w:b/>
          <w:bCs/>
          <w:color w:val="auto"/>
          <w:sz w:val="35"/>
          <w:szCs w:val="35"/>
          <w:highlight w:val="none"/>
          <w:u w:val="single"/>
        </w:rPr>
        <w:br w:type="page"/>
      </w:r>
      <w:r>
        <w:rPr>
          <w:rFonts w:hint="eastAsia" w:ascii="宋体" w:hAnsi="宋体" w:eastAsia="宋体" w:cs="宋体"/>
          <w:b/>
          <w:bCs/>
          <w:color w:val="auto"/>
          <w:sz w:val="35"/>
          <w:szCs w:val="35"/>
          <w:highlight w:val="none"/>
          <w:u w:val="single"/>
        </w:rPr>
        <w:t>投标文件否决性条款摘要</w:t>
      </w:r>
      <w:bookmarkEnd w:id="112"/>
      <w:bookmarkEnd w:id="113"/>
      <w:bookmarkEnd w:id="114"/>
    </w:p>
    <w:p w14:paraId="63198D96">
      <w:pPr>
        <w:pStyle w:val="12"/>
        <w:spacing w:line="360" w:lineRule="auto"/>
        <w:rPr>
          <w:rFonts w:hint="eastAsia" w:hAnsi="宋体" w:cs="宋体"/>
          <w:b/>
          <w:color w:val="auto"/>
          <w:sz w:val="24"/>
          <w:highlight w:val="none"/>
          <w:u w:val="single"/>
        </w:rPr>
      </w:pPr>
      <w:r>
        <w:rPr>
          <w:rFonts w:hint="eastAsia" w:hAnsi="宋体" w:cs="宋体"/>
          <w:b/>
          <w:color w:val="auto"/>
          <w:sz w:val="24"/>
          <w:highlight w:val="none"/>
          <w:u w:val="single"/>
        </w:rPr>
        <w:t>本招标文件中对投标文件的否决性条款在此进行单列，招标文件的其他条款与该单列的否决性条款不一致的，以单列的否决性条款为准。如招标文件澄清或修改的内容中增加否决性条款的，招标人将重新单列完整的投标文件否决性条款，并发给所有投标人。</w:t>
      </w:r>
    </w:p>
    <w:p w14:paraId="6B6CCDCA">
      <w:pPr>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否决性条款是指招标文件中规定的拒绝受理或者作无效标以及不合格标处理等否定投标文件效力的条款。</w:t>
      </w:r>
    </w:p>
    <w:p w14:paraId="04080937">
      <w:pPr>
        <w:pStyle w:val="3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一、拒绝受理投标文件的情形</w:t>
      </w:r>
    </w:p>
    <w:p w14:paraId="029659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1、电子投标文件未在投标截止时间前完整上传并保存在广州公共资源交易中心电子评标系统且取得回执的； </w:t>
      </w:r>
    </w:p>
    <w:p w14:paraId="3C99845E">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2、投标文件未按招标文件要求进行电子签章，并进行加密的；</w:t>
      </w:r>
    </w:p>
    <w:p w14:paraId="1758B844">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3、未按本章第 4.1.1 项要求加密的投标文件，将予以拒收。</w:t>
      </w:r>
    </w:p>
    <w:p w14:paraId="32EBEB39">
      <w:pPr>
        <w:pStyle w:val="3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二、作无效投标的情形</w:t>
      </w:r>
    </w:p>
    <w:p w14:paraId="07779E82">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投标文件不符合招标文件评标办法中形式评审标准、资格评审标准、响应性评审标准的要求。 </w:t>
      </w:r>
    </w:p>
    <w:p w14:paraId="6EB00B2C">
      <w:pPr>
        <w:pStyle w:val="3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三、作不合格标处理的情形</w:t>
      </w:r>
    </w:p>
    <w:p w14:paraId="28148463">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1、投标文件没有对招标文件的实质性要求和条件作出响应，或者对招标文件的偏差超出招标文件规定的偏差范围或最高项数； </w:t>
      </w:r>
    </w:p>
    <w:p w14:paraId="1941131C">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2、有串通投标、弄虚作假、行贿等违法行为； </w:t>
      </w:r>
    </w:p>
    <w:p w14:paraId="4BCFF7AE">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3、投标报价有算术错误及其他错误的，评标委员会按以下原则要求投标人对投标报价进行修正，并要求投标人书面澄清确认。投标人拒不澄清确认的，评标委员会应当否决其投标： </w:t>
      </w:r>
    </w:p>
    <w:p w14:paraId="7F01CBFD">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（1）投标文件中的大写金额与小写金额不一致的，以大写金额为准； </w:t>
      </w:r>
    </w:p>
    <w:p w14:paraId="4766129D">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（2）总价金额与单价金额不一致的，以单价金额为准，但单价金额小数点有明显错误的除外。 </w:t>
      </w:r>
    </w:p>
    <w:p w14:paraId="2338A22E">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7A8C6AF">
      <w:pPr>
        <w:pStyle w:val="36"/>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四、其他否定投标文件效力情形</w:t>
      </w:r>
    </w:p>
    <w:p w14:paraId="477CB9C3">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1、投标人须在规定解密时间内使用制作该投标文件的机构业务数字证书对投标文件进行解密。逾期未解密的电子投标文件将被否决。</w:t>
      </w:r>
    </w:p>
    <w:p w14:paraId="52F1973E">
      <w:pPr>
        <w:pStyle w:val="36"/>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2、两个（含两个）以上的投标人加密打包的电子投标文件电脑机器码一致的。</w:t>
      </w:r>
    </w:p>
    <w:p w14:paraId="0AD9A8D3">
      <w:pPr>
        <w:pStyle w:val="6"/>
        <w:spacing w:after="580"/>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15" w:name="_Toc526895027"/>
      <w:bookmarkStart w:id="116" w:name="_Toc30587_WPSOffice_Level2"/>
      <w:bookmarkStart w:id="117" w:name="_Toc17796_WPSOffice_Level2"/>
      <w:r>
        <w:rPr>
          <w:rFonts w:hint="eastAsia" w:ascii="宋体" w:hAnsi="宋体" w:eastAsia="宋体" w:cs="宋体"/>
          <w:color w:val="auto"/>
          <w:highlight w:val="none"/>
        </w:rPr>
        <w:t>附件一：开标记录表</w:t>
      </w:r>
      <w:bookmarkEnd w:id="115"/>
      <w:r>
        <w:rPr>
          <w:rFonts w:hint="eastAsia" w:ascii="宋体" w:hAnsi="宋体" w:eastAsia="宋体" w:cs="宋体"/>
          <w:color w:val="auto"/>
          <w:highlight w:val="none"/>
        </w:rPr>
        <w:t xml:space="preserve"> (最终以交易中心开标系统开标记录表为准）</w:t>
      </w:r>
      <w:bookmarkEnd w:id="116"/>
      <w:bookmarkEnd w:id="117"/>
    </w:p>
    <w:p w14:paraId="51D02B7F">
      <w:pPr>
        <w:pStyle w:val="8"/>
        <w:spacing w:after="146"/>
        <w:ind w:right="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开标记录表 </w:t>
      </w:r>
    </w:p>
    <w:p w14:paraId="25B04A8A">
      <w:pPr>
        <w:spacing w:after="0" w:line="265" w:lineRule="auto"/>
        <w:ind w:left="1407" w:hanging="10"/>
        <w:rPr>
          <w:rFonts w:hint="eastAsia" w:ascii="宋体" w:hAnsi="宋体" w:eastAsia="宋体" w:cs="宋体"/>
          <w:color w:val="auto"/>
          <w:highlight w:val="none"/>
        </w:rPr>
      </w:pPr>
      <w:r>
        <w:rPr>
          <w:rFonts w:hint="eastAsia" w:ascii="宋体" w:hAnsi="宋体" w:eastAsia="宋体" w:cs="宋体"/>
          <w:color w:val="auto"/>
          <w:sz w:val="21"/>
          <w:highlight w:val="none"/>
        </w:rPr>
        <w:t>开标时间：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日</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时</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分</w:t>
      </w:r>
    </w:p>
    <w:tbl>
      <w:tblPr>
        <w:tblStyle w:val="38"/>
        <w:tblW w:w="10082" w:type="dxa"/>
        <w:jc w:val="center"/>
        <w:tblLayout w:type="fixed"/>
        <w:tblCellMar>
          <w:top w:w="0" w:type="dxa"/>
          <w:left w:w="106" w:type="dxa"/>
          <w:bottom w:w="58" w:type="dxa"/>
          <w:right w:w="99" w:type="dxa"/>
        </w:tblCellMar>
      </w:tblPr>
      <w:tblGrid>
        <w:gridCol w:w="697"/>
        <w:gridCol w:w="2420"/>
        <w:gridCol w:w="1164"/>
        <w:gridCol w:w="421"/>
        <w:gridCol w:w="877"/>
        <w:gridCol w:w="624"/>
        <w:gridCol w:w="800"/>
        <w:gridCol w:w="363"/>
        <w:gridCol w:w="1050"/>
        <w:gridCol w:w="870"/>
        <w:gridCol w:w="796"/>
      </w:tblGrid>
      <w:tr w14:paraId="31A3ACFC">
        <w:tblPrEx>
          <w:tblCellMar>
            <w:top w:w="0" w:type="dxa"/>
            <w:left w:w="106" w:type="dxa"/>
            <w:bottom w:w="58" w:type="dxa"/>
            <w:right w:w="99" w:type="dxa"/>
          </w:tblCellMar>
        </w:tblPrEx>
        <w:trPr>
          <w:trHeight w:val="100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72B8697F">
            <w:pPr>
              <w:spacing w:after="0"/>
              <w:ind w:left="38"/>
              <w:jc w:val="center"/>
              <w:rPr>
                <w:rFonts w:hint="eastAsia" w:ascii="宋体" w:hAnsi="宋体" w:eastAsia="宋体" w:cs="宋体"/>
                <w:color w:val="auto"/>
                <w:highlight w:val="none"/>
              </w:rPr>
            </w:pPr>
            <w:r>
              <w:rPr>
                <w:rFonts w:hint="eastAsia" w:ascii="宋体" w:hAnsi="宋体" w:eastAsia="宋体" w:cs="宋体"/>
                <w:color w:val="auto"/>
                <w:sz w:val="18"/>
                <w:highlight w:val="none"/>
              </w:rPr>
              <w:t>序号</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2A972DF7">
            <w:pPr>
              <w:spacing w:after="0"/>
              <w:ind w:left="134"/>
              <w:jc w:val="center"/>
              <w:rPr>
                <w:rFonts w:hint="eastAsia" w:ascii="宋体" w:hAnsi="宋体" w:eastAsia="宋体" w:cs="宋体"/>
                <w:color w:val="auto"/>
                <w:highlight w:val="none"/>
              </w:rPr>
            </w:pPr>
            <w:r>
              <w:rPr>
                <w:rFonts w:hint="eastAsia" w:ascii="宋体" w:hAnsi="宋体" w:eastAsia="宋体" w:cs="宋体"/>
                <w:color w:val="auto"/>
                <w:sz w:val="18"/>
                <w:highlight w:val="none"/>
              </w:rPr>
              <w:t>投标人</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41065901">
            <w:pPr>
              <w:spacing w:after="0"/>
              <w:ind w:left="2"/>
              <w:jc w:val="center"/>
              <w:rPr>
                <w:rFonts w:hint="eastAsia" w:ascii="宋体" w:hAnsi="宋体" w:eastAsia="宋体" w:cs="宋体"/>
                <w:color w:val="auto"/>
                <w:highlight w:val="none"/>
              </w:rPr>
            </w:pPr>
            <w:r>
              <w:rPr>
                <w:rFonts w:hint="eastAsia" w:ascii="宋体" w:hAnsi="宋体" w:eastAsia="宋体" w:cs="宋体"/>
                <w:color w:val="auto"/>
                <w:sz w:val="18"/>
                <w:highlight w:val="none"/>
              </w:rPr>
              <w:t>密封情况</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232C5E81">
            <w:pPr>
              <w:spacing w:after="267"/>
              <w:ind w:left="101"/>
              <w:jc w:val="center"/>
              <w:rPr>
                <w:rFonts w:hint="eastAsia" w:ascii="宋体" w:hAnsi="宋体" w:eastAsia="宋体" w:cs="宋体"/>
                <w:color w:val="auto"/>
                <w:highlight w:val="none"/>
              </w:rPr>
            </w:pPr>
            <w:r>
              <w:rPr>
                <w:rFonts w:hint="eastAsia" w:ascii="宋体" w:hAnsi="宋体" w:eastAsia="宋体" w:cs="宋体"/>
                <w:color w:val="auto"/>
                <w:sz w:val="18"/>
                <w:highlight w:val="none"/>
              </w:rPr>
              <w:t>投标报价</w:t>
            </w:r>
          </w:p>
          <w:p w14:paraId="7EC2C40B">
            <w:pPr>
              <w:spacing w:after="0"/>
              <w:ind w:left="101"/>
              <w:jc w:val="center"/>
              <w:rPr>
                <w:rFonts w:hint="eastAsia" w:ascii="宋体" w:hAnsi="宋体" w:eastAsia="宋体" w:cs="宋体"/>
                <w:color w:val="auto"/>
                <w:highlight w:val="none"/>
              </w:rPr>
            </w:pPr>
            <w:r>
              <w:rPr>
                <w:rFonts w:hint="eastAsia" w:ascii="宋体" w:hAnsi="宋体" w:eastAsia="宋体" w:cs="宋体"/>
                <w:color w:val="auto"/>
                <w:sz w:val="18"/>
                <w:highlight w:val="none"/>
              </w:rPr>
              <w:t>（元）</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2AF6284E">
            <w:pPr>
              <w:spacing w:after="0"/>
              <w:jc w:val="center"/>
              <w:rPr>
                <w:rFonts w:hint="eastAsia" w:ascii="宋体" w:hAnsi="宋体" w:eastAsia="宋体" w:cs="宋体"/>
                <w:color w:val="auto"/>
                <w:highlight w:val="none"/>
              </w:rPr>
            </w:pPr>
            <w:r>
              <w:rPr>
                <w:rFonts w:hint="eastAsia" w:ascii="宋体" w:hAnsi="宋体" w:eastAsia="宋体" w:cs="宋体"/>
                <w:color w:val="auto"/>
                <w:sz w:val="18"/>
                <w:highlight w:val="none"/>
              </w:rPr>
              <w:t>项目负责人</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2C9735B1">
            <w:pPr>
              <w:spacing w:after="0"/>
              <w:jc w:val="center"/>
              <w:rPr>
                <w:rFonts w:hint="eastAsia" w:ascii="宋体" w:hAnsi="宋体" w:eastAsia="宋体" w:cs="宋体"/>
                <w:color w:val="auto"/>
                <w:highlight w:val="none"/>
              </w:rPr>
            </w:pPr>
            <w:r>
              <w:rPr>
                <w:rFonts w:hint="eastAsia" w:ascii="宋体" w:hAnsi="宋体" w:eastAsia="宋体" w:cs="宋体"/>
                <w:color w:val="auto"/>
                <w:sz w:val="18"/>
                <w:highlight w:val="none"/>
              </w:rPr>
              <w:t>服务期限</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446B6049">
            <w:pPr>
              <w:spacing w:after="0"/>
              <w:ind w:left="67"/>
              <w:jc w:val="center"/>
              <w:rPr>
                <w:rFonts w:hint="eastAsia" w:ascii="宋体" w:hAnsi="宋体" w:eastAsia="宋体" w:cs="宋体"/>
                <w:color w:val="auto"/>
                <w:highlight w:val="none"/>
              </w:rPr>
            </w:pPr>
            <w:r>
              <w:rPr>
                <w:rFonts w:hint="eastAsia" w:ascii="宋体" w:hAnsi="宋体" w:eastAsia="宋体" w:cs="宋体"/>
                <w:color w:val="auto"/>
                <w:sz w:val="18"/>
                <w:highlight w:val="none"/>
              </w:rPr>
              <w:t>投标人代表签名</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5B5ACF43">
            <w:pPr>
              <w:spacing w:after="0"/>
              <w:jc w:val="center"/>
              <w:rPr>
                <w:rFonts w:hint="eastAsia" w:ascii="宋体" w:hAnsi="宋体" w:eastAsia="宋体" w:cs="宋体"/>
                <w:color w:val="auto"/>
                <w:highlight w:val="none"/>
              </w:rPr>
            </w:pPr>
            <w:r>
              <w:rPr>
                <w:rFonts w:hint="eastAsia" w:ascii="宋体" w:hAnsi="宋体" w:eastAsia="宋体" w:cs="宋体"/>
                <w:color w:val="auto"/>
                <w:sz w:val="18"/>
                <w:highlight w:val="none"/>
              </w:rPr>
              <w:t>备注</w:t>
            </w:r>
          </w:p>
        </w:tc>
      </w:tr>
      <w:tr w14:paraId="5363F159">
        <w:tblPrEx>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661F3637">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751AD4E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6D81AA31">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2ADC640B">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35F0E1E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366C0786">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4E6706C9">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096B4E1D">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44AAA4D6">
        <w:tblPrEx>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32B2F2FB">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3499AB80">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0352A696">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117F2ABB">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427663C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0AA2B923">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4291A701">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3EF71B9F">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2569D0F0">
        <w:tblPrEx>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77DA1FD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105F7C09">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7E0AC224">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0A8F796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5EF0928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2854722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760D75FD">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2B530A93">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93F09E3">
        <w:tblPrEx>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76EDD3F1">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798F0D7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38502BD2">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0284CA2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611934C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225EE3D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5C9762BC">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608FFC37">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5D06E127">
        <w:tblPrEx>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29774C3B">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657673F3">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6278B1F6">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60818DF7">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6B69234D">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53C47949">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59FE3D47">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4294E43E">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466B6147">
        <w:tblPrEx>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413CEE84">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5C06B177">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2DBF3069">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1A27845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0EBB9C34">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7A0DC3E0">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23756F3B">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31B8D46E">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6760A79">
        <w:tblPrEx>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06F5D9C9">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72A357E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317D4310">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4F1A7C40">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12F41704">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33CCFC33">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65793608">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6C5A65DD">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5CDD1C0">
        <w:tblPrEx>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1DE304C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3F7A89B8">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1534C20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16CFD4D6">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65C132F1">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53BDA60D">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246AC18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7961D18C">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64B50E67">
        <w:tblPrEx>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0B57845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7A59DD65">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6C716D37">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118793F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693EF98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13AD593D">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5C3D2E0D">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1C6DCC2D">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1726C1B2">
        <w:tblPrEx>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4913BCE8">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2280843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3944B19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579EE208">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030C7E16">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7DD92D02">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25ADA5BC">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61B094A0">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504CDCBC">
        <w:tblPrEx>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bottom"/>
          </w:tcPr>
          <w:p w14:paraId="47D91CFE">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2420" w:type="dxa"/>
            <w:tcBorders>
              <w:top w:val="single" w:color="000000" w:sz="4" w:space="0"/>
              <w:left w:val="single" w:color="000000" w:sz="4" w:space="0"/>
              <w:bottom w:val="single" w:color="000000" w:sz="4" w:space="0"/>
              <w:right w:val="single" w:color="000000" w:sz="4" w:space="0"/>
            </w:tcBorders>
            <w:noWrap w:val="0"/>
            <w:vAlign w:val="bottom"/>
          </w:tcPr>
          <w:p w14:paraId="67C49208">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4" w:type="dxa"/>
            <w:tcBorders>
              <w:top w:val="single" w:color="000000" w:sz="4" w:space="0"/>
              <w:left w:val="single" w:color="000000" w:sz="4" w:space="0"/>
              <w:bottom w:val="single" w:color="000000" w:sz="4" w:space="0"/>
              <w:right w:val="single" w:color="000000" w:sz="4" w:space="0"/>
            </w:tcBorders>
            <w:noWrap w:val="0"/>
            <w:vAlign w:val="bottom"/>
          </w:tcPr>
          <w:p w14:paraId="014597F0">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922" w:type="dxa"/>
            <w:gridSpan w:val="3"/>
            <w:tcBorders>
              <w:top w:val="single" w:color="000000" w:sz="4" w:space="0"/>
              <w:left w:val="single" w:color="000000" w:sz="4" w:space="0"/>
              <w:bottom w:val="single" w:color="000000" w:sz="4" w:space="0"/>
              <w:right w:val="single" w:color="auto" w:sz="4" w:space="0"/>
            </w:tcBorders>
            <w:noWrap w:val="0"/>
            <w:vAlign w:val="bottom"/>
          </w:tcPr>
          <w:p w14:paraId="2F95B7AF">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bottom"/>
          </w:tcPr>
          <w:p w14:paraId="247E285A">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bottom"/>
          </w:tcPr>
          <w:p w14:paraId="444B24B8">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noWrap w:val="0"/>
            <w:vAlign w:val="bottom"/>
          </w:tcPr>
          <w:p w14:paraId="6CCD3C33">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796" w:type="dxa"/>
            <w:tcBorders>
              <w:top w:val="single" w:color="000000" w:sz="4" w:space="0"/>
              <w:left w:val="single" w:color="000000" w:sz="4" w:space="0"/>
              <w:bottom w:val="single" w:color="000000" w:sz="4" w:space="0"/>
              <w:right w:val="single" w:color="000000" w:sz="4" w:space="0"/>
            </w:tcBorders>
            <w:noWrap w:val="0"/>
            <w:vAlign w:val="bottom"/>
          </w:tcPr>
          <w:p w14:paraId="6FA197CB">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45EC19A">
        <w:tblPrEx>
          <w:tblCellMar>
            <w:top w:w="0" w:type="dxa"/>
            <w:left w:w="106" w:type="dxa"/>
            <w:bottom w:w="58" w:type="dxa"/>
            <w:right w:w="99" w:type="dxa"/>
          </w:tblCellMar>
        </w:tblPrEx>
        <w:trPr>
          <w:trHeight w:val="507" w:hRule="atLeast"/>
          <w:jc w:val="center"/>
        </w:trPr>
        <w:tc>
          <w:tcPr>
            <w:tcW w:w="3117" w:type="dxa"/>
            <w:gridSpan w:val="2"/>
            <w:tcBorders>
              <w:top w:val="single" w:color="000000" w:sz="4" w:space="0"/>
              <w:left w:val="single" w:color="000000" w:sz="4" w:space="0"/>
              <w:bottom w:val="single" w:color="000000" w:sz="4" w:space="0"/>
              <w:right w:val="single" w:color="000000" w:sz="4" w:space="0"/>
            </w:tcBorders>
            <w:noWrap w:val="0"/>
            <w:vAlign w:val="bottom"/>
          </w:tcPr>
          <w:p w14:paraId="7347847D">
            <w:pPr>
              <w:spacing w:after="0"/>
              <w:ind w:left="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最高投标限价： </w:t>
            </w:r>
          </w:p>
        </w:tc>
        <w:tc>
          <w:tcPr>
            <w:tcW w:w="1585" w:type="dxa"/>
            <w:gridSpan w:val="2"/>
            <w:tcBorders>
              <w:top w:val="single" w:color="000000" w:sz="4" w:space="0"/>
              <w:left w:val="nil"/>
              <w:bottom w:val="single" w:color="000000" w:sz="4" w:space="0"/>
              <w:right w:val="nil"/>
            </w:tcBorders>
            <w:noWrap w:val="0"/>
            <w:vAlign w:val="top"/>
          </w:tcPr>
          <w:p w14:paraId="18281C28">
            <w:pPr>
              <w:rPr>
                <w:rFonts w:hint="eastAsia" w:ascii="宋体" w:hAnsi="宋体" w:eastAsia="宋体" w:cs="宋体"/>
                <w:color w:val="auto"/>
                <w:highlight w:val="none"/>
              </w:rPr>
            </w:pPr>
          </w:p>
        </w:tc>
        <w:tc>
          <w:tcPr>
            <w:tcW w:w="877" w:type="dxa"/>
            <w:tcBorders>
              <w:top w:val="single" w:color="000000" w:sz="4" w:space="0"/>
              <w:left w:val="nil"/>
              <w:bottom w:val="single" w:color="000000" w:sz="4" w:space="0"/>
              <w:right w:val="nil"/>
            </w:tcBorders>
            <w:noWrap w:val="0"/>
            <w:vAlign w:val="top"/>
          </w:tcPr>
          <w:p w14:paraId="0EB4A0EA">
            <w:pPr>
              <w:rPr>
                <w:rFonts w:hint="eastAsia" w:ascii="宋体" w:hAnsi="宋体" w:eastAsia="宋体" w:cs="宋体"/>
                <w:color w:val="auto"/>
                <w:highlight w:val="none"/>
              </w:rPr>
            </w:pPr>
          </w:p>
        </w:tc>
        <w:tc>
          <w:tcPr>
            <w:tcW w:w="1424" w:type="dxa"/>
            <w:gridSpan w:val="2"/>
            <w:tcBorders>
              <w:top w:val="single" w:color="000000" w:sz="4" w:space="0"/>
              <w:left w:val="nil"/>
              <w:bottom w:val="single" w:color="000000" w:sz="4" w:space="0"/>
              <w:right w:val="nil"/>
            </w:tcBorders>
            <w:noWrap w:val="0"/>
            <w:vAlign w:val="top"/>
          </w:tcPr>
          <w:p w14:paraId="699CE50E">
            <w:pPr>
              <w:rPr>
                <w:rFonts w:hint="eastAsia" w:ascii="宋体" w:hAnsi="宋体" w:eastAsia="宋体" w:cs="宋体"/>
                <w:color w:val="auto"/>
                <w:highlight w:val="none"/>
              </w:rPr>
            </w:pPr>
          </w:p>
        </w:tc>
        <w:tc>
          <w:tcPr>
            <w:tcW w:w="3079" w:type="dxa"/>
            <w:gridSpan w:val="4"/>
            <w:tcBorders>
              <w:top w:val="single" w:color="000000" w:sz="4" w:space="0"/>
              <w:left w:val="nil"/>
              <w:bottom w:val="single" w:color="000000" w:sz="4" w:space="0"/>
              <w:right w:val="single" w:color="000000" w:sz="4" w:space="0"/>
            </w:tcBorders>
            <w:noWrap w:val="0"/>
            <w:vAlign w:val="top"/>
          </w:tcPr>
          <w:p w14:paraId="6074F719">
            <w:pPr>
              <w:rPr>
                <w:rFonts w:hint="eastAsia" w:ascii="宋体" w:hAnsi="宋体" w:eastAsia="宋体" w:cs="宋体"/>
                <w:color w:val="auto"/>
                <w:highlight w:val="none"/>
              </w:rPr>
            </w:pPr>
          </w:p>
        </w:tc>
      </w:tr>
    </w:tbl>
    <w:p w14:paraId="6B73C982">
      <w:pPr>
        <w:spacing w:after="304"/>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93FB162">
      <w:pPr>
        <w:spacing w:after="328" w:line="265" w:lineRule="auto"/>
        <w:ind w:left="-5" w:firstLine="840" w:firstLineChars="400"/>
        <w:rPr>
          <w:rFonts w:hint="eastAsia" w:ascii="宋体" w:hAnsi="宋体" w:eastAsia="宋体" w:cs="宋体"/>
          <w:color w:val="auto"/>
          <w:highlight w:val="none"/>
        </w:rPr>
      </w:pPr>
      <w:r>
        <w:rPr>
          <w:rFonts w:hint="eastAsia" w:ascii="宋体" w:hAnsi="宋体" w:eastAsia="宋体" w:cs="宋体"/>
          <w:color w:val="auto"/>
          <w:sz w:val="21"/>
          <w:highlight w:val="none"/>
        </w:rPr>
        <w:t>招标人代表：</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        记录人：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       监标人：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 </w:t>
      </w:r>
    </w:p>
    <w:p w14:paraId="5E2CD6FD">
      <w:pPr>
        <w:spacing w:after="177" w:line="265" w:lineRule="auto"/>
        <w:ind w:left="10" w:hanging="10"/>
        <w:jc w:val="right"/>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日</w:t>
      </w:r>
      <w:r>
        <w:rPr>
          <w:rFonts w:hint="eastAsia" w:ascii="宋体" w:hAnsi="宋体" w:eastAsia="宋体" w:cs="宋体"/>
          <w:color w:val="auto"/>
          <w:sz w:val="20"/>
          <w:highlight w:val="none"/>
        </w:rPr>
        <w:t xml:space="preserve"> </w:t>
      </w:r>
    </w:p>
    <w:p w14:paraId="73D2B32B">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 xml:space="preserve"> </w:t>
      </w:r>
    </w:p>
    <w:p w14:paraId="0BA6EE74">
      <w:pPr>
        <w:pStyle w:val="6"/>
        <w:spacing w:after="572"/>
        <w:ind w:left="132" w:right="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18" w:name="_Toc526895028"/>
      <w:bookmarkStart w:id="119" w:name="_Toc3771_WPSOffice_Level2"/>
      <w:bookmarkStart w:id="120" w:name="_Toc29793_WPSOffice_Level2"/>
      <w:r>
        <w:rPr>
          <w:rFonts w:hint="eastAsia" w:ascii="宋体" w:hAnsi="宋体" w:eastAsia="宋体" w:cs="宋体"/>
          <w:color w:val="auto"/>
          <w:highlight w:val="none"/>
        </w:rPr>
        <w:t>附件二：问题澄清通知</w:t>
      </w:r>
      <w:bookmarkEnd w:id="118"/>
      <w:bookmarkEnd w:id="119"/>
      <w:bookmarkEnd w:id="120"/>
      <w:r>
        <w:rPr>
          <w:rFonts w:hint="eastAsia" w:ascii="宋体" w:hAnsi="宋体" w:eastAsia="宋体" w:cs="宋体"/>
          <w:color w:val="auto"/>
          <w:highlight w:val="none"/>
        </w:rPr>
        <w:t xml:space="preserve"> </w:t>
      </w:r>
    </w:p>
    <w:p w14:paraId="672F239C">
      <w:pPr>
        <w:spacing w:after="183"/>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8984E21">
      <w:pPr>
        <w:pStyle w:val="8"/>
        <w:spacing w:after="84"/>
        <w:ind w:right="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问题澄清通知 </w:t>
      </w:r>
    </w:p>
    <w:p w14:paraId="6CFBD6A3">
      <w:pPr>
        <w:spacing w:after="99"/>
        <w:ind w:left="10" w:hanging="10"/>
        <w:jc w:val="center"/>
        <w:rPr>
          <w:rFonts w:hint="eastAsia" w:ascii="宋体" w:hAnsi="宋体" w:eastAsia="宋体" w:cs="宋体"/>
          <w:color w:val="auto"/>
          <w:highlight w:val="none"/>
        </w:rPr>
      </w:pPr>
      <w:r>
        <w:rPr>
          <w:rFonts w:hint="eastAsia" w:ascii="宋体" w:hAnsi="宋体" w:eastAsia="宋体" w:cs="宋体"/>
          <w:color w:val="auto"/>
          <w:sz w:val="21"/>
          <w:highlight w:val="none"/>
        </w:rPr>
        <w:t>（编号：</w:t>
      </w:r>
      <w:r>
        <w:rPr>
          <w:rFonts w:hint="eastAsia" w:ascii="宋体" w:hAnsi="宋体" w:eastAsia="宋体" w:cs="宋体"/>
          <w:color w:val="auto"/>
          <w:sz w:val="28"/>
          <w:highlight w:val="none"/>
          <w:u w:val="single" w:color="000000"/>
        </w:rPr>
        <w:t xml:space="preserve">               </w:t>
      </w:r>
      <w:r>
        <w:rPr>
          <w:rFonts w:hint="eastAsia" w:ascii="宋体" w:hAnsi="宋体" w:eastAsia="宋体" w:cs="宋体"/>
          <w:color w:val="auto"/>
          <w:sz w:val="21"/>
          <w:highlight w:val="none"/>
        </w:rPr>
        <w:t xml:space="preserve">） </w:t>
      </w:r>
    </w:p>
    <w:p w14:paraId="012EE4CC">
      <w:pPr>
        <w:spacing w:after="178"/>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F3BDDDE">
      <w:pPr>
        <w:spacing w:after="147" w:line="265" w:lineRule="auto"/>
        <w:ind w:left="-4" w:leftChars="-2" w:firstLine="105" w:firstLineChars="50"/>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（投标人名称）： </w:t>
      </w:r>
    </w:p>
    <w:p w14:paraId="26E89966">
      <w:pPr>
        <w:spacing w:after="17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DFE9703">
      <w:pPr>
        <w:spacing w:after="17" w:line="389"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评标委员会对你方的投标文件进行了仔细的审查，现需你方对下列问题以书面形式予以澄清、说明或补正： </w:t>
      </w:r>
    </w:p>
    <w:p w14:paraId="5CD15C07">
      <w:pPr>
        <w:spacing w:after="15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F585DA2">
      <w:pPr>
        <w:spacing w:after="172" w:line="265" w:lineRule="auto"/>
        <w:ind w:left="1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1. </w:t>
      </w:r>
    </w:p>
    <w:p w14:paraId="3D884BF2">
      <w:pPr>
        <w:spacing w:after="172" w:line="265" w:lineRule="auto"/>
        <w:ind w:left="1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2. </w:t>
      </w:r>
    </w:p>
    <w:p w14:paraId="06E4D2F6">
      <w:pPr>
        <w:spacing w:after="172" w:line="265" w:lineRule="auto"/>
        <w:ind w:left="1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    </w:t>
      </w:r>
    </w:p>
    <w:p w14:paraId="47DD1285">
      <w:pPr>
        <w:spacing w:after="0" w:line="398" w:lineRule="auto"/>
        <w:ind w:left="201" w:leftChars="-7" w:hanging="216" w:hangingChars="10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请将上述问题的澄清、说明或补正于</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日</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时前递交至 </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（详细地址）或传真至</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（传真号码）或</w:t>
      </w:r>
    </w:p>
    <w:p w14:paraId="54BEDEDE">
      <w:pPr>
        <w:spacing w:after="0" w:line="398" w:lineRule="auto"/>
        <w:ind w:left="312" w:leftChars="142"/>
        <w:rPr>
          <w:rFonts w:hint="eastAsia" w:ascii="宋体" w:hAnsi="宋体" w:eastAsia="宋体" w:cs="宋体"/>
          <w:color w:val="auto"/>
          <w:highlight w:val="none"/>
        </w:rPr>
      </w:pPr>
      <w:r>
        <w:rPr>
          <w:rFonts w:hint="eastAsia" w:ascii="宋体" w:hAnsi="宋体" w:eastAsia="宋体" w:cs="宋体"/>
          <w:color w:val="auto"/>
          <w:sz w:val="21"/>
          <w:highlight w:val="none"/>
        </w:rPr>
        <w:t>通过下载招标文件的电子招标交易平台上传。采用传真方式的，应在</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月 </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日</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时前将原件递交至</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（详细地址）。 </w:t>
      </w:r>
    </w:p>
    <w:p w14:paraId="1C020E3B">
      <w:pPr>
        <w:spacing w:after="17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4F155C36">
      <w:pPr>
        <w:spacing w:after="23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77FF0624">
      <w:pPr>
        <w:spacing w:after="112" w:line="265" w:lineRule="auto"/>
        <w:ind w:left="10" w:hanging="10"/>
        <w:jc w:val="right"/>
        <w:rPr>
          <w:rFonts w:hint="eastAsia" w:ascii="宋体" w:hAnsi="宋体" w:eastAsia="宋体" w:cs="宋体"/>
          <w:color w:val="auto"/>
          <w:highlight w:val="none"/>
        </w:rPr>
      </w:pPr>
      <w:r>
        <w:rPr>
          <w:rFonts w:hint="eastAsia" w:ascii="宋体" w:hAnsi="宋体" w:eastAsia="宋体" w:cs="宋体"/>
          <w:color w:val="auto"/>
          <w:sz w:val="21"/>
          <w:highlight w:val="none"/>
        </w:rPr>
        <w:t>评标委员会授权的招标人或招标代理机构：</w:t>
      </w:r>
      <w:r>
        <w:rPr>
          <w:rFonts w:hint="eastAsia" w:ascii="宋体" w:hAnsi="宋体" w:eastAsia="宋体" w:cs="宋体"/>
          <w:color w:val="auto"/>
          <w:sz w:val="28"/>
          <w:highlight w:val="none"/>
          <w:u w:val="single" w:color="000000"/>
        </w:rPr>
        <w:t xml:space="preserve">      </w:t>
      </w:r>
      <w:r>
        <w:rPr>
          <w:rFonts w:hint="eastAsia" w:ascii="宋体" w:hAnsi="宋体" w:eastAsia="宋体" w:cs="宋体"/>
          <w:color w:val="auto"/>
          <w:sz w:val="21"/>
          <w:highlight w:val="none"/>
        </w:rPr>
        <w:t xml:space="preserve">（签字或盖章） </w:t>
      </w:r>
    </w:p>
    <w:p w14:paraId="435DA998">
      <w:pPr>
        <w:spacing w:after="17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3C86D557">
      <w:pPr>
        <w:spacing w:after="107" w:line="265" w:lineRule="auto"/>
        <w:ind w:left="10" w:hanging="10"/>
        <w:jc w:val="right"/>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日 </w:t>
      </w:r>
    </w:p>
    <w:p w14:paraId="07B28A3B">
      <w:pPr>
        <w:spacing w:after="13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B1DD276">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 xml:space="preserve"> </w:t>
      </w:r>
    </w:p>
    <w:p w14:paraId="0C55C5EA">
      <w:pPr>
        <w:pStyle w:val="6"/>
        <w:spacing w:after="538"/>
        <w:ind w:left="132" w:right="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1" w:name="_Toc2883_WPSOffice_Level2"/>
      <w:bookmarkStart w:id="122" w:name="_Toc526895029"/>
      <w:bookmarkStart w:id="123" w:name="_Toc32512_WPSOffice_Level2"/>
      <w:r>
        <w:rPr>
          <w:rFonts w:hint="eastAsia" w:ascii="宋体" w:hAnsi="宋体" w:eastAsia="宋体" w:cs="宋体"/>
          <w:color w:val="auto"/>
          <w:highlight w:val="none"/>
        </w:rPr>
        <w:t>附件三：问题的澄清</w:t>
      </w:r>
      <w:bookmarkEnd w:id="121"/>
      <w:bookmarkEnd w:id="122"/>
      <w:bookmarkEnd w:id="123"/>
      <w:r>
        <w:rPr>
          <w:rFonts w:hint="eastAsia" w:ascii="宋体" w:hAnsi="宋体" w:eastAsia="宋体" w:cs="宋体"/>
          <w:color w:val="auto"/>
          <w:highlight w:val="none"/>
        </w:rPr>
        <w:t xml:space="preserve"> </w:t>
      </w:r>
    </w:p>
    <w:p w14:paraId="512DD04D">
      <w:pPr>
        <w:spacing w:after="58"/>
        <w:jc w:val="center"/>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35119EE6">
      <w:pPr>
        <w:pStyle w:val="8"/>
        <w:spacing w:after="46"/>
        <w:ind w:right="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问题的澄清 </w:t>
      </w:r>
    </w:p>
    <w:p w14:paraId="360F2D17">
      <w:pPr>
        <w:spacing w:after="62"/>
        <w:ind w:left="680" w:hanging="10"/>
        <w:jc w:val="center"/>
        <w:rPr>
          <w:rFonts w:hint="eastAsia" w:ascii="宋体" w:hAnsi="宋体" w:eastAsia="宋体" w:cs="宋体"/>
          <w:color w:val="auto"/>
          <w:highlight w:val="none"/>
        </w:rPr>
      </w:pPr>
      <w:r>
        <w:rPr>
          <w:rFonts w:hint="eastAsia" w:ascii="宋体" w:hAnsi="宋体" w:eastAsia="宋体" w:cs="宋体"/>
          <w:color w:val="auto"/>
          <w:sz w:val="21"/>
          <w:highlight w:val="none"/>
        </w:rPr>
        <w:t>（编号：</w:t>
      </w:r>
      <w:r>
        <w:rPr>
          <w:rFonts w:hint="eastAsia" w:ascii="宋体" w:hAnsi="宋体" w:eastAsia="宋体" w:cs="宋体"/>
          <w:color w:val="auto"/>
          <w:sz w:val="28"/>
          <w:highlight w:val="none"/>
          <w:u w:val="single" w:color="000000"/>
        </w:rPr>
        <w:t xml:space="preserve">           </w:t>
      </w:r>
      <w:r>
        <w:rPr>
          <w:rFonts w:hint="eastAsia" w:ascii="宋体" w:hAnsi="宋体" w:eastAsia="宋体" w:cs="宋体"/>
          <w:color w:val="auto"/>
          <w:sz w:val="21"/>
          <w:highlight w:val="none"/>
        </w:rPr>
        <w:t xml:space="preserve">） </w:t>
      </w:r>
    </w:p>
    <w:p w14:paraId="0982174B">
      <w:pPr>
        <w:spacing w:after="17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2882429E">
      <w:pPr>
        <w:spacing w:after="153" w:line="265"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评标委员会： </w:t>
      </w:r>
    </w:p>
    <w:p w14:paraId="073C94C2">
      <w:pPr>
        <w:spacing w:after="23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2A24862">
      <w:pPr>
        <w:spacing w:after="123" w:line="265"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问题澄清通知（编号：</w:t>
      </w:r>
      <w:r>
        <w:rPr>
          <w:rFonts w:hint="eastAsia" w:ascii="宋体" w:hAnsi="宋体" w:eastAsia="宋体" w:cs="宋体"/>
          <w:color w:val="auto"/>
          <w:sz w:val="28"/>
          <w:highlight w:val="none"/>
          <w:u w:val="single" w:color="000000"/>
        </w:rPr>
        <w:t xml:space="preserve">      </w:t>
      </w:r>
      <w:r>
        <w:rPr>
          <w:rFonts w:hint="eastAsia" w:ascii="宋体" w:hAnsi="宋体" w:eastAsia="宋体" w:cs="宋体"/>
          <w:color w:val="auto"/>
          <w:sz w:val="21"/>
          <w:highlight w:val="none"/>
        </w:rPr>
        <w:t xml:space="preserve">）已收悉，现澄清、说明或补正如下： </w:t>
      </w:r>
    </w:p>
    <w:p w14:paraId="2131F53F">
      <w:pPr>
        <w:spacing w:after="140" w:line="265" w:lineRule="auto"/>
        <w:ind w:left="1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1. </w:t>
      </w:r>
    </w:p>
    <w:p w14:paraId="4E363F43">
      <w:pPr>
        <w:spacing w:after="2" w:line="386" w:lineRule="auto"/>
        <w:ind w:left="1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2.      ..... </w:t>
      </w:r>
    </w:p>
    <w:p w14:paraId="072E83C7">
      <w:pPr>
        <w:spacing w:after="179"/>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3BC813F0">
      <w:pPr>
        <w:spacing w:after="15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7FB1530">
      <w:pPr>
        <w:spacing w:after="17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2F9134E">
      <w:pPr>
        <w:spacing w:after="14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上述问题澄清、说明或补正，不改变我方投标文件的实质性内容，构成我方投标文件的组</w:t>
      </w:r>
    </w:p>
    <w:p w14:paraId="6897FF13">
      <w:pPr>
        <w:spacing w:after="152" w:line="265"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成部分。 </w:t>
      </w:r>
    </w:p>
    <w:p w14:paraId="5664FC94">
      <w:pPr>
        <w:spacing w:after="17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4B3DD843">
      <w:pPr>
        <w:spacing w:after="74"/>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4CB6752">
      <w:pPr>
        <w:spacing w:after="212" w:line="265"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投标人：</w:t>
      </w:r>
      <w:r>
        <w:rPr>
          <w:rFonts w:hint="eastAsia" w:ascii="宋体" w:hAnsi="宋体" w:eastAsia="宋体" w:cs="宋体"/>
          <w:color w:val="auto"/>
          <w:sz w:val="28"/>
          <w:highlight w:val="none"/>
          <w:u w:val="single" w:color="000000"/>
        </w:rPr>
        <w:t xml:space="preserve">                         </w:t>
      </w:r>
      <w:r>
        <w:rPr>
          <w:rFonts w:hint="eastAsia" w:ascii="宋体" w:hAnsi="宋体" w:eastAsia="宋体" w:cs="宋体"/>
          <w:color w:val="auto"/>
          <w:sz w:val="21"/>
          <w:highlight w:val="none"/>
        </w:rPr>
        <w:t xml:space="preserve">（盖单位章） </w:t>
      </w:r>
    </w:p>
    <w:p w14:paraId="0C63BDCA">
      <w:pPr>
        <w:spacing w:after="404" w:line="265" w:lineRule="auto"/>
        <w:ind w:left="284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法定代表人或其委托代理人：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（签字） </w:t>
      </w:r>
    </w:p>
    <w:p w14:paraId="5DF0F3DA">
      <w:pPr>
        <w:spacing w:after="16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90E15DD">
      <w:pPr>
        <w:spacing w:after="116" w:line="265" w:lineRule="auto"/>
        <w:ind w:left="10" w:hanging="10"/>
        <w:jc w:val="right"/>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日 </w:t>
      </w:r>
    </w:p>
    <w:p w14:paraId="44CA4E71">
      <w:pPr>
        <w:spacing w:after="134"/>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070B889A">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 xml:space="preserve"> </w:t>
      </w:r>
    </w:p>
    <w:p w14:paraId="41B75100">
      <w:pPr>
        <w:pStyle w:val="6"/>
        <w:spacing w:after="947"/>
        <w:ind w:left="132" w:right="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4" w:name="_Toc526895030"/>
      <w:bookmarkStart w:id="125" w:name="_Toc3235_WPSOffice_Level2"/>
      <w:bookmarkStart w:id="126" w:name="_Toc24785_WPSOffice_Level2"/>
      <w:r>
        <w:rPr>
          <w:rFonts w:hint="eastAsia" w:ascii="宋体" w:hAnsi="宋体" w:eastAsia="宋体" w:cs="宋体"/>
          <w:color w:val="auto"/>
          <w:highlight w:val="none"/>
        </w:rPr>
        <w:t>附件四：中标通知书</w:t>
      </w:r>
      <w:bookmarkEnd w:id="124"/>
      <w:bookmarkEnd w:id="125"/>
      <w:bookmarkEnd w:id="126"/>
      <w:r>
        <w:rPr>
          <w:rFonts w:hint="eastAsia" w:ascii="宋体" w:hAnsi="宋体" w:eastAsia="宋体" w:cs="宋体"/>
          <w:color w:val="auto"/>
          <w:highlight w:val="none"/>
        </w:rPr>
        <w:t xml:space="preserve"> </w:t>
      </w:r>
    </w:p>
    <w:p w14:paraId="6ECE8531">
      <w:pPr>
        <w:pStyle w:val="14"/>
        <w:jc w:val="center"/>
        <w:rPr>
          <w:rFonts w:hint="eastAsia" w:ascii="宋体" w:hAnsi="宋体" w:eastAsia="宋体" w:cs="宋体"/>
          <w:color w:val="auto"/>
          <w:highlight w:val="none"/>
        </w:rPr>
      </w:pPr>
      <w:bookmarkStart w:id="127" w:name="_Toc16859_WPSOffice_Level2"/>
      <w:bookmarkStart w:id="128" w:name="_Toc2235_WPSOffice_Level2"/>
      <w:r>
        <w:rPr>
          <w:rFonts w:hint="eastAsia" w:ascii="宋体" w:hAnsi="宋体" w:eastAsia="宋体" w:cs="宋体"/>
          <w:b/>
          <w:bCs/>
          <w:color w:val="auto"/>
          <w:sz w:val="28"/>
          <w:szCs w:val="28"/>
          <w:highlight w:val="none"/>
        </w:rPr>
        <w:t>以交易中心格式为准</w:t>
      </w:r>
      <w:bookmarkEnd w:id="127"/>
      <w:bookmarkEnd w:id="128"/>
    </w:p>
    <w:p w14:paraId="640273D1">
      <w:pPr>
        <w:spacing w:after="13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D81C6D8">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 xml:space="preserve"> </w:t>
      </w:r>
    </w:p>
    <w:p w14:paraId="1F7D7A7D">
      <w:pPr>
        <w:jc w:val="center"/>
        <w:rPr>
          <w:rFonts w:hint="eastAsia" w:ascii="宋体" w:hAnsi="宋体" w:eastAsia="宋体" w:cs="宋体"/>
          <w:color w:val="auto"/>
          <w:sz w:val="44"/>
          <w:highlight w:val="none"/>
        </w:rPr>
      </w:pPr>
      <w:r>
        <w:rPr>
          <w:rFonts w:hint="eastAsia" w:ascii="宋体" w:hAnsi="宋体" w:eastAsia="宋体" w:cs="宋体"/>
          <w:color w:val="auto"/>
          <w:highlight w:val="none"/>
        </w:rPr>
        <w:br w:type="page"/>
      </w:r>
      <w:r>
        <w:rPr>
          <w:rFonts w:hint="eastAsia" w:ascii="宋体" w:hAnsi="宋体" w:eastAsia="宋体" w:cs="宋体"/>
          <w:color w:val="auto"/>
          <w:sz w:val="44"/>
          <w:highlight w:val="none"/>
        </w:rPr>
        <w:t>第三章评标办法（综合评估法）</w:t>
      </w:r>
    </w:p>
    <w:p w14:paraId="1E242A2D">
      <w:pPr>
        <w:pStyle w:val="4"/>
        <w:spacing w:after="0" w:line="192" w:lineRule="auto"/>
        <w:ind w:left="-6" w:right="0" w:hanging="11"/>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评标办法前附表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89" w:type="dxa"/>
        </w:tblCellMar>
      </w:tblPr>
      <w:tblGrid>
        <w:gridCol w:w="902"/>
        <w:gridCol w:w="104"/>
        <w:gridCol w:w="685"/>
        <w:gridCol w:w="7"/>
        <w:gridCol w:w="2163"/>
        <w:gridCol w:w="7"/>
        <w:gridCol w:w="5912"/>
      </w:tblGrid>
      <w:tr w14:paraId="64C9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698" w:type="dxa"/>
            <w:gridSpan w:val="4"/>
            <w:noWrap w:val="0"/>
            <w:vAlign w:val="center"/>
          </w:tcPr>
          <w:p w14:paraId="39870276">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170" w:type="dxa"/>
            <w:gridSpan w:val="2"/>
            <w:noWrap w:val="0"/>
            <w:vAlign w:val="center"/>
          </w:tcPr>
          <w:p w14:paraId="3F021122">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912" w:type="dxa"/>
            <w:noWrap w:val="0"/>
            <w:vAlign w:val="center"/>
          </w:tcPr>
          <w:p w14:paraId="75DDBBB8">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9CE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77" w:hRule="atLeast"/>
          <w:jc w:val="center"/>
        </w:trPr>
        <w:tc>
          <w:tcPr>
            <w:tcW w:w="1006" w:type="dxa"/>
            <w:gridSpan w:val="2"/>
            <w:noWrap w:val="0"/>
            <w:vAlign w:val="center"/>
          </w:tcPr>
          <w:p w14:paraId="159EBF12">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2" w:type="dxa"/>
            <w:gridSpan w:val="2"/>
            <w:noWrap w:val="0"/>
            <w:vAlign w:val="center"/>
          </w:tcPr>
          <w:p w14:paraId="2FB91116">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170" w:type="dxa"/>
            <w:gridSpan w:val="2"/>
            <w:noWrap w:val="0"/>
            <w:vAlign w:val="center"/>
          </w:tcPr>
          <w:p w14:paraId="5AE4B5FA">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912" w:type="dxa"/>
            <w:noWrap w:val="0"/>
            <w:vAlign w:val="center"/>
          </w:tcPr>
          <w:p w14:paraId="0E2F48BC">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本次评标采用综合评估法。</w:t>
            </w:r>
            <w:r>
              <w:rPr>
                <w:rFonts w:hint="eastAsia" w:ascii="宋体" w:hAnsi="宋体" w:eastAsia="宋体" w:cs="宋体"/>
                <w:color w:val="auto"/>
                <w:sz w:val="21"/>
                <w:szCs w:val="21"/>
                <w:highlight w:val="none"/>
              </w:rPr>
              <w:t>投标人综合评分由高到低排序前3名作为第一、第二、第三中标候选人，</w:t>
            </w:r>
            <w:r>
              <w:rPr>
                <w:rFonts w:hint="eastAsia" w:ascii="宋体" w:hAnsi="宋体" w:eastAsia="宋体"/>
                <w:color w:val="auto"/>
                <w:sz w:val="21"/>
                <w:szCs w:val="21"/>
                <w:highlight w:val="none"/>
              </w:rPr>
              <w:t>综合评分相等时，则投标报价得分高的排前；若投标报价得分相同，则技术部分得分高的排前；若投标报价得分和技术部分得分均相同，则对具有相同情况的投标人，按中标候选人数量规定，由评标委员会采用记名投票方式，确定中标候选人的排序</w:t>
            </w:r>
            <w:r>
              <w:rPr>
                <w:rFonts w:hint="eastAsia" w:ascii="宋体" w:hAnsi="宋体" w:eastAsia="宋体" w:cs="宋体"/>
                <w:color w:val="auto"/>
                <w:sz w:val="21"/>
                <w:szCs w:val="21"/>
                <w:highlight w:val="none"/>
              </w:rPr>
              <w:t>。</w:t>
            </w:r>
          </w:p>
        </w:tc>
      </w:tr>
      <w:tr w14:paraId="37D2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restart"/>
            <w:noWrap w:val="0"/>
            <w:vAlign w:val="center"/>
          </w:tcPr>
          <w:p w14:paraId="0BD69F01">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692" w:type="dxa"/>
            <w:gridSpan w:val="2"/>
            <w:vMerge w:val="restart"/>
            <w:noWrap w:val="0"/>
            <w:vAlign w:val="center"/>
          </w:tcPr>
          <w:p w14:paraId="1FBD5EDD">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170" w:type="dxa"/>
            <w:gridSpan w:val="2"/>
            <w:noWrap w:val="0"/>
            <w:vAlign w:val="center"/>
          </w:tcPr>
          <w:p w14:paraId="7236D758">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事业单位法人证书或营业执照</w:t>
            </w:r>
          </w:p>
        </w:tc>
        <w:tc>
          <w:tcPr>
            <w:tcW w:w="5912" w:type="dxa"/>
            <w:noWrap w:val="0"/>
            <w:vAlign w:val="center"/>
          </w:tcPr>
          <w:p w14:paraId="29D5C2E8">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符合第二章“投标人须知”第3.5.1项规定</w:t>
            </w:r>
          </w:p>
        </w:tc>
      </w:tr>
      <w:tr w14:paraId="4864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43527A77">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03D5A2BD">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3D4A76B7">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912" w:type="dxa"/>
            <w:noWrap w:val="0"/>
            <w:vAlign w:val="center"/>
          </w:tcPr>
          <w:p w14:paraId="03E8D4EF">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74FD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1E39FC96">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388AC7BB">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43D71DBC">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912" w:type="dxa"/>
            <w:noWrap w:val="0"/>
            <w:vAlign w:val="center"/>
          </w:tcPr>
          <w:p w14:paraId="392CE035">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2D1B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3A8FFE2A">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62D20DF0">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5FFA9464">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912" w:type="dxa"/>
            <w:noWrap w:val="0"/>
            <w:vAlign w:val="center"/>
          </w:tcPr>
          <w:p w14:paraId="1D27BA39">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不存在第二章“投标人须知”第1.4.3项规定的任何一种情形</w:t>
            </w:r>
          </w:p>
        </w:tc>
      </w:tr>
      <w:tr w14:paraId="662A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298D5D53">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04FFEF2E">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177681DA">
            <w:pPr>
              <w:adjustRightInd w:val="0"/>
              <w:snapToGrid w:val="0"/>
              <w:spacing w:after="0" w:line="280" w:lineRule="exact"/>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其他要求</w:t>
            </w:r>
          </w:p>
        </w:tc>
        <w:tc>
          <w:tcPr>
            <w:tcW w:w="5912" w:type="dxa"/>
            <w:noWrap w:val="0"/>
            <w:vAlign w:val="center"/>
          </w:tcPr>
          <w:p w14:paraId="5E30AEB7">
            <w:pPr>
              <w:adjustRightInd w:val="0"/>
              <w:snapToGrid w:val="0"/>
              <w:spacing w:after="0" w:line="280" w:lineRule="exact"/>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符合第二章</w:t>
            </w:r>
            <w:r>
              <w:rPr>
                <w:rFonts w:ascii="宋体" w:hAnsi="宋体" w:eastAsia="宋体" w:cs="Times New Roman"/>
                <w:color w:val="auto"/>
                <w:sz w:val="21"/>
                <w:szCs w:val="21"/>
                <w:highlight w:val="none"/>
              </w:rPr>
              <w:t>“</w:t>
            </w:r>
            <w:r>
              <w:rPr>
                <w:rFonts w:ascii="宋体" w:hAnsi="宋体" w:eastAsia="宋体" w:cs="宋体"/>
                <w:color w:val="auto"/>
                <w:sz w:val="21"/>
                <w:szCs w:val="21"/>
                <w:highlight w:val="none"/>
              </w:rPr>
              <w:t>投标人须知</w:t>
            </w:r>
            <w:r>
              <w:rPr>
                <w:rFonts w:ascii="宋体" w:hAnsi="宋体" w:eastAsia="宋体" w:cs="Times New Roman"/>
                <w:color w:val="auto"/>
                <w:sz w:val="21"/>
                <w:szCs w:val="21"/>
                <w:highlight w:val="none"/>
              </w:rPr>
              <w:t>”</w:t>
            </w:r>
            <w:r>
              <w:rPr>
                <w:rFonts w:ascii="宋体" w:hAnsi="宋体" w:eastAsia="宋体" w:cs="宋体"/>
                <w:color w:val="auto"/>
                <w:sz w:val="21"/>
                <w:szCs w:val="21"/>
                <w:highlight w:val="none"/>
              </w:rPr>
              <w:t>第</w:t>
            </w:r>
            <w:r>
              <w:rPr>
                <w:rFonts w:ascii="宋体" w:hAnsi="宋体" w:eastAsia="宋体" w:cs="Times New Roman"/>
                <w:color w:val="auto"/>
                <w:sz w:val="21"/>
                <w:szCs w:val="21"/>
                <w:highlight w:val="none"/>
              </w:rPr>
              <w:t>1.4.1</w:t>
            </w:r>
            <w:r>
              <w:rPr>
                <w:rFonts w:ascii="宋体" w:hAnsi="宋体" w:eastAsia="宋体" w:cs="宋体"/>
                <w:color w:val="auto"/>
                <w:sz w:val="21"/>
                <w:szCs w:val="21"/>
                <w:highlight w:val="none"/>
              </w:rPr>
              <w:t>项规定</w:t>
            </w:r>
          </w:p>
        </w:tc>
      </w:tr>
      <w:tr w14:paraId="2917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362CF307">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03AC1261">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25E28B6D">
            <w:pPr>
              <w:adjustRightInd w:val="0"/>
              <w:snapToGrid w:val="0"/>
              <w:spacing w:after="0" w:line="280" w:lineRule="exact"/>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联合体投标人</w:t>
            </w:r>
          </w:p>
        </w:tc>
        <w:tc>
          <w:tcPr>
            <w:tcW w:w="5912" w:type="dxa"/>
            <w:noWrap w:val="0"/>
            <w:vAlign w:val="center"/>
          </w:tcPr>
          <w:p w14:paraId="53984A2E">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不接受联合体投标</w:t>
            </w:r>
          </w:p>
        </w:tc>
      </w:tr>
      <w:tr w14:paraId="00E3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restart"/>
            <w:noWrap w:val="0"/>
            <w:vAlign w:val="center"/>
          </w:tcPr>
          <w:p w14:paraId="25BEE6E9">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92" w:type="dxa"/>
            <w:gridSpan w:val="2"/>
            <w:vMerge w:val="restart"/>
            <w:noWrap w:val="0"/>
            <w:vAlign w:val="center"/>
          </w:tcPr>
          <w:p w14:paraId="30ABC899">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170" w:type="dxa"/>
            <w:gridSpan w:val="2"/>
            <w:noWrap w:val="0"/>
            <w:vAlign w:val="center"/>
          </w:tcPr>
          <w:p w14:paraId="7D77F2EF">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912" w:type="dxa"/>
            <w:noWrap w:val="0"/>
            <w:vAlign w:val="center"/>
          </w:tcPr>
          <w:p w14:paraId="58F79EE7">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4CD7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73C787D3">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0500E7F9">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460A33FC">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tc>
        <w:tc>
          <w:tcPr>
            <w:tcW w:w="5912" w:type="dxa"/>
            <w:noWrap w:val="0"/>
            <w:vAlign w:val="center"/>
          </w:tcPr>
          <w:p w14:paraId="0BE07A92">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448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3B0B7DD0">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34A95157">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3DFDA1BA">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912" w:type="dxa"/>
            <w:noWrap w:val="0"/>
            <w:vAlign w:val="center"/>
          </w:tcPr>
          <w:p w14:paraId="2A5801BF">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2FB6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66EA1AB5">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37B8D154">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126FFC09">
            <w:pPr>
              <w:adjustRightInd w:val="0"/>
              <w:snapToGrid w:val="0"/>
              <w:spacing w:after="0" w:line="280" w:lineRule="exact"/>
              <w:jc w:val="both"/>
              <w:rPr>
                <w:rFonts w:hint="eastAsia" w:ascii="宋体" w:hAnsi="宋体" w:eastAsia="宋体" w:cs="宋体"/>
                <w:color w:val="auto"/>
                <w:sz w:val="21"/>
                <w:szCs w:val="21"/>
                <w:highlight w:val="none"/>
              </w:rPr>
            </w:pPr>
            <w:r>
              <w:rPr>
                <w:rFonts w:ascii="宋体" w:hAnsi="宋体" w:eastAsia="宋体"/>
                <w:color w:val="auto"/>
                <w:sz w:val="21"/>
                <w:szCs w:val="21"/>
                <w:highlight w:val="none"/>
              </w:rPr>
              <w:t>备选投标方案</w:t>
            </w:r>
          </w:p>
        </w:tc>
        <w:tc>
          <w:tcPr>
            <w:tcW w:w="5912" w:type="dxa"/>
            <w:noWrap w:val="0"/>
            <w:vAlign w:val="center"/>
          </w:tcPr>
          <w:p w14:paraId="307AB8DE">
            <w:pPr>
              <w:adjustRightInd w:val="0"/>
              <w:snapToGrid w:val="0"/>
              <w:spacing w:after="0" w:line="280" w:lineRule="exact"/>
              <w:jc w:val="both"/>
              <w:rPr>
                <w:rFonts w:hint="eastAsia" w:ascii="宋体" w:hAnsi="宋体" w:eastAsia="宋体" w:cs="宋体"/>
                <w:color w:val="auto"/>
                <w:sz w:val="21"/>
                <w:szCs w:val="21"/>
                <w:highlight w:val="none"/>
              </w:rPr>
            </w:pPr>
            <w:r>
              <w:rPr>
                <w:rFonts w:ascii="宋体" w:hAnsi="宋体" w:eastAsia="宋体"/>
                <w:color w:val="auto"/>
                <w:sz w:val="21"/>
                <w:szCs w:val="21"/>
                <w:highlight w:val="none"/>
              </w:rPr>
              <w:t>不允许</w:t>
            </w:r>
          </w:p>
        </w:tc>
      </w:tr>
      <w:tr w14:paraId="4D2E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0A81F1E5">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3DC57726">
            <w:pPr>
              <w:adjustRightInd w:val="0"/>
              <w:snapToGrid w:val="0"/>
              <w:spacing w:after="0" w:line="280" w:lineRule="exact"/>
              <w:jc w:val="center"/>
              <w:rPr>
                <w:rFonts w:hint="eastAsia" w:ascii="宋体" w:hAnsi="宋体" w:eastAsia="宋体" w:cs="宋体"/>
                <w:color w:val="auto"/>
                <w:sz w:val="21"/>
                <w:szCs w:val="21"/>
                <w:highlight w:val="none"/>
              </w:rPr>
            </w:pPr>
          </w:p>
        </w:tc>
        <w:tc>
          <w:tcPr>
            <w:tcW w:w="2170" w:type="dxa"/>
            <w:gridSpan w:val="2"/>
            <w:noWrap w:val="0"/>
            <w:vAlign w:val="center"/>
          </w:tcPr>
          <w:p w14:paraId="15C4002F">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投标人机器码</w:t>
            </w:r>
          </w:p>
        </w:tc>
        <w:tc>
          <w:tcPr>
            <w:tcW w:w="5912" w:type="dxa"/>
            <w:noWrap w:val="0"/>
            <w:vAlign w:val="center"/>
          </w:tcPr>
          <w:p w14:paraId="37196905">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不同投标人机器码相同，视为不合格</w:t>
            </w:r>
          </w:p>
        </w:tc>
      </w:tr>
      <w:tr w14:paraId="5842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restart"/>
            <w:noWrap w:val="0"/>
            <w:vAlign w:val="center"/>
          </w:tcPr>
          <w:p w14:paraId="21E4B27D">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92" w:type="dxa"/>
            <w:gridSpan w:val="2"/>
            <w:vMerge w:val="restart"/>
            <w:noWrap w:val="0"/>
            <w:vAlign w:val="center"/>
          </w:tcPr>
          <w:p w14:paraId="55D6DB4B">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170" w:type="dxa"/>
            <w:gridSpan w:val="2"/>
            <w:noWrap w:val="0"/>
            <w:vAlign w:val="center"/>
          </w:tcPr>
          <w:p w14:paraId="6594C247">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912" w:type="dxa"/>
            <w:noWrap w:val="0"/>
            <w:vAlign w:val="center"/>
          </w:tcPr>
          <w:p w14:paraId="687983C6">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466F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653865FA">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406E457B">
            <w:pPr>
              <w:adjustRightInd w:val="0"/>
              <w:snapToGrid w:val="0"/>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0A2E79A2">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912" w:type="dxa"/>
            <w:noWrap w:val="0"/>
            <w:vAlign w:val="center"/>
          </w:tcPr>
          <w:p w14:paraId="2ABE1542">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00D4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5A8180AA">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322359A9">
            <w:pPr>
              <w:adjustRightInd w:val="0"/>
              <w:snapToGrid w:val="0"/>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2887A60A">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5912" w:type="dxa"/>
            <w:noWrap w:val="0"/>
            <w:vAlign w:val="center"/>
          </w:tcPr>
          <w:p w14:paraId="565DB1D7">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718A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1B20C988">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0A1DBF2B">
            <w:pPr>
              <w:adjustRightInd w:val="0"/>
              <w:snapToGrid w:val="0"/>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0BCB8941">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912" w:type="dxa"/>
            <w:noWrap w:val="0"/>
            <w:vAlign w:val="center"/>
          </w:tcPr>
          <w:p w14:paraId="3305668C">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5F72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006" w:type="dxa"/>
            <w:gridSpan w:val="2"/>
            <w:vMerge w:val="continue"/>
            <w:noWrap w:val="0"/>
            <w:vAlign w:val="center"/>
          </w:tcPr>
          <w:p w14:paraId="6AD7A662">
            <w:pPr>
              <w:adjustRightInd w:val="0"/>
              <w:snapToGrid w:val="0"/>
              <w:spacing w:after="0" w:line="280" w:lineRule="exact"/>
              <w:jc w:val="both"/>
              <w:rPr>
                <w:rFonts w:hint="eastAsia" w:ascii="宋体" w:hAnsi="宋体" w:eastAsia="宋体" w:cs="宋体"/>
                <w:color w:val="auto"/>
                <w:sz w:val="21"/>
                <w:szCs w:val="21"/>
                <w:highlight w:val="none"/>
              </w:rPr>
            </w:pPr>
          </w:p>
        </w:tc>
        <w:tc>
          <w:tcPr>
            <w:tcW w:w="692" w:type="dxa"/>
            <w:gridSpan w:val="2"/>
            <w:vMerge w:val="continue"/>
            <w:noWrap w:val="0"/>
            <w:vAlign w:val="center"/>
          </w:tcPr>
          <w:p w14:paraId="3551FF31">
            <w:pPr>
              <w:adjustRightInd w:val="0"/>
              <w:snapToGrid w:val="0"/>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6AF453CE">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串通投标情形</w:t>
            </w:r>
          </w:p>
        </w:tc>
        <w:tc>
          <w:tcPr>
            <w:tcW w:w="5912" w:type="dxa"/>
            <w:noWrap w:val="0"/>
            <w:vAlign w:val="top"/>
          </w:tcPr>
          <w:p w14:paraId="68DDA737">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u w:val="single"/>
              </w:rPr>
              <w:t>不存在串通投标情形（串通投标情形以《中华人民共和国招标投标法实施条例》的规定为准）</w:t>
            </w:r>
          </w:p>
        </w:tc>
      </w:tr>
      <w:tr w14:paraId="3C61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54" w:hRule="atLeast"/>
          <w:jc w:val="center"/>
        </w:trPr>
        <w:tc>
          <w:tcPr>
            <w:tcW w:w="1691" w:type="dxa"/>
            <w:gridSpan w:val="3"/>
            <w:noWrap w:val="0"/>
            <w:vAlign w:val="center"/>
          </w:tcPr>
          <w:p w14:paraId="759C38DA">
            <w:pPr>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170" w:type="dxa"/>
            <w:gridSpan w:val="2"/>
            <w:noWrap w:val="0"/>
            <w:vAlign w:val="center"/>
          </w:tcPr>
          <w:p w14:paraId="1C0B259D">
            <w:pPr>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522623F1">
            <w:pPr>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919" w:type="dxa"/>
            <w:gridSpan w:val="2"/>
            <w:noWrap w:val="0"/>
            <w:vAlign w:val="center"/>
          </w:tcPr>
          <w:p w14:paraId="4BDF8FF3">
            <w:pPr>
              <w:adjustRightInd w:val="0"/>
              <w:snapToGrid w:val="0"/>
              <w:spacing w:after="0" w:line="280" w:lineRule="exact"/>
              <w:jc w:val="both"/>
              <w:rPr>
                <w:rFonts w:hint="eastAsia"/>
                <w:color w:val="auto"/>
                <w:highlight w:val="none"/>
              </w:rPr>
            </w:pPr>
            <w:r>
              <w:rPr>
                <w:rFonts w:hint="eastAsia"/>
                <w:color w:val="auto"/>
                <w:highlight w:val="none"/>
              </w:rPr>
              <w:t>投标人总得分=商务部分得分+技术部分得分+投标报价得分</w:t>
            </w:r>
          </w:p>
          <w:p w14:paraId="69EEF4D8">
            <w:pPr>
              <w:adjustRightInd w:val="0"/>
              <w:snapToGrid w:val="0"/>
              <w:spacing w:after="0" w:line="280" w:lineRule="exact"/>
              <w:jc w:val="both"/>
              <w:rPr>
                <w:rFonts w:hint="eastAsia"/>
                <w:color w:val="auto"/>
                <w:highlight w:val="none"/>
              </w:rPr>
            </w:pPr>
            <w:r>
              <w:rPr>
                <w:rFonts w:hint="eastAsia"/>
                <w:color w:val="auto"/>
                <w:highlight w:val="none"/>
              </w:rPr>
              <w:t>1、商务部分：60分</w:t>
            </w:r>
          </w:p>
          <w:p w14:paraId="25FE89CF">
            <w:pPr>
              <w:adjustRightInd w:val="0"/>
              <w:snapToGrid w:val="0"/>
              <w:spacing w:after="0" w:line="280" w:lineRule="exact"/>
              <w:jc w:val="both"/>
              <w:rPr>
                <w:rFonts w:hint="eastAsia"/>
                <w:color w:val="auto"/>
                <w:highlight w:val="none"/>
              </w:rPr>
            </w:pPr>
            <w:r>
              <w:rPr>
                <w:rFonts w:hint="eastAsia"/>
                <w:color w:val="auto"/>
                <w:highlight w:val="none"/>
              </w:rPr>
              <w:t>2、技术部分</w:t>
            </w:r>
            <w:r>
              <w:rPr>
                <w:rFonts w:hint="eastAsia" w:eastAsia="宋体"/>
                <w:color w:val="auto"/>
                <w:highlight w:val="none"/>
                <w:lang w:eastAsia="zh-CN"/>
              </w:rPr>
              <w:t>：</w:t>
            </w:r>
            <w:r>
              <w:rPr>
                <w:rFonts w:hint="eastAsia"/>
                <w:color w:val="auto"/>
                <w:highlight w:val="none"/>
              </w:rPr>
              <w:t>30分</w:t>
            </w:r>
          </w:p>
          <w:p w14:paraId="27082B85">
            <w:pPr>
              <w:adjustRightInd w:val="0"/>
              <w:spacing w:after="0" w:line="280" w:lineRule="exact"/>
              <w:ind w:right="68" w:rightChars="31"/>
              <w:jc w:val="both"/>
              <w:rPr>
                <w:color w:val="auto"/>
                <w:highlight w:val="none"/>
              </w:rPr>
            </w:pPr>
            <w:r>
              <w:rPr>
                <w:rFonts w:hint="eastAsia"/>
                <w:color w:val="auto"/>
                <w:highlight w:val="none"/>
              </w:rPr>
              <w:t>3、投标报价：10分</w:t>
            </w:r>
          </w:p>
        </w:tc>
      </w:tr>
      <w:tr w14:paraId="2FC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691" w:type="dxa"/>
            <w:gridSpan w:val="3"/>
            <w:noWrap w:val="0"/>
            <w:vAlign w:val="center"/>
          </w:tcPr>
          <w:p w14:paraId="41472898">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170" w:type="dxa"/>
            <w:gridSpan w:val="2"/>
            <w:noWrap w:val="0"/>
            <w:vAlign w:val="center"/>
          </w:tcPr>
          <w:p w14:paraId="54BBF805">
            <w:pPr>
              <w:adjustRightInd w:val="0"/>
              <w:snapToGrid w:val="0"/>
              <w:spacing w:after="0" w:line="280" w:lineRule="exact"/>
              <w:jc w:val="both"/>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评标基准价计算方法</w:t>
            </w:r>
          </w:p>
        </w:tc>
        <w:tc>
          <w:tcPr>
            <w:tcW w:w="5919" w:type="dxa"/>
            <w:gridSpan w:val="2"/>
            <w:noWrap w:val="0"/>
            <w:vAlign w:val="center"/>
          </w:tcPr>
          <w:p w14:paraId="25327DFE">
            <w:pPr>
              <w:adjustRightInd w:val="0"/>
              <w:snapToGrid w:val="0"/>
              <w:spacing w:after="0" w:line="280" w:lineRule="exact"/>
              <w:jc w:val="both"/>
              <w:rPr>
                <w:rFonts w:hint="eastAsia" w:ascii="宋体" w:hAnsi="宋体"/>
                <w:color w:val="auto"/>
                <w:szCs w:val="36"/>
                <w:highlight w:val="none"/>
              </w:rPr>
            </w:pPr>
            <w:r>
              <w:rPr>
                <w:rFonts w:hint="eastAsia" w:ascii="宋体" w:hAnsi="宋体"/>
                <w:color w:val="auto"/>
                <w:szCs w:val="36"/>
                <w:highlight w:val="none"/>
              </w:rPr>
              <w:t>1、若通过形式评审、资格评审、响应性评审的有效投标人且经算术校核的报价位于【招标控制价×80%，招标控制价】区间的大于5个，去掉一个最高价和一个最低价后，剩余报价的算术平均值作为评标基准价（出现小数的，小数点后保留二位小数，第三位小数四舍五入）。</w:t>
            </w:r>
          </w:p>
          <w:p w14:paraId="4B97F570">
            <w:pPr>
              <w:adjustRightInd w:val="0"/>
              <w:snapToGrid w:val="0"/>
              <w:spacing w:after="0" w:line="280" w:lineRule="exact"/>
              <w:jc w:val="both"/>
              <w:rPr>
                <w:rFonts w:hint="eastAsia" w:ascii="宋体" w:hAnsi="宋体"/>
                <w:color w:val="auto"/>
                <w:szCs w:val="36"/>
                <w:highlight w:val="none"/>
              </w:rPr>
            </w:pPr>
            <w:r>
              <w:rPr>
                <w:rFonts w:hint="eastAsia" w:ascii="宋体" w:hAnsi="宋体"/>
                <w:color w:val="auto"/>
                <w:szCs w:val="36"/>
                <w:highlight w:val="none"/>
              </w:rPr>
              <w:t>2、若通过形式评审、资格评审、响应性评审的有效投标人且经算术校核的报价位于【招标控制价×80%，招标控制价】区间的少</w:t>
            </w:r>
            <w:bookmarkStart w:id="295" w:name="_GoBack"/>
            <w:bookmarkEnd w:id="295"/>
            <w:r>
              <w:rPr>
                <w:rFonts w:hint="eastAsia" w:ascii="宋体" w:hAnsi="宋体"/>
                <w:color w:val="auto"/>
                <w:szCs w:val="36"/>
                <w:highlight w:val="none"/>
              </w:rPr>
              <w:t>于或等于5个，直接取区间中的所有报价的算术平均值作为评标基准价（出现小数的，小数点后保留二位小数，第三位小数四舍五入）。</w:t>
            </w:r>
          </w:p>
          <w:p w14:paraId="5FD5BB6E">
            <w:pPr>
              <w:adjustRightInd w:val="0"/>
              <w:snapToGrid w:val="0"/>
              <w:spacing w:after="0" w:line="280" w:lineRule="exact"/>
              <w:jc w:val="both"/>
              <w:rPr>
                <w:rFonts w:hint="eastAsia" w:ascii="宋体" w:hAnsi="宋体"/>
                <w:color w:val="auto"/>
                <w:szCs w:val="36"/>
                <w:highlight w:val="none"/>
              </w:rPr>
            </w:pPr>
            <w:r>
              <w:rPr>
                <w:rFonts w:hint="eastAsia" w:ascii="宋体" w:hAnsi="宋体"/>
                <w:color w:val="auto"/>
                <w:szCs w:val="36"/>
                <w:highlight w:val="none"/>
              </w:rPr>
              <w:t>3、若通过形式评审、资格评审、响应性评审的有效投标人且经算术校核的报价没有位于【招标控制价×80%，招标控制价】区间的，所有投标人的报价得分为0分。</w:t>
            </w:r>
          </w:p>
          <w:p w14:paraId="31CCB758">
            <w:pPr>
              <w:adjustRightInd w:val="0"/>
              <w:snapToGrid w:val="0"/>
              <w:spacing w:after="0" w:line="280" w:lineRule="exact"/>
              <w:jc w:val="both"/>
              <w:rPr>
                <w:rFonts w:hint="eastAsia" w:ascii="宋体" w:hAnsi="宋体" w:eastAsia="宋体" w:cs="宋体"/>
                <w:color w:val="auto"/>
                <w:sz w:val="21"/>
                <w:szCs w:val="21"/>
                <w:highlight w:val="none"/>
              </w:rPr>
            </w:pPr>
            <w:r>
              <w:rPr>
                <w:rFonts w:hint="eastAsia" w:ascii="宋体" w:hAnsi="宋体"/>
                <w:color w:val="auto"/>
                <w:szCs w:val="36"/>
                <w:highlight w:val="none"/>
              </w:rPr>
              <w:t>在首次评标过程中，投标人未被发现存在串通投标、弄虚作假、行贿等情形的，无论是否重评，经确定的评标基准价不变。</w:t>
            </w:r>
          </w:p>
        </w:tc>
      </w:tr>
      <w:tr w14:paraId="1D76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451" w:hRule="atLeast"/>
          <w:jc w:val="center"/>
        </w:trPr>
        <w:tc>
          <w:tcPr>
            <w:tcW w:w="1691" w:type="dxa"/>
            <w:gridSpan w:val="3"/>
            <w:noWrap w:val="0"/>
            <w:vAlign w:val="center"/>
          </w:tcPr>
          <w:p w14:paraId="6AB92C45">
            <w:pPr>
              <w:adjustRightIn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170" w:type="dxa"/>
            <w:gridSpan w:val="2"/>
            <w:noWrap w:val="0"/>
            <w:vAlign w:val="center"/>
          </w:tcPr>
          <w:p w14:paraId="20D38505">
            <w:pPr>
              <w:adjustRightIn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14:paraId="208A311D">
            <w:pPr>
              <w:adjustRightIn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w:t>
            </w:r>
          </w:p>
        </w:tc>
        <w:tc>
          <w:tcPr>
            <w:tcW w:w="5919" w:type="dxa"/>
            <w:gridSpan w:val="2"/>
            <w:noWrap w:val="0"/>
            <w:vAlign w:val="center"/>
          </w:tcPr>
          <w:p w14:paraId="5E64CF35">
            <w:pPr>
              <w:adjustRightInd w:val="0"/>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D6C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771" w:hRule="atLeast"/>
          <w:jc w:val="center"/>
        </w:trPr>
        <w:tc>
          <w:tcPr>
            <w:tcW w:w="902" w:type="dxa"/>
            <w:vMerge w:val="restart"/>
            <w:noWrap w:val="0"/>
            <w:vAlign w:val="center"/>
          </w:tcPr>
          <w:p w14:paraId="4E612048">
            <w:pPr>
              <w:spacing w:after="18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p w14:paraId="4788D784">
            <w:pPr>
              <w:spacing w:after="0" w:line="240" w:lineRule="auto"/>
              <w:ind w:left="10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9" w:type="dxa"/>
            <w:gridSpan w:val="2"/>
            <w:vMerge w:val="restart"/>
            <w:noWrap w:val="0"/>
            <w:vAlign w:val="center"/>
          </w:tcPr>
          <w:p w14:paraId="5380AD05">
            <w:pPr>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商务评分标准</w:t>
            </w:r>
          </w:p>
          <w:p w14:paraId="1F097C11">
            <w:pPr>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olor w:val="auto"/>
                <w:sz w:val="21"/>
                <w:szCs w:val="21"/>
                <w:highlight w:val="none"/>
              </w:rPr>
              <w:t>0</w:t>
            </w:r>
            <w:r>
              <w:rPr>
                <w:rFonts w:hint="eastAsia" w:ascii="宋体" w:hAnsi="宋体" w:eastAsia="宋体" w:cs="宋体"/>
                <w:color w:val="auto"/>
                <w:sz w:val="21"/>
                <w:szCs w:val="21"/>
                <w:highlight w:val="none"/>
              </w:rPr>
              <w:t>分）</w:t>
            </w:r>
          </w:p>
        </w:tc>
        <w:tc>
          <w:tcPr>
            <w:tcW w:w="2170" w:type="dxa"/>
            <w:gridSpan w:val="2"/>
            <w:noWrap w:val="0"/>
            <w:vAlign w:val="center"/>
          </w:tcPr>
          <w:p w14:paraId="2A94A85D">
            <w:pPr>
              <w:adjustRightInd w:val="0"/>
              <w:snapToGrid w:val="0"/>
              <w:spacing w:after="0" w:line="280" w:lineRule="exact"/>
              <w:jc w:val="center"/>
              <w:rPr>
                <w:rFonts w:hint="eastAsia" w:ascii="宋体" w:hAnsi="宋体" w:eastAsia="宋体" w:cs="宋体"/>
                <w:color w:val="auto"/>
                <w:sz w:val="21"/>
                <w:szCs w:val="21"/>
                <w:highlight w:val="none"/>
              </w:rPr>
            </w:pPr>
            <w:r>
              <w:rPr>
                <w:rFonts w:ascii="宋体" w:hAnsi="宋体" w:cs="宋体"/>
                <w:color w:val="auto"/>
                <w:szCs w:val="21"/>
                <w:highlight w:val="none"/>
              </w:rPr>
              <w:t>类似项目业绩（</w:t>
            </w:r>
            <w:r>
              <w:rPr>
                <w:rFonts w:hint="eastAsia" w:ascii="宋体" w:hAnsi="宋体" w:eastAsia="宋体" w:cs="宋体"/>
                <w:color w:val="auto"/>
                <w:szCs w:val="21"/>
                <w:highlight w:val="none"/>
                <w:lang w:val="en-US" w:eastAsia="zh-CN"/>
              </w:rPr>
              <w:t>10</w:t>
            </w:r>
            <w:r>
              <w:rPr>
                <w:rFonts w:ascii="宋体" w:hAnsi="宋体" w:cs="宋体"/>
                <w:color w:val="auto"/>
                <w:szCs w:val="21"/>
                <w:highlight w:val="none"/>
              </w:rPr>
              <w:t>分）</w:t>
            </w:r>
          </w:p>
        </w:tc>
        <w:tc>
          <w:tcPr>
            <w:tcW w:w="5919" w:type="dxa"/>
            <w:gridSpan w:val="2"/>
            <w:noWrap w:val="0"/>
            <w:vAlign w:val="center"/>
          </w:tcPr>
          <w:p w14:paraId="3AA977B4">
            <w:pPr>
              <w:adjustRightInd w:val="0"/>
              <w:spacing w:after="0" w:line="280" w:lineRule="exact"/>
              <w:ind w:right="68" w:rightChars="31"/>
              <w:jc w:val="both"/>
              <w:rPr>
                <w:rFonts w:hint="eastAsia" w:ascii="宋体" w:hAnsi="宋体" w:cs="微软雅黑"/>
                <w:color w:val="auto"/>
                <w:highlight w:val="none"/>
              </w:rPr>
            </w:pPr>
            <w:r>
              <w:rPr>
                <w:rFonts w:hint="eastAsia" w:ascii="宋体" w:hAnsi="宋体" w:cs="微软雅黑"/>
                <w:color w:val="auto"/>
                <w:highlight w:val="none"/>
              </w:rPr>
              <w:t>投标人2020年1月1日至今完成过单个合同额1</w:t>
            </w:r>
            <w:r>
              <w:rPr>
                <w:rFonts w:hint="eastAsia" w:ascii="宋体" w:hAnsi="宋体" w:eastAsia="宋体" w:cs="微软雅黑"/>
                <w:color w:val="auto"/>
                <w:highlight w:val="none"/>
                <w:lang w:val="en-US" w:eastAsia="zh-CN"/>
              </w:rPr>
              <w:t>5</w:t>
            </w:r>
            <w:r>
              <w:rPr>
                <w:rFonts w:hint="eastAsia" w:ascii="宋体" w:hAnsi="宋体" w:cs="微软雅黑"/>
                <w:color w:val="auto"/>
                <w:highlight w:val="none"/>
              </w:rPr>
              <w:t>0万元或以上的类似检测业绩，每项得</w:t>
            </w:r>
            <w:r>
              <w:rPr>
                <w:rFonts w:hint="eastAsia" w:ascii="宋体" w:hAnsi="宋体" w:eastAsia="宋体" w:cs="微软雅黑"/>
                <w:color w:val="auto"/>
                <w:highlight w:val="none"/>
                <w:lang w:val="en-US" w:eastAsia="zh-CN"/>
              </w:rPr>
              <w:t>2</w:t>
            </w:r>
            <w:r>
              <w:rPr>
                <w:rFonts w:hint="eastAsia" w:ascii="宋体" w:hAnsi="宋体" w:cs="微软雅黑"/>
                <w:color w:val="auto"/>
                <w:highlight w:val="none"/>
              </w:rPr>
              <w:t>分，本项最多得</w:t>
            </w:r>
            <w:r>
              <w:rPr>
                <w:rFonts w:hint="eastAsia" w:ascii="宋体" w:hAnsi="宋体" w:eastAsia="宋体" w:cs="微软雅黑"/>
                <w:color w:val="auto"/>
                <w:highlight w:val="none"/>
                <w:lang w:val="en-US" w:eastAsia="zh-CN"/>
              </w:rPr>
              <w:t>10</w:t>
            </w:r>
            <w:r>
              <w:rPr>
                <w:rFonts w:hint="eastAsia" w:ascii="宋体" w:hAnsi="宋体" w:cs="微软雅黑"/>
                <w:color w:val="auto"/>
                <w:highlight w:val="none"/>
              </w:rPr>
              <w:t>分。</w:t>
            </w:r>
          </w:p>
          <w:p w14:paraId="166D2538">
            <w:pPr>
              <w:adjustRightInd w:val="0"/>
              <w:spacing w:after="0" w:line="280" w:lineRule="exact"/>
              <w:ind w:right="68" w:rightChars="31"/>
              <w:jc w:val="both"/>
              <w:rPr>
                <w:rFonts w:hint="eastAsia" w:ascii="宋体" w:hAnsi="宋体" w:eastAsia="宋体" w:cs="宋体"/>
                <w:color w:val="auto"/>
                <w:sz w:val="21"/>
                <w:szCs w:val="21"/>
                <w:highlight w:val="none"/>
              </w:rPr>
            </w:pPr>
            <w:r>
              <w:rPr>
                <w:rFonts w:hint="eastAsia" w:ascii="宋体" w:hAnsi="宋体" w:cs="微软雅黑"/>
                <w:color w:val="auto"/>
                <w:highlight w:val="none"/>
              </w:rPr>
              <w:t>注：类似项目业绩：检测、监测业绩是指包含本次招标内容中的一项或多项的建设工程质量检测、监测内容的业绩，需同时提供中标通知书（或免招标证明）和技术服务合同等证明材料原件清晰扫描件并加盖电子印章。类似业绩时间及金额均以合同为准。</w:t>
            </w:r>
          </w:p>
        </w:tc>
      </w:tr>
      <w:tr w14:paraId="33F1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205" w:hRule="atLeast"/>
          <w:jc w:val="center"/>
        </w:trPr>
        <w:tc>
          <w:tcPr>
            <w:tcW w:w="902" w:type="dxa"/>
            <w:vMerge w:val="continue"/>
            <w:noWrap w:val="0"/>
            <w:vAlign w:val="center"/>
          </w:tcPr>
          <w:p w14:paraId="7AD7094D">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2A0AA2CC">
            <w:pPr>
              <w:spacing w:after="0" w:line="280" w:lineRule="exact"/>
              <w:jc w:val="center"/>
              <w:rPr>
                <w:rFonts w:hint="eastAsia" w:ascii="宋体" w:hAnsi="宋体" w:eastAsia="宋体" w:cs="宋体"/>
                <w:color w:val="auto"/>
                <w:sz w:val="21"/>
                <w:szCs w:val="21"/>
                <w:highlight w:val="none"/>
              </w:rPr>
            </w:pPr>
          </w:p>
        </w:tc>
        <w:tc>
          <w:tcPr>
            <w:tcW w:w="2170" w:type="dxa"/>
            <w:gridSpan w:val="2"/>
            <w:vMerge w:val="restart"/>
            <w:noWrap w:val="0"/>
            <w:vAlign w:val="center"/>
          </w:tcPr>
          <w:p w14:paraId="77C439D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企业资信</w:t>
            </w:r>
          </w:p>
          <w:p w14:paraId="5C91D8A0">
            <w:pPr>
              <w:adjustRightInd w:val="0"/>
              <w:snapToGrid w:val="0"/>
              <w:spacing w:after="0" w:line="28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rPr>
              <w:t>分)</w:t>
            </w:r>
          </w:p>
        </w:tc>
        <w:tc>
          <w:tcPr>
            <w:tcW w:w="5919" w:type="dxa"/>
            <w:gridSpan w:val="2"/>
            <w:noWrap w:val="0"/>
            <w:vAlign w:val="center"/>
          </w:tcPr>
          <w:p w14:paraId="30D75825">
            <w:pPr>
              <w:adjustRightInd w:val="0"/>
              <w:spacing w:after="0" w:line="280" w:lineRule="exact"/>
              <w:ind w:right="68" w:rightChars="31"/>
              <w:jc w:val="both"/>
              <w:rPr>
                <w:rFonts w:hint="eastAsia" w:ascii="宋体" w:hAnsi="宋体" w:eastAsia="宋体" w:cs="微软雅黑"/>
                <w:color w:val="auto"/>
                <w:highlight w:val="none"/>
              </w:rPr>
            </w:pPr>
            <w:r>
              <w:rPr>
                <w:rFonts w:hint="eastAsia" w:ascii="宋体" w:hAnsi="宋体" w:eastAsia="宋体" w:cs="微软雅黑"/>
                <w:color w:val="auto"/>
                <w:highlight w:val="none"/>
              </w:rPr>
              <w:t>投标人具有</w:t>
            </w:r>
            <w:r>
              <w:rPr>
                <w:rFonts w:hint="eastAsia" w:ascii="宋体" w:hAnsi="宋体" w:cs="宋体"/>
                <w:szCs w:val="21"/>
                <w:highlight w:val="none"/>
              </w:rPr>
              <w:t>质量管理体系、环境管理体系</w:t>
            </w:r>
            <w:r>
              <w:rPr>
                <w:rFonts w:hint="eastAsia" w:ascii="宋体" w:hAnsi="宋体" w:eastAsia="宋体" w:cs="宋体"/>
                <w:szCs w:val="21"/>
                <w:highlight w:val="none"/>
                <w:lang w:eastAsia="zh-CN"/>
              </w:rPr>
              <w:t>、职业健康安全</w:t>
            </w:r>
            <w:r>
              <w:rPr>
                <w:rFonts w:hint="eastAsia" w:ascii="宋体" w:hAnsi="宋体" w:eastAsia="宋体" w:cs="微软雅黑"/>
                <w:color w:val="auto"/>
                <w:highlight w:val="none"/>
              </w:rPr>
              <w:t>管理体系、信息技术管理体系、</w:t>
            </w:r>
            <w:r>
              <w:rPr>
                <w:rFonts w:hint="eastAsia" w:eastAsia="宋体"/>
                <w:highlight w:val="none"/>
                <w:lang w:eastAsia="zh-CN"/>
              </w:rPr>
              <w:t>履约能力评价体系</w:t>
            </w:r>
            <w:r>
              <w:rPr>
                <w:rFonts w:hint="eastAsia" w:ascii="宋体" w:hAnsi="宋体" w:eastAsia="宋体" w:cs="微软雅黑"/>
                <w:color w:val="auto"/>
                <w:highlight w:val="none"/>
              </w:rPr>
              <w:t>并在有效期内</w:t>
            </w:r>
            <w:r>
              <w:rPr>
                <w:rFonts w:hint="eastAsia" w:eastAsia="宋体"/>
                <w:highlight w:val="none"/>
                <w:lang w:eastAsia="zh-CN"/>
              </w:rPr>
              <w:t>，每项得</w:t>
            </w:r>
            <w:r>
              <w:rPr>
                <w:rFonts w:hint="eastAsia" w:eastAsia="宋体"/>
                <w:highlight w:val="none"/>
                <w:lang w:val="en-US" w:eastAsia="zh-CN"/>
              </w:rPr>
              <w:t>1.2分，最多得6分。</w:t>
            </w:r>
          </w:p>
          <w:p w14:paraId="3417F83D">
            <w:pPr>
              <w:adjustRightInd w:val="0"/>
              <w:spacing w:after="0" w:line="280" w:lineRule="exact"/>
              <w:ind w:right="68" w:rightChars="31"/>
              <w:jc w:val="both"/>
              <w:rPr>
                <w:rFonts w:hint="eastAsia" w:ascii="宋体" w:hAnsi="宋体" w:eastAsia="宋体" w:cs="微软雅黑"/>
                <w:color w:val="auto"/>
                <w:highlight w:val="none"/>
              </w:rPr>
            </w:pPr>
            <w:r>
              <w:rPr>
                <w:rFonts w:hint="eastAsia" w:ascii="宋体" w:hAnsi="宋体" w:eastAsia="宋体" w:cs="微软雅黑"/>
                <w:color w:val="auto"/>
                <w:highlight w:val="none"/>
              </w:rPr>
              <w:t>注：须提供认证证书的复印件或在国家认证认可监督管理委员会官方网站www.cnca.gov.cn/上查询证书时效性截图，否则不得分。</w:t>
            </w:r>
          </w:p>
        </w:tc>
      </w:tr>
      <w:tr w14:paraId="3DFE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517" w:hRule="atLeast"/>
          <w:jc w:val="center"/>
        </w:trPr>
        <w:tc>
          <w:tcPr>
            <w:tcW w:w="902" w:type="dxa"/>
            <w:vMerge w:val="continue"/>
            <w:noWrap w:val="0"/>
            <w:vAlign w:val="center"/>
          </w:tcPr>
          <w:p w14:paraId="74894DD9">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55BDDCF8">
            <w:pPr>
              <w:spacing w:after="0" w:line="280" w:lineRule="exact"/>
              <w:jc w:val="both"/>
              <w:rPr>
                <w:rFonts w:hint="eastAsia" w:ascii="宋体" w:hAnsi="宋体" w:eastAsia="宋体" w:cs="宋体"/>
                <w:color w:val="auto"/>
                <w:sz w:val="21"/>
                <w:szCs w:val="21"/>
                <w:highlight w:val="none"/>
              </w:rPr>
            </w:pPr>
          </w:p>
        </w:tc>
        <w:tc>
          <w:tcPr>
            <w:tcW w:w="2170" w:type="dxa"/>
            <w:gridSpan w:val="2"/>
            <w:vMerge w:val="continue"/>
            <w:noWrap w:val="0"/>
            <w:vAlign w:val="center"/>
          </w:tcPr>
          <w:p w14:paraId="0C4994D6">
            <w:pPr>
              <w:adjustRightInd w:val="0"/>
              <w:snapToGrid w:val="0"/>
              <w:spacing w:after="0" w:line="280" w:lineRule="exact"/>
              <w:jc w:val="center"/>
              <w:rPr>
                <w:rFonts w:hint="eastAsia" w:ascii="宋体" w:hAnsi="宋体" w:eastAsia="宋体" w:cs="宋体"/>
                <w:color w:val="auto"/>
                <w:sz w:val="21"/>
                <w:szCs w:val="21"/>
                <w:highlight w:val="none"/>
              </w:rPr>
            </w:pPr>
          </w:p>
        </w:tc>
        <w:tc>
          <w:tcPr>
            <w:tcW w:w="5919" w:type="dxa"/>
            <w:gridSpan w:val="2"/>
            <w:noWrap w:val="0"/>
            <w:vAlign w:val="center"/>
          </w:tcPr>
          <w:p w14:paraId="40F35E86">
            <w:pPr>
              <w:adjustRightInd w:val="0"/>
              <w:spacing w:after="0" w:line="240" w:lineRule="auto"/>
              <w:ind w:right="68" w:rightChars="31"/>
              <w:jc w:val="both"/>
              <w:rPr>
                <w:rFonts w:hint="eastAsia" w:eastAsia="宋体"/>
                <w:highlight w:val="none"/>
              </w:rPr>
            </w:pPr>
            <w:r>
              <w:rPr>
                <w:rFonts w:hint="eastAsia" w:eastAsia="宋体"/>
                <w:highlight w:val="none"/>
              </w:rPr>
              <w:t>投标人2020年1月1日至今获得过检测类发明</w:t>
            </w:r>
            <w:r>
              <w:rPr>
                <w:rFonts w:hint="eastAsia" w:eastAsia="宋体"/>
                <w:highlight w:val="none"/>
                <w:lang w:eastAsia="zh-CN"/>
              </w:rPr>
              <w:t>、</w:t>
            </w:r>
            <w:r>
              <w:rPr>
                <w:rFonts w:hint="eastAsia" w:eastAsia="宋体"/>
                <w:highlight w:val="none"/>
              </w:rPr>
              <w:t>专利，且为投标人所有，每项得</w:t>
            </w:r>
            <w:r>
              <w:rPr>
                <w:rFonts w:hint="eastAsia" w:eastAsia="宋体"/>
                <w:highlight w:val="none"/>
                <w:lang w:val="en-US" w:eastAsia="zh-CN"/>
              </w:rPr>
              <w:t>1.5</w:t>
            </w:r>
            <w:r>
              <w:rPr>
                <w:rFonts w:hint="eastAsia" w:eastAsia="宋体"/>
                <w:highlight w:val="none"/>
              </w:rPr>
              <w:t>分，最高得9分。没有不得分。</w:t>
            </w:r>
          </w:p>
          <w:p w14:paraId="5D916549">
            <w:pPr>
              <w:adjustRightInd w:val="0"/>
              <w:ind w:right="68" w:rightChars="31"/>
              <w:jc w:val="both"/>
              <w:rPr>
                <w:rFonts w:hint="eastAsia" w:ascii="宋体" w:hAnsi="宋体" w:eastAsia="宋体" w:cs="微软雅黑"/>
                <w:color w:val="auto"/>
                <w:highlight w:val="none"/>
              </w:rPr>
            </w:pPr>
            <w:r>
              <w:rPr>
                <w:rFonts w:hint="eastAsia" w:eastAsia="宋体"/>
                <w:highlight w:val="none"/>
              </w:rPr>
              <w:t>注：检测类发明专利证书：须提供相关证明材料的原件清晰彩色扫描件。</w:t>
            </w:r>
          </w:p>
        </w:tc>
      </w:tr>
      <w:tr w14:paraId="3624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90" w:hRule="atLeast"/>
          <w:jc w:val="center"/>
        </w:trPr>
        <w:tc>
          <w:tcPr>
            <w:tcW w:w="902" w:type="dxa"/>
            <w:vMerge w:val="continue"/>
            <w:noWrap w:val="0"/>
            <w:vAlign w:val="center"/>
          </w:tcPr>
          <w:p w14:paraId="22304840">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234E58AB">
            <w:pPr>
              <w:spacing w:after="0" w:line="280" w:lineRule="exact"/>
              <w:jc w:val="both"/>
              <w:rPr>
                <w:rFonts w:hint="eastAsia" w:ascii="宋体" w:hAnsi="宋体" w:eastAsia="宋体" w:cs="宋体"/>
                <w:color w:val="auto"/>
                <w:sz w:val="21"/>
                <w:szCs w:val="21"/>
                <w:highlight w:val="none"/>
              </w:rPr>
            </w:pPr>
          </w:p>
        </w:tc>
        <w:tc>
          <w:tcPr>
            <w:tcW w:w="2170" w:type="dxa"/>
            <w:gridSpan w:val="2"/>
            <w:vMerge w:val="continue"/>
            <w:noWrap w:val="0"/>
            <w:vAlign w:val="center"/>
          </w:tcPr>
          <w:p w14:paraId="0EA939F2">
            <w:pPr>
              <w:adjustRightInd w:val="0"/>
              <w:snapToGrid w:val="0"/>
              <w:spacing w:after="0" w:line="280" w:lineRule="exact"/>
              <w:jc w:val="center"/>
              <w:rPr>
                <w:rFonts w:hint="eastAsia" w:ascii="宋体" w:hAnsi="宋体" w:eastAsia="宋体" w:cs="宋体"/>
                <w:color w:val="auto"/>
                <w:sz w:val="21"/>
                <w:szCs w:val="21"/>
                <w:highlight w:val="none"/>
              </w:rPr>
            </w:pPr>
          </w:p>
        </w:tc>
        <w:tc>
          <w:tcPr>
            <w:tcW w:w="5919" w:type="dxa"/>
            <w:gridSpan w:val="2"/>
            <w:noWrap w:val="0"/>
            <w:vAlign w:val="center"/>
          </w:tcPr>
          <w:p w14:paraId="55CFD5EC">
            <w:pPr>
              <w:pStyle w:val="36"/>
              <w:spacing w:after="0" w:line="280" w:lineRule="exact"/>
              <w:ind w:firstLine="0" w:firstLineChars="0"/>
              <w:rPr>
                <w:rFonts w:hint="eastAsia" w:ascii="宋体" w:hAnsi="宋体" w:eastAsia="宋体" w:cs="微软雅黑"/>
                <w:color w:val="auto"/>
                <w:highlight w:val="none"/>
              </w:rPr>
            </w:pPr>
            <w:r>
              <w:rPr>
                <w:rFonts w:hint="eastAsia" w:ascii="宋体" w:hAnsi="宋体" w:eastAsia="宋体" w:cs="微软雅黑"/>
                <w:color w:val="auto"/>
                <w:highlight w:val="none"/>
              </w:rPr>
              <w:t>投标人具备中国合格评定国家认可委员会检验机构证书或实验室认可证书（CNAS）且在有效期内的，得</w:t>
            </w:r>
            <w:r>
              <w:rPr>
                <w:rFonts w:hint="eastAsia" w:ascii="宋体" w:hAnsi="宋体" w:eastAsia="宋体" w:cs="微软雅黑"/>
                <w:color w:val="auto"/>
                <w:highlight w:val="none"/>
                <w:lang w:val="en-US" w:eastAsia="zh-CN"/>
              </w:rPr>
              <w:t>5</w:t>
            </w:r>
            <w:r>
              <w:rPr>
                <w:rFonts w:hint="eastAsia" w:ascii="宋体" w:hAnsi="宋体" w:eastAsia="宋体" w:cs="微软雅黑"/>
                <w:color w:val="auto"/>
                <w:highlight w:val="none"/>
              </w:rPr>
              <w:t>分，无则不得分。</w:t>
            </w:r>
          </w:p>
          <w:p w14:paraId="2738F7B0">
            <w:pPr>
              <w:pStyle w:val="36"/>
              <w:spacing w:after="0" w:line="280" w:lineRule="exact"/>
              <w:ind w:firstLine="0" w:firstLineChars="0"/>
              <w:rPr>
                <w:rFonts w:hint="eastAsia" w:ascii="宋体" w:hAnsi="宋体" w:cs="宋体"/>
                <w:b/>
                <w:szCs w:val="21"/>
                <w:highlight w:val="none"/>
              </w:rPr>
            </w:pPr>
            <w:r>
              <w:rPr>
                <w:rFonts w:hint="eastAsia" w:ascii="宋体" w:hAnsi="宋体" w:eastAsia="宋体" w:cs="微软雅黑"/>
                <w:color w:val="auto"/>
                <w:highlight w:val="none"/>
              </w:rPr>
              <w:t>注：中国合格评定国家认可委员会检验机构证书或实验室认可证书（CNAS）须提供相关证书的清晰扫描件，没有提供的不得分。</w:t>
            </w:r>
          </w:p>
        </w:tc>
      </w:tr>
      <w:tr w14:paraId="773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6954" w:hRule="atLeast"/>
          <w:jc w:val="center"/>
        </w:trPr>
        <w:tc>
          <w:tcPr>
            <w:tcW w:w="902" w:type="dxa"/>
            <w:vMerge w:val="continue"/>
            <w:noWrap w:val="0"/>
            <w:vAlign w:val="center"/>
          </w:tcPr>
          <w:p w14:paraId="44A25C6E">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53FD00D8">
            <w:pPr>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68D5FEE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14:paraId="17C41C12">
            <w:pPr>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12</w:t>
            </w:r>
            <w:r>
              <w:rPr>
                <w:rFonts w:hint="eastAsia" w:ascii="宋体" w:hAnsi="宋体" w:cs="宋体"/>
                <w:color w:val="auto"/>
                <w:szCs w:val="21"/>
                <w:highlight w:val="none"/>
              </w:rPr>
              <w:t>分）</w:t>
            </w:r>
          </w:p>
        </w:tc>
        <w:tc>
          <w:tcPr>
            <w:tcW w:w="5919" w:type="dxa"/>
            <w:gridSpan w:val="2"/>
            <w:noWrap w:val="0"/>
            <w:vAlign w:val="center"/>
          </w:tcPr>
          <w:p w14:paraId="17E62916">
            <w:pPr>
              <w:spacing w:line="280" w:lineRule="exact"/>
              <w:rPr>
                <w:rFonts w:hint="eastAsia" w:ascii="宋体" w:hAnsi="宋体" w:cs="宋体"/>
                <w:color w:val="auto"/>
                <w:highlight w:val="none"/>
              </w:rPr>
            </w:pPr>
            <w:r>
              <w:rPr>
                <w:rFonts w:hint="eastAsia" w:ascii="宋体" w:hAnsi="宋体" w:cs="宋体"/>
                <w:color w:val="auto"/>
                <w:highlight w:val="none"/>
              </w:rPr>
              <w:t>投标人项目负责人:</w:t>
            </w:r>
          </w:p>
          <w:p w14:paraId="1C83D393">
            <w:pPr>
              <w:spacing w:line="280" w:lineRule="exact"/>
              <w:rPr>
                <w:rFonts w:hint="eastAsia" w:ascii="宋体" w:hAnsi="宋体" w:cs="宋体"/>
                <w:color w:val="auto"/>
                <w:highlight w:val="none"/>
              </w:rPr>
            </w:pPr>
            <w:r>
              <w:rPr>
                <w:rFonts w:hint="eastAsia" w:ascii="宋体" w:hAnsi="宋体" w:cs="宋体"/>
                <w:color w:val="auto"/>
                <w:highlight w:val="none"/>
              </w:rPr>
              <w:t>1、具有注册土木工程师（岩土）执业资格证书得3分；</w:t>
            </w:r>
          </w:p>
          <w:p w14:paraId="6B6DB2C7">
            <w:pPr>
              <w:spacing w:line="280" w:lineRule="exact"/>
              <w:rPr>
                <w:rFonts w:hint="eastAsia" w:ascii="宋体" w:hAnsi="宋体" w:cs="宋体"/>
                <w:color w:val="auto"/>
                <w:highlight w:val="none"/>
              </w:rPr>
            </w:pPr>
            <w:r>
              <w:rPr>
                <w:rFonts w:hint="eastAsia" w:ascii="宋体" w:hAnsi="宋体" w:cs="宋体"/>
                <w:color w:val="auto"/>
                <w:highlight w:val="none"/>
              </w:rPr>
              <w:t>2、具有一级注册结构工程师执业资格证书得2分；</w:t>
            </w:r>
          </w:p>
          <w:p w14:paraId="2D5DA71C">
            <w:pPr>
              <w:spacing w:line="280" w:lineRule="exact"/>
              <w:rPr>
                <w:rFonts w:hint="eastAsia" w:ascii="宋体" w:hAnsi="宋体" w:cs="宋体"/>
                <w:color w:val="auto"/>
                <w:highlight w:val="none"/>
              </w:rPr>
            </w:pPr>
            <w:r>
              <w:rPr>
                <w:rFonts w:hint="eastAsia" w:ascii="宋体" w:hAnsi="宋体" w:cs="宋体"/>
                <w:color w:val="auto"/>
                <w:highlight w:val="none"/>
              </w:rPr>
              <w:t>3、具备建筑工程检测或建筑工程相关专业高级工程师或以上职称得2分</w:t>
            </w:r>
            <w:r>
              <w:rPr>
                <w:rFonts w:hint="eastAsia" w:ascii="宋体" w:hAnsi="宋体" w:eastAsia="宋体" w:cs="宋体"/>
                <w:color w:val="auto"/>
                <w:highlight w:val="none"/>
                <w:lang w:eastAsia="zh-CN"/>
              </w:rPr>
              <w:t>，</w:t>
            </w:r>
            <w:r>
              <w:rPr>
                <w:rFonts w:hint="eastAsia" w:ascii="宋体" w:hAnsi="宋体" w:cs="宋体"/>
                <w:color w:val="auto"/>
                <w:highlight w:val="none"/>
              </w:rPr>
              <w:t>具备建筑工程检测或建筑工程相关专业</w:t>
            </w:r>
            <w:r>
              <w:rPr>
                <w:rFonts w:hint="eastAsia" w:ascii="宋体" w:hAnsi="宋体" w:cs="宋体"/>
                <w:color w:val="auto"/>
                <w:szCs w:val="21"/>
                <w:highlight w:val="none"/>
              </w:rPr>
              <w:t>工程师职称</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1分</w:t>
            </w:r>
            <w:r>
              <w:rPr>
                <w:rFonts w:hint="eastAsia" w:ascii="宋体" w:hAnsi="宋体" w:cs="宋体"/>
                <w:color w:val="auto"/>
                <w:highlight w:val="none"/>
              </w:rPr>
              <w:t>；</w:t>
            </w:r>
          </w:p>
          <w:p w14:paraId="57163DA6">
            <w:pPr>
              <w:spacing w:line="280" w:lineRule="exact"/>
              <w:rPr>
                <w:rFonts w:hint="eastAsia" w:ascii="宋体" w:hAnsi="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rPr>
              <w:t>、具有建设行政主管部门或其委托的机构、行业协会颁发的地基与基桩承载力检测(静载荷试验)、岩土工程原位测试、混凝土结构实体检测、砌体结构检测、桥梁与隧道的检测员证或检测上岗证或培训合格证</w:t>
            </w:r>
            <w:r>
              <w:rPr>
                <w:rFonts w:hint="eastAsia" w:ascii="宋体" w:hAnsi="宋体" w:eastAsia="宋体" w:cs="宋体"/>
                <w:color w:val="auto"/>
                <w:highlight w:val="none"/>
                <w:lang w:eastAsia="zh-CN"/>
              </w:rPr>
              <w:t>，</w:t>
            </w:r>
            <w:r>
              <w:rPr>
                <w:rFonts w:hint="eastAsia" w:ascii="宋体" w:hAnsi="宋体" w:cs="宋体"/>
                <w:color w:val="auto"/>
                <w:highlight w:val="none"/>
              </w:rPr>
              <w:t>每项得1</w:t>
            </w:r>
            <w:r>
              <w:rPr>
                <w:rFonts w:hint="eastAsia" w:ascii="宋体" w:hAnsi="宋体" w:eastAsia="宋体" w:cs="宋体"/>
                <w:color w:val="auto"/>
                <w:highlight w:val="none"/>
                <w:lang w:val="en-US" w:eastAsia="zh-CN"/>
              </w:rPr>
              <w:t>分</w:t>
            </w:r>
            <w:r>
              <w:rPr>
                <w:rFonts w:hint="eastAsia" w:ascii="宋体" w:hAnsi="宋体" w:cs="宋体"/>
                <w:color w:val="auto"/>
                <w:highlight w:val="none"/>
              </w:rPr>
              <w:t>，此项最高得5分；</w:t>
            </w:r>
          </w:p>
          <w:p w14:paraId="41A7EF4A">
            <w:pPr>
              <w:spacing w:line="280" w:lineRule="exact"/>
              <w:rPr>
                <w:rFonts w:hint="eastAsia" w:ascii="宋体" w:hAnsi="宋体" w:cs="宋体"/>
                <w:color w:val="auto"/>
                <w:highlight w:val="none"/>
              </w:rPr>
            </w:pPr>
            <w:r>
              <w:rPr>
                <w:rFonts w:hint="eastAsia" w:ascii="宋体" w:hAnsi="宋体" w:cs="宋体"/>
                <w:color w:val="auto"/>
                <w:highlight w:val="none"/>
              </w:rPr>
              <w:t>上述</w:t>
            </w:r>
            <w:r>
              <w:rPr>
                <w:rFonts w:hint="eastAsia" w:ascii="宋体" w:hAnsi="宋体" w:eastAsia="宋体" w:cs="宋体"/>
                <w:color w:val="auto"/>
                <w:highlight w:val="none"/>
                <w:lang w:val="en-US" w:eastAsia="zh-CN"/>
              </w:rPr>
              <w:t>四</w:t>
            </w:r>
            <w:r>
              <w:rPr>
                <w:rFonts w:hint="eastAsia" w:ascii="宋体" w:hAnsi="宋体" w:cs="宋体"/>
                <w:color w:val="auto"/>
                <w:highlight w:val="none"/>
              </w:rPr>
              <w:t>项合计最高得12分。</w:t>
            </w:r>
          </w:p>
          <w:p w14:paraId="4E7CCB58">
            <w:pPr>
              <w:spacing w:line="280" w:lineRule="exact"/>
              <w:rPr>
                <w:rFonts w:hint="eastAsia" w:ascii="宋体" w:hAnsi="宋体" w:cs="微软雅黑"/>
                <w:color w:val="auto"/>
                <w:highlight w:val="none"/>
              </w:rPr>
            </w:pPr>
            <w:r>
              <w:rPr>
                <w:rFonts w:hint="eastAsia" w:ascii="宋体" w:hAnsi="宋体" w:cs="宋体"/>
                <w:color w:val="auto"/>
                <w:highlight w:val="none"/>
              </w:rPr>
              <w:t>注：拟投入本项目主要技术人员与项目负责人及技术负责人三者不得同时兼任，且须为投标单位在职职工（以社保证明为准），需提供相应身份证、注册资格证（如有）、检测员证或检测上岗证或培训合格证等证明文件，以及投标截止时间前近一个月（2024年7月）的社保证明（社保证明需能反映参保人在该投标单位缴纳社保），否则不得分。</w:t>
            </w:r>
          </w:p>
        </w:tc>
      </w:tr>
      <w:tr w14:paraId="67FC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23" w:hRule="atLeast"/>
          <w:jc w:val="center"/>
        </w:trPr>
        <w:tc>
          <w:tcPr>
            <w:tcW w:w="902" w:type="dxa"/>
            <w:vMerge w:val="continue"/>
            <w:noWrap w:val="0"/>
            <w:vAlign w:val="center"/>
          </w:tcPr>
          <w:p w14:paraId="08156248">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7A26178D">
            <w:pPr>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474239C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p w14:paraId="6BC0E490">
            <w:pPr>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rPr>
              <w:t>分）</w:t>
            </w:r>
          </w:p>
        </w:tc>
        <w:tc>
          <w:tcPr>
            <w:tcW w:w="5919" w:type="dxa"/>
            <w:gridSpan w:val="2"/>
            <w:noWrap w:val="0"/>
            <w:vAlign w:val="center"/>
          </w:tcPr>
          <w:p w14:paraId="504121F4">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投标人技术负责人:</w:t>
            </w:r>
          </w:p>
          <w:p w14:paraId="48FA2A3E">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1、具有注册土木工程师（岩土）执业资格证书得3分；</w:t>
            </w:r>
          </w:p>
          <w:p w14:paraId="2AAF579E">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2、具有一级注册结构工程师执业资格证书得2分；</w:t>
            </w:r>
          </w:p>
          <w:p w14:paraId="718AD62A">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3、具备建筑工程检测或建筑工程相关专业高级工程师或以上职称得2分，具备建筑工程检测或建筑工程相关专业工程师职称得1分；</w:t>
            </w:r>
          </w:p>
          <w:p w14:paraId="526FA1F9">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4、具有建设行政主管部门或其委托的机构、行业协会颁发的桥梁与隧道的检测员证或检测上岗证或培训合格证</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得2分；</w:t>
            </w:r>
          </w:p>
          <w:p w14:paraId="7979F1F6">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上述</w:t>
            </w:r>
            <w:r>
              <w:rPr>
                <w:rFonts w:hint="eastAsia" w:ascii="宋体" w:hAnsi="宋体" w:eastAsia="宋体" w:cs="宋体"/>
                <w:color w:val="auto"/>
                <w:szCs w:val="21"/>
                <w:highlight w:val="none"/>
                <w:lang w:val="en-US" w:eastAsia="zh-CN"/>
              </w:rPr>
              <w:t>四</w:t>
            </w:r>
            <w:r>
              <w:rPr>
                <w:rFonts w:hint="eastAsia" w:ascii="宋体" w:hAnsi="宋体" w:cs="宋体"/>
                <w:color w:val="auto"/>
                <w:szCs w:val="21"/>
                <w:highlight w:val="none"/>
              </w:rPr>
              <w:t>项合计最高得9分。</w:t>
            </w:r>
          </w:p>
          <w:p w14:paraId="4137A05F">
            <w:pPr>
              <w:spacing w:line="280" w:lineRule="exact"/>
              <w:rPr>
                <w:rFonts w:hint="eastAsia" w:ascii="宋体" w:hAnsi="宋体" w:cs="微软雅黑"/>
                <w:color w:val="auto"/>
                <w:highlight w:val="none"/>
              </w:rPr>
            </w:pPr>
            <w:r>
              <w:rPr>
                <w:rFonts w:hint="eastAsia" w:ascii="宋体" w:hAnsi="宋体" w:cs="宋体"/>
                <w:color w:val="auto"/>
                <w:szCs w:val="21"/>
                <w:highlight w:val="none"/>
              </w:rPr>
              <w:t>注：拟投入本项目主要技术人员与项目负责人及技术负责人三者不得同时兼任，且须为投标单位在职职工（以社保证明为准），需提供相应身份证、注册资格证（如有）、检测员证或检测上岗证或培训合格证等证明文件，以及投标截止时间前近一个月（2024年7月）的社保证明（社保证明需能反映参保人在该投标单位缴纳社保），否则不得分。</w:t>
            </w:r>
          </w:p>
        </w:tc>
      </w:tr>
      <w:tr w14:paraId="2DAC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2857" w:hRule="atLeast"/>
          <w:jc w:val="center"/>
        </w:trPr>
        <w:tc>
          <w:tcPr>
            <w:tcW w:w="902" w:type="dxa"/>
            <w:vMerge w:val="continue"/>
            <w:noWrap w:val="0"/>
            <w:vAlign w:val="center"/>
          </w:tcPr>
          <w:p w14:paraId="31289730">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79A86520">
            <w:pPr>
              <w:spacing w:after="0" w:line="280" w:lineRule="exact"/>
              <w:jc w:val="both"/>
              <w:rPr>
                <w:rFonts w:hint="eastAsia" w:ascii="宋体" w:hAnsi="宋体" w:eastAsia="宋体" w:cs="宋体"/>
                <w:color w:val="auto"/>
                <w:sz w:val="21"/>
                <w:szCs w:val="21"/>
                <w:highlight w:val="none"/>
              </w:rPr>
            </w:pPr>
          </w:p>
        </w:tc>
        <w:tc>
          <w:tcPr>
            <w:tcW w:w="2170" w:type="dxa"/>
            <w:gridSpan w:val="2"/>
            <w:noWrap w:val="0"/>
            <w:vAlign w:val="center"/>
          </w:tcPr>
          <w:p w14:paraId="0A5A360E">
            <w:pPr>
              <w:spacing w:line="276" w:lineRule="auto"/>
              <w:jc w:val="center"/>
              <w:rPr>
                <w:rFonts w:hint="eastAsia" w:ascii="宋体" w:hAnsi="宋体" w:eastAsia="宋体" w:cs="宋体"/>
                <w:color w:val="auto"/>
                <w:sz w:val="21"/>
                <w:szCs w:val="21"/>
                <w:highlight w:val="none"/>
              </w:rPr>
            </w:pPr>
            <w:r>
              <w:rPr>
                <w:rFonts w:ascii="宋体" w:hAnsi="宋体"/>
                <w:color w:val="auto"/>
                <w:szCs w:val="21"/>
                <w:highlight w:val="none"/>
              </w:rPr>
              <w:t>项目</w:t>
            </w:r>
            <w:r>
              <w:rPr>
                <w:rFonts w:hint="eastAsia" w:ascii="宋体" w:hAnsi="宋体"/>
                <w:color w:val="auto"/>
                <w:szCs w:val="21"/>
                <w:highlight w:val="none"/>
              </w:rPr>
              <w:t>主要技术</w:t>
            </w:r>
            <w:r>
              <w:rPr>
                <w:rFonts w:ascii="宋体" w:hAnsi="宋体"/>
                <w:color w:val="auto"/>
                <w:szCs w:val="21"/>
                <w:highlight w:val="none"/>
              </w:rPr>
              <w:t>人员</w:t>
            </w:r>
            <w:r>
              <w:rPr>
                <w:rFonts w:hint="eastAsia" w:ascii="宋体" w:hAnsi="宋体"/>
                <w:color w:val="auto"/>
                <w:szCs w:val="21"/>
                <w:highlight w:val="none"/>
              </w:rPr>
              <w:t>（</w:t>
            </w:r>
            <w:r>
              <w:rPr>
                <w:rFonts w:hint="eastAsia" w:ascii="宋体" w:hAnsi="宋体" w:eastAsia="宋体"/>
                <w:color w:val="auto"/>
                <w:szCs w:val="21"/>
                <w:highlight w:val="none"/>
                <w:lang w:val="en-US" w:eastAsia="zh-CN"/>
              </w:rPr>
              <w:t>9</w:t>
            </w:r>
            <w:r>
              <w:rPr>
                <w:rFonts w:hint="eastAsia" w:ascii="宋体" w:hAnsi="宋体"/>
                <w:color w:val="auto"/>
                <w:szCs w:val="21"/>
                <w:highlight w:val="none"/>
              </w:rPr>
              <w:t>分）</w:t>
            </w:r>
          </w:p>
        </w:tc>
        <w:tc>
          <w:tcPr>
            <w:tcW w:w="5919" w:type="dxa"/>
            <w:gridSpan w:val="2"/>
            <w:noWrap w:val="0"/>
            <w:vAlign w:val="center"/>
          </w:tcPr>
          <w:p w14:paraId="6E0176A1">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投标人主要技术人员（</w:t>
            </w: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rPr>
              <w:t>分）：</w:t>
            </w:r>
          </w:p>
          <w:p w14:paraId="46829ED4">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1、除项目负责人和技术负责人外的主要技术人员，满足“基本人员要求一览表”的得</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rPr>
              <w:t>分，不满足得0分；</w:t>
            </w:r>
          </w:p>
          <w:p w14:paraId="24E0239C">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2、拟配备的主要技术人员满足“基本人员要求一览表”前提下，每增加一名高级工程师，得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rPr>
              <w:t>分；每增加一名中级工程师，得0.5分；本小项最多得</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rPr>
              <w:t>分。</w:t>
            </w:r>
          </w:p>
          <w:p w14:paraId="7563B44D">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本项最多得</w:t>
            </w: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rPr>
              <w:t>分。</w:t>
            </w:r>
          </w:p>
          <w:p w14:paraId="2ED55C9A">
            <w:pPr>
              <w:spacing w:line="280" w:lineRule="exact"/>
              <w:rPr>
                <w:rFonts w:hint="eastAsia" w:ascii="宋体" w:hAnsi="宋体" w:cs="微软雅黑"/>
                <w:color w:val="auto"/>
                <w:highlight w:val="none"/>
              </w:rPr>
            </w:pPr>
            <w:r>
              <w:rPr>
                <w:rFonts w:hint="eastAsia" w:ascii="宋体" w:hAnsi="宋体" w:cs="宋体"/>
                <w:color w:val="auto"/>
                <w:szCs w:val="21"/>
                <w:highlight w:val="none"/>
              </w:rPr>
              <w:t>注：拟投入本项目主要技术人员与项目负责人及技术负责人三者不得同时兼任，且须为投标单位在职职工（以社保证明为准），需提供相应身份证、职称证、检测员证或检测上岗证或培训合格证证等证明文件，以及投标截止时间前近一个月（2024年7月）的社保证明（社保证明需能反映参保人在该投标单位缴纳社保），否则不得分。</w:t>
            </w:r>
          </w:p>
        </w:tc>
      </w:tr>
      <w:tr w14:paraId="559E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11" w:hRule="atLeast"/>
          <w:jc w:val="center"/>
        </w:trPr>
        <w:tc>
          <w:tcPr>
            <w:tcW w:w="902" w:type="dxa"/>
            <w:vMerge w:val="restart"/>
            <w:noWrap w:val="0"/>
            <w:vAlign w:val="center"/>
          </w:tcPr>
          <w:p w14:paraId="74A7E92B">
            <w:pPr>
              <w:spacing w:after="18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p w14:paraId="46A84C30">
            <w:pPr>
              <w:spacing w:after="0" w:line="240" w:lineRule="auto"/>
              <w:ind w:left="10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89" w:type="dxa"/>
            <w:gridSpan w:val="2"/>
            <w:vMerge w:val="restart"/>
            <w:noWrap w:val="0"/>
            <w:vAlign w:val="center"/>
          </w:tcPr>
          <w:p w14:paraId="39E8A73C">
            <w:pPr>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技术方案部分评分标准（30分）</w:t>
            </w:r>
          </w:p>
        </w:tc>
        <w:tc>
          <w:tcPr>
            <w:tcW w:w="2170" w:type="dxa"/>
            <w:gridSpan w:val="2"/>
            <w:noWrap w:val="0"/>
            <w:vAlign w:val="center"/>
          </w:tcPr>
          <w:p w14:paraId="36A57846">
            <w:pPr>
              <w:jc w:val="center"/>
              <w:rPr>
                <w:rFonts w:hint="eastAsia" w:ascii="宋体" w:hAnsi="宋体" w:eastAsia="宋体" w:cs="宋体"/>
                <w:color w:val="auto"/>
                <w:sz w:val="21"/>
                <w:szCs w:val="21"/>
                <w:highlight w:val="none"/>
              </w:rPr>
            </w:pPr>
            <w:r>
              <w:rPr>
                <w:rFonts w:hint="eastAsia"/>
                <w:sz w:val="21"/>
                <w:szCs w:val="21"/>
                <w:highlight w:val="none"/>
              </w:rPr>
              <w:t>拟投入本项目的设备（</w:t>
            </w:r>
            <w:r>
              <w:rPr>
                <w:sz w:val="21"/>
                <w:szCs w:val="21"/>
                <w:highlight w:val="none"/>
              </w:rPr>
              <w:t>10</w:t>
            </w:r>
            <w:r>
              <w:rPr>
                <w:rFonts w:hint="eastAsia"/>
                <w:sz w:val="21"/>
                <w:szCs w:val="21"/>
                <w:highlight w:val="none"/>
              </w:rPr>
              <w:t>分）</w:t>
            </w:r>
          </w:p>
        </w:tc>
        <w:tc>
          <w:tcPr>
            <w:tcW w:w="5919" w:type="dxa"/>
            <w:gridSpan w:val="2"/>
            <w:noWrap w:val="0"/>
            <w:vAlign w:val="center"/>
          </w:tcPr>
          <w:p w14:paraId="55CC1F3A">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1、优：</w:t>
            </w:r>
            <w:r>
              <w:rPr>
                <w:rFonts w:hint="eastAsia" w:ascii="宋体" w:hAnsi="宋体" w:eastAsia="宋体" w:cs="宋体"/>
                <w:color w:val="auto"/>
                <w:sz w:val="21"/>
                <w:szCs w:val="21"/>
                <w:highlight w:val="none"/>
                <w:lang w:val="en-US" w:eastAsia="zh-CN"/>
              </w:rPr>
              <w:t>设备齐全、先进、现代化，</w:t>
            </w:r>
            <w:r>
              <w:rPr>
                <w:rFonts w:hint="eastAsia" w:ascii="宋体" w:hAnsi="宋体" w:eastAsia="宋体" w:cs="宋体"/>
                <w:color w:val="auto"/>
                <w:sz w:val="21"/>
                <w:szCs w:val="21"/>
                <w:highlight w:val="none"/>
              </w:rPr>
              <w:t>满足检测、监测和工期需要，设备年检合格，并且全部设备属于自有，得</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w:t>
            </w:r>
          </w:p>
          <w:p w14:paraId="697EEC3F">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2、良：</w:t>
            </w:r>
            <w:r>
              <w:rPr>
                <w:rFonts w:hint="eastAsia" w:ascii="宋体" w:hAnsi="宋体" w:eastAsia="宋体" w:cs="宋体"/>
                <w:color w:val="auto"/>
                <w:sz w:val="21"/>
                <w:szCs w:val="21"/>
                <w:highlight w:val="none"/>
                <w:lang w:val="en-US" w:eastAsia="zh-CN"/>
              </w:rPr>
              <w:t>设备齐全，</w:t>
            </w:r>
            <w:r>
              <w:rPr>
                <w:rFonts w:hint="eastAsia" w:ascii="宋体" w:hAnsi="宋体" w:eastAsia="宋体" w:cs="宋体"/>
                <w:color w:val="auto"/>
                <w:sz w:val="21"/>
                <w:szCs w:val="21"/>
                <w:highlight w:val="none"/>
              </w:rPr>
              <w:t>满足检测、监测和工期需要，设备年检合格，90%（含90%）以上设备属于自有，得</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p w14:paraId="1CD85804">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w:t>
            </w:r>
            <w:r>
              <w:rPr>
                <w:rFonts w:hint="eastAsia" w:ascii="宋体" w:hAnsi="宋体" w:eastAsia="宋体" w:cs="宋体"/>
                <w:color w:val="auto"/>
                <w:sz w:val="21"/>
                <w:szCs w:val="21"/>
                <w:highlight w:val="none"/>
                <w:lang w:val="en-US" w:eastAsia="zh-CN"/>
              </w:rPr>
              <w:t>设备齐全，</w:t>
            </w:r>
            <w:r>
              <w:rPr>
                <w:rFonts w:hint="eastAsia" w:ascii="宋体" w:hAnsi="宋体" w:eastAsia="宋体" w:cs="宋体"/>
                <w:color w:val="auto"/>
                <w:sz w:val="21"/>
                <w:szCs w:val="21"/>
                <w:highlight w:val="none"/>
              </w:rPr>
              <w:t>满足检测、监测和工期需要，设备年检合格，60%（含60%）以上设备属于自有，得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DE3ABFD">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sz w:val="21"/>
                <w:szCs w:val="21"/>
                <w:highlight w:val="none"/>
              </w:rPr>
            </w:pPr>
            <w:r>
              <w:rPr>
                <w:rFonts w:hint="eastAsia" w:ascii="宋体" w:hAnsi="宋体" w:eastAsia="宋体" w:cs="宋体"/>
                <w:color w:val="auto"/>
                <w:sz w:val="21"/>
                <w:szCs w:val="21"/>
                <w:highlight w:val="none"/>
              </w:rPr>
              <w:t>4、差：</w:t>
            </w:r>
            <w:r>
              <w:rPr>
                <w:rFonts w:hint="eastAsia" w:ascii="宋体" w:hAnsi="宋体" w:eastAsia="宋体" w:cs="宋体"/>
                <w:color w:val="auto"/>
                <w:sz w:val="21"/>
                <w:szCs w:val="21"/>
                <w:highlight w:val="none"/>
                <w:lang w:val="en-US" w:eastAsia="zh-CN"/>
              </w:rPr>
              <w:t>设备不能满足检测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en-US" w:eastAsia="zh-CN"/>
              </w:rPr>
              <w:t>和工期需要</w:t>
            </w:r>
            <w:r>
              <w:rPr>
                <w:rFonts w:hint="eastAsia" w:ascii="宋体" w:hAnsi="宋体" w:eastAsia="宋体" w:cs="宋体"/>
                <w:color w:val="auto"/>
                <w:sz w:val="21"/>
                <w:szCs w:val="21"/>
                <w:highlight w:val="none"/>
              </w:rPr>
              <w:t>，设备年检合格，60%（不含60%）以下设备属</w:t>
            </w:r>
            <w:r>
              <w:rPr>
                <w:rFonts w:hint="eastAsia"/>
                <w:sz w:val="21"/>
                <w:szCs w:val="21"/>
                <w:highlight w:val="none"/>
              </w:rPr>
              <w:t>于自有，得</w:t>
            </w:r>
            <w:r>
              <w:rPr>
                <w:rFonts w:hint="eastAsia" w:eastAsia="宋体"/>
                <w:sz w:val="21"/>
                <w:szCs w:val="21"/>
                <w:highlight w:val="none"/>
                <w:lang w:val="en-US" w:eastAsia="zh-CN"/>
              </w:rPr>
              <w:t>2.5</w:t>
            </w:r>
            <w:r>
              <w:rPr>
                <w:rFonts w:hint="eastAsia"/>
                <w:sz w:val="21"/>
                <w:szCs w:val="21"/>
                <w:highlight w:val="none"/>
              </w:rPr>
              <w:t>。</w:t>
            </w:r>
          </w:p>
          <w:p w14:paraId="6E40F4AA">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b/>
                <w:bCs/>
                <w:color w:val="auto"/>
                <w:sz w:val="21"/>
                <w:szCs w:val="21"/>
                <w:highlight w:val="none"/>
              </w:rPr>
            </w:pPr>
            <w:r>
              <w:rPr>
                <w:rFonts w:hint="eastAsia"/>
                <w:sz w:val="21"/>
                <w:szCs w:val="21"/>
                <w:highlight w:val="none"/>
              </w:rPr>
              <w:t>注：本项最多得</w:t>
            </w:r>
            <w:r>
              <w:rPr>
                <w:sz w:val="21"/>
                <w:szCs w:val="21"/>
                <w:highlight w:val="none"/>
              </w:rPr>
              <w:t>1</w:t>
            </w:r>
            <w:r>
              <w:rPr>
                <w:rFonts w:hint="eastAsia" w:eastAsia="宋体"/>
                <w:sz w:val="21"/>
                <w:szCs w:val="21"/>
                <w:highlight w:val="none"/>
                <w:lang w:val="en-US" w:eastAsia="zh-CN"/>
              </w:rPr>
              <w:t>0</w:t>
            </w:r>
            <w:r>
              <w:rPr>
                <w:rFonts w:hint="eastAsia"/>
                <w:sz w:val="21"/>
                <w:szCs w:val="21"/>
                <w:highlight w:val="none"/>
              </w:rPr>
              <w:t>分。</w:t>
            </w:r>
          </w:p>
        </w:tc>
      </w:tr>
      <w:tr w14:paraId="105D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51" w:hRule="atLeast"/>
          <w:jc w:val="center"/>
        </w:trPr>
        <w:tc>
          <w:tcPr>
            <w:tcW w:w="902" w:type="dxa"/>
            <w:vMerge w:val="continue"/>
            <w:noWrap w:val="0"/>
            <w:vAlign w:val="center"/>
          </w:tcPr>
          <w:p w14:paraId="14673BD4">
            <w:pPr>
              <w:spacing w:after="0" w:line="240" w:lineRule="auto"/>
              <w:ind w:left="106"/>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2FA29580">
            <w:pPr>
              <w:spacing w:line="276" w:lineRule="auto"/>
              <w:jc w:val="center"/>
              <w:rPr>
                <w:rFonts w:hint="eastAsia" w:ascii="宋体" w:hAnsi="宋体" w:eastAsia="宋体" w:cs="宋体"/>
                <w:color w:val="auto"/>
                <w:sz w:val="21"/>
                <w:szCs w:val="21"/>
                <w:highlight w:val="none"/>
              </w:rPr>
            </w:pPr>
          </w:p>
        </w:tc>
        <w:tc>
          <w:tcPr>
            <w:tcW w:w="2170" w:type="dxa"/>
            <w:gridSpan w:val="2"/>
            <w:noWrap w:val="0"/>
            <w:vAlign w:val="center"/>
          </w:tcPr>
          <w:p w14:paraId="1931951C">
            <w:pPr>
              <w:spacing w:after="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检测、监测方案（</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tc>
        <w:tc>
          <w:tcPr>
            <w:tcW w:w="5919" w:type="dxa"/>
            <w:gridSpan w:val="2"/>
            <w:noWrap w:val="0"/>
            <w:vAlign w:val="center"/>
          </w:tcPr>
          <w:p w14:paraId="49C5E92E">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优：检测、监测方案详细、具体，内容齐全，方法合理可行，能满足本工程提出的所有项目，有合理可行的保证通过相关验收、满足工程进度、质量和安全确保措施，得</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p w14:paraId="5107F0E1">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良：检测、监测方案较详细、较具体，内容较齐全，方法较合理可行，有比较可行的保证通过相关验收、满足工程进度、质量和安全确保措施，得</w:t>
            </w:r>
            <w:r>
              <w:rPr>
                <w:rFonts w:hint="default" w:ascii="宋体" w:hAnsi="宋体" w:eastAsia="宋体" w:cs="宋体"/>
                <w:color w:val="auto"/>
                <w:sz w:val="21"/>
                <w:szCs w:val="21"/>
                <w:highlight w:val="none"/>
              </w:rPr>
              <w:t>15</w:t>
            </w:r>
            <w:r>
              <w:rPr>
                <w:rFonts w:hint="eastAsia" w:ascii="宋体" w:hAnsi="宋体" w:eastAsia="宋体" w:cs="宋体"/>
                <w:color w:val="auto"/>
                <w:sz w:val="21"/>
                <w:szCs w:val="21"/>
                <w:highlight w:val="none"/>
              </w:rPr>
              <w:t>分；</w:t>
            </w:r>
          </w:p>
          <w:p w14:paraId="7E0B3A81">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中：检测、监测方案基本内容满足要求，方法基本符合规范要求，有基本能通过相关验收、满足工程进度、质量和安全的确保措施，得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FCEC3C1">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差：检测、监测方案基本内容阐述缺项，方法基本不能满足检测要求，得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551B615">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tc>
      </w:tr>
      <w:tr w14:paraId="7974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369" w:hRule="atLeast"/>
          <w:jc w:val="center"/>
        </w:trPr>
        <w:tc>
          <w:tcPr>
            <w:tcW w:w="902" w:type="dxa"/>
            <w:vMerge w:val="restart"/>
            <w:noWrap w:val="0"/>
            <w:vAlign w:val="center"/>
          </w:tcPr>
          <w:p w14:paraId="1161A5C4">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p w14:paraId="49A5C567">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9" w:type="dxa"/>
            <w:gridSpan w:val="2"/>
            <w:vMerge w:val="restart"/>
            <w:noWrap w:val="0"/>
            <w:vAlign w:val="center"/>
          </w:tcPr>
          <w:p w14:paraId="5C9A607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投标报价评分标准</w:t>
            </w:r>
          </w:p>
          <w:p w14:paraId="3A42E226">
            <w:pPr>
              <w:spacing w:line="276"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（10分）</w:t>
            </w:r>
          </w:p>
        </w:tc>
        <w:tc>
          <w:tcPr>
            <w:tcW w:w="2170" w:type="dxa"/>
            <w:gridSpan w:val="2"/>
            <w:noWrap w:val="0"/>
            <w:vAlign w:val="center"/>
          </w:tcPr>
          <w:p w14:paraId="5EF30378">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000000"/>
                <w:kern w:val="2"/>
                <w:sz w:val="21"/>
                <w:szCs w:val="21"/>
                <w:highlight w:val="none"/>
                <w:lang w:val="en-US" w:eastAsia="zh-CN" w:bidi="ar"/>
              </w:rPr>
              <w:t>偏差率</w:t>
            </w:r>
          </w:p>
        </w:tc>
        <w:tc>
          <w:tcPr>
            <w:tcW w:w="5919" w:type="dxa"/>
            <w:gridSpan w:val="2"/>
            <w:noWrap w:val="0"/>
            <w:vAlign w:val="center"/>
          </w:tcPr>
          <w:p w14:paraId="4E3366BD">
            <w:pPr>
              <w:keepNext w:val="0"/>
              <w:keepLines w:val="0"/>
              <w:widowControl/>
              <w:suppressLineNumbers w:val="0"/>
              <w:adjustRightInd w:val="0"/>
              <w:spacing w:before="0" w:beforeAutospacing="0" w:after="0" w:afterAutospacing="0" w:line="280" w:lineRule="exact"/>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000000"/>
                <w:kern w:val="2"/>
                <w:sz w:val="21"/>
                <w:szCs w:val="21"/>
                <w:highlight w:val="none"/>
                <w:lang w:val="en-US" w:eastAsia="zh-CN" w:bidi="ar"/>
              </w:rPr>
              <w:t>投标报价的偏差率=∣（有效投标报价-评标基准价）∣/评标基准价×100%（偏差率出现小数点时，保留小数点后2位，第三位小数四舍五入，报价偏差率不足1%的，按直线内插法计算投标报价得分）。</w:t>
            </w:r>
          </w:p>
        </w:tc>
      </w:tr>
      <w:tr w14:paraId="05A1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861" w:hRule="atLeast"/>
          <w:jc w:val="center"/>
        </w:trPr>
        <w:tc>
          <w:tcPr>
            <w:tcW w:w="902" w:type="dxa"/>
            <w:vMerge w:val="continue"/>
            <w:noWrap w:val="0"/>
            <w:vAlign w:val="center"/>
          </w:tcPr>
          <w:p w14:paraId="1A154F06">
            <w:pPr>
              <w:spacing w:after="0" w:line="240" w:lineRule="auto"/>
              <w:jc w:val="both"/>
              <w:rPr>
                <w:rFonts w:hint="eastAsia" w:ascii="宋体" w:hAnsi="宋体" w:eastAsia="宋体" w:cs="宋体"/>
                <w:color w:val="auto"/>
                <w:sz w:val="21"/>
                <w:szCs w:val="21"/>
                <w:highlight w:val="none"/>
              </w:rPr>
            </w:pPr>
          </w:p>
        </w:tc>
        <w:tc>
          <w:tcPr>
            <w:tcW w:w="789" w:type="dxa"/>
            <w:gridSpan w:val="2"/>
            <w:vMerge w:val="continue"/>
            <w:noWrap w:val="0"/>
            <w:vAlign w:val="center"/>
          </w:tcPr>
          <w:p w14:paraId="4B1303F4">
            <w:pPr>
              <w:spacing w:line="276" w:lineRule="auto"/>
              <w:rPr>
                <w:rFonts w:hint="eastAsia" w:ascii="宋体" w:hAnsi="宋体" w:cs="宋体"/>
                <w:color w:val="auto"/>
                <w:szCs w:val="21"/>
                <w:highlight w:val="none"/>
              </w:rPr>
            </w:pPr>
          </w:p>
        </w:tc>
        <w:tc>
          <w:tcPr>
            <w:tcW w:w="2170" w:type="dxa"/>
            <w:gridSpan w:val="2"/>
            <w:shd w:val="clear" w:color="auto" w:fill="auto"/>
            <w:noWrap w:val="0"/>
            <w:vAlign w:val="center"/>
          </w:tcPr>
          <w:p w14:paraId="2CD14B1D">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
              </w:rPr>
              <w:t>计算方法</w:t>
            </w:r>
          </w:p>
        </w:tc>
        <w:tc>
          <w:tcPr>
            <w:tcW w:w="5919" w:type="dxa"/>
            <w:gridSpan w:val="2"/>
            <w:shd w:val="clear" w:color="auto" w:fill="auto"/>
            <w:noWrap w:val="0"/>
            <w:vAlign w:val="center"/>
          </w:tcPr>
          <w:p w14:paraId="7D1E7215">
            <w:pPr>
              <w:keepNext w:val="0"/>
              <w:keepLines w:val="0"/>
              <w:widowControl/>
              <w:suppressLineNumbers w:val="0"/>
              <w:adjustRightInd w:val="0"/>
              <w:spacing w:before="0" w:beforeAutospacing="0" w:after="0" w:afterAutospacing="0" w:line="28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以评标基准价作为计算各有效投标价得分的基础，当有效投标价等于评标参考值时得10分；投标有效投价与评标基准价相比，每上偏1%扣</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分，每下偏1%扣0.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分。得分精确到小数点后两位。</w:t>
            </w:r>
          </w:p>
        </w:tc>
      </w:tr>
    </w:tbl>
    <w:p w14:paraId="374CCBC3">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说明：</w:t>
      </w:r>
    </w:p>
    <w:p w14:paraId="374F2CD2">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1、类似项目业绩：检测、监测业绩是指包含本次招标内容中的一项或多项的建设工程质量检测、监测内容的业绩，需同时提供中标通知书（或免招标证明）和技术服务合同等证明材料原件清晰扫描件并加盖电子印章。类似业绩时间及金额均以合同为准。</w:t>
      </w:r>
    </w:p>
    <w:p w14:paraId="4897E9C0">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2、管理体系：须提供认证证书的复印件或在国家认证认可监督管理委员会官方网站www.cnca.gov.cn/上查询证书时效性截图并提供相关证明材料的原件清晰彩色扫描件。</w:t>
      </w:r>
    </w:p>
    <w:p w14:paraId="016B8DF5">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3、检测类发明专利证书：须提供相关证明材料的原件清晰彩色扫描件。</w:t>
      </w:r>
    </w:p>
    <w:p w14:paraId="1EBDCC74">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4、 中国合格评定国家认可委员会检验机构证书或实验室认可证书（CNAS）须提供相关证书的清晰扫描件，没有提供的不得分。</w:t>
      </w:r>
    </w:p>
    <w:p w14:paraId="17FA4B1C">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拟投入本项目的项目负责人、技术负责人及项目主要技术人员之间不得兼任，且须为投标单位在职职工（以社保证明为准），需提供相应证书、身份证等证明文件，以及投标截止时间前近一个月（2024年7月）的社保证明（社保证明需能反映参保人在该投标单位缴纳社保），否则不得分。</w:t>
      </w:r>
    </w:p>
    <w:p w14:paraId="3CA1562B">
      <w:pPr>
        <w:pStyle w:val="37"/>
        <w:ind w:left="0" w:leftChars="0"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、拟投入本项目的设备：若为自有，需提供检测仪器设备的检定证书、发票的原件清晰扫描件并加盖电子印章，若为租赁，则需提供租赁合同原件清晰扫描件并加盖电子印章。</w:t>
      </w:r>
    </w:p>
    <w:p w14:paraId="0FE9BCFA">
      <w:pPr>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rPr>
        <w:t>、投标人的综合得分为各评委的评分去掉一个最高分和一个最低分后计取的算术平均分（分数出现小数点时，保留小数点后二位，第三位小数四舍五入）。</w:t>
      </w:r>
    </w:p>
    <w:p w14:paraId="28804E24">
      <w:pPr>
        <w:jc w:val="left"/>
        <w:rPr>
          <w:rFonts w:hint="eastAsia" w:ascii="宋体" w:hAnsi="宋体" w:eastAsia="宋体" w:cs="宋体"/>
          <w:color w:val="auto"/>
          <w:sz w:val="21"/>
          <w:highlight w:val="none"/>
        </w:rPr>
      </w:pPr>
    </w:p>
    <w:p w14:paraId="29CDAB31">
      <w:pPr>
        <w:pStyle w:val="37"/>
        <w:spacing w:after="0" w:line="240" w:lineRule="auto"/>
        <w:ind w:left="-660" w:leftChars="-300" w:firstLine="0" w:firstLineChars="0"/>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基本人员要求一览表</w:t>
      </w:r>
    </w:p>
    <w:p w14:paraId="1AF96440">
      <w:pPr>
        <w:pStyle w:val="37"/>
        <w:spacing w:after="0" w:line="240" w:lineRule="auto"/>
        <w:ind w:left="-660" w:leftChars="-300" w:firstLine="0" w:firstLineChars="0"/>
        <w:jc w:val="center"/>
        <w:rPr>
          <w:rFonts w:hint="eastAsia" w:ascii="宋体" w:hAnsi="宋体" w:eastAsia="宋体" w:cs="宋体"/>
          <w:b/>
          <w:color w:val="auto"/>
          <w:sz w:val="28"/>
          <w:szCs w:val="28"/>
          <w:highlight w:val="none"/>
          <w:u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548"/>
        <w:gridCol w:w="2953"/>
        <w:gridCol w:w="1224"/>
      </w:tblGrid>
      <w:tr w14:paraId="5B82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748B200E">
            <w:pPr>
              <w:pStyle w:val="37"/>
              <w:spacing w:after="0" w:line="240" w:lineRule="auto"/>
              <w:ind w:left="0" w:leftChars="0" w:firstLine="0" w:firstLineChars="0"/>
              <w:jc w:val="center"/>
              <w:rPr>
                <w:rFonts w:hint="eastAsia" w:eastAsia="宋体"/>
                <w:highlight w:val="none"/>
              </w:rPr>
            </w:pPr>
            <w:r>
              <w:rPr>
                <w:rFonts w:hint="eastAsia" w:eastAsia="宋体"/>
                <w:highlight w:val="none"/>
              </w:rPr>
              <w:t>序号</w:t>
            </w:r>
          </w:p>
        </w:tc>
        <w:tc>
          <w:tcPr>
            <w:tcW w:w="3548" w:type="dxa"/>
            <w:noWrap w:val="0"/>
            <w:vAlign w:val="center"/>
          </w:tcPr>
          <w:p w14:paraId="19AC419F">
            <w:pPr>
              <w:pStyle w:val="37"/>
              <w:spacing w:after="0" w:line="240" w:lineRule="auto"/>
              <w:ind w:left="0" w:leftChars="0" w:firstLine="0" w:firstLineChars="0"/>
              <w:jc w:val="center"/>
              <w:rPr>
                <w:rFonts w:hint="eastAsia" w:eastAsia="宋体"/>
                <w:highlight w:val="none"/>
              </w:rPr>
            </w:pPr>
            <w:r>
              <w:rPr>
                <w:rFonts w:hint="eastAsia" w:eastAsia="宋体"/>
                <w:highlight w:val="none"/>
              </w:rPr>
              <w:t>人员在本项目拟担任职务</w:t>
            </w:r>
          </w:p>
        </w:tc>
        <w:tc>
          <w:tcPr>
            <w:tcW w:w="2953" w:type="dxa"/>
            <w:noWrap w:val="0"/>
            <w:vAlign w:val="center"/>
          </w:tcPr>
          <w:p w14:paraId="165CC019">
            <w:pPr>
              <w:pStyle w:val="37"/>
              <w:spacing w:after="0" w:line="240" w:lineRule="auto"/>
              <w:ind w:left="0" w:leftChars="0" w:firstLine="0" w:firstLineChars="0"/>
              <w:jc w:val="center"/>
              <w:rPr>
                <w:rFonts w:hint="eastAsia" w:eastAsia="宋体"/>
                <w:highlight w:val="none"/>
              </w:rPr>
            </w:pPr>
            <w:r>
              <w:rPr>
                <w:rFonts w:hint="eastAsia" w:eastAsia="宋体"/>
                <w:highlight w:val="none"/>
              </w:rPr>
              <w:t>技术职称</w:t>
            </w:r>
          </w:p>
        </w:tc>
        <w:tc>
          <w:tcPr>
            <w:tcW w:w="1224" w:type="dxa"/>
            <w:noWrap w:val="0"/>
            <w:vAlign w:val="center"/>
          </w:tcPr>
          <w:p w14:paraId="305E5340">
            <w:pPr>
              <w:pStyle w:val="37"/>
              <w:spacing w:after="0" w:line="240" w:lineRule="auto"/>
              <w:ind w:left="0" w:leftChars="0" w:firstLine="0" w:firstLineChars="0"/>
              <w:jc w:val="center"/>
              <w:rPr>
                <w:rFonts w:hint="eastAsia" w:eastAsia="宋体"/>
                <w:highlight w:val="none"/>
              </w:rPr>
            </w:pPr>
            <w:r>
              <w:rPr>
                <w:rFonts w:hint="eastAsia" w:eastAsia="宋体"/>
                <w:highlight w:val="none"/>
              </w:rPr>
              <w:t>人数</w:t>
            </w:r>
          </w:p>
        </w:tc>
      </w:tr>
      <w:tr w14:paraId="18D9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0F729B8D">
            <w:pPr>
              <w:pStyle w:val="37"/>
              <w:spacing w:after="0" w:line="240" w:lineRule="auto"/>
              <w:ind w:left="0" w:leftChars="0" w:firstLine="0" w:firstLineChars="0"/>
              <w:jc w:val="center"/>
              <w:rPr>
                <w:rFonts w:hint="eastAsia" w:eastAsia="宋体"/>
                <w:highlight w:val="none"/>
              </w:rPr>
            </w:pPr>
            <w:r>
              <w:rPr>
                <w:rFonts w:hint="eastAsia" w:eastAsia="宋体"/>
                <w:highlight w:val="none"/>
              </w:rPr>
              <w:t>1</w:t>
            </w:r>
          </w:p>
        </w:tc>
        <w:tc>
          <w:tcPr>
            <w:tcW w:w="3548" w:type="dxa"/>
            <w:noWrap w:val="0"/>
            <w:vAlign w:val="center"/>
          </w:tcPr>
          <w:p w14:paraId="0E1B0C77">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地基基础工程检测</w:t>
            </w:r>
            <w:r>
              <w:rPr>
                <w:rFonts w:hint="eastAsia" w:eastAsia="宋体"/>
                <w:highlight w:val="none"/>
              </w:rPr>
              <w:t>负责人</w:t>
            </w:r>
          </w:p>
        </w:tc>
        <w:tc>
          <w:tcPr>
            <w:tcW w:w="2953" w:type="dxa"/>
            <w:noWrap w:val="0"/>
            <w:vAlign w:val="center"/>
          </w:tcPr>
          <w:p w14:paraId="31C5B497">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080DB665">
            <w:pPr>
              <w:pStyle w:val="37"/>
              <w:spacing w:after="0" w:line="240" w:lineRule="auto"/>
              <w:ind w:left="0" w:leftChars="0" w:firstLine="0" w:firstLineChars="0"/>
              <w:jc w:val="center"/>
              <w:rPr>
                <w:rFonts w:ascii="Times New Roman" w:hAnsi="Times New Roman" w:eastAsia="宋体" w:cs="Calibri"/>
                <w:color w:val="000000"/>
                <w:kern w:val="2"/>
                <w:sz w:val="22"/>
                <w:szCs w:val="22"/>
                <w:highlight w:val="none"/>
                <w:lang w:val="en-US" w:eastAsia="zh-CN" w:bidi="ar-SA"/>
              </w:rPr>
            </w:pPr>
            <w:r>
              <w:rPr>
                <w:rFonts w:hint="eastAsia" w:eastAsia="宋体"/>
                <w:highlight w:val="none"/>
              </w:rPr>
              <w:t>1</w:t>
            </w:r>
          </w:p>
        </w:tc>
      </w:tr>
      <w:tr w14:paraId="456E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216338B2">
            <w:pPr>
              <w:pStyle w:val="37"/>
              <w:spacing w:after="0" w:line="240" w:lineRule="auto"/>
              <w:ind w:left="0" w:leftChars="0" w:firstLine="0" w:firstLineChars="0"/>
              <w:jc w:val="center"/>
              <w:rPr>
                <w:rFonts w:hint="eastAsia" w:eastAsia="宋体"/>
                <w:highlight w:val="none"/>
              </w:rPr>
            </w:pPr>
            <w:r>
              <w:rPr>
                <w:rFonts w:hint="eastAsia" w:eastAsia="宋体"/>
                <w:highlight w:val="none"/>
              </w:rPr>
              <w:t>2</w:t>
            </w:r>
          </w:p>
        </w:tc>
        <w:tc>
          <w:tcPr>
            <w:tcW w:w="3548" w:type="dxa"/>
            <w:noWrap w:val="0"/>
            <w:vAlign w:val="center"/>
          </w:tcPr>
          <w:p w14:paraId="75BA833E">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hint="eastAsia"/>
                <w:highlight w:val="none"/>
              </w:rPr>
              <w:t>给排水</w:t>
            </w:r>
            <w:r>
              <w:rPr>
                <w:rFonts w:hint="eastAsia" w:eastAsia="宋体"/>
                <w:highlight w:val="none"/>
                <w:lang w:eastAsia="zh-CN"/>
              </w:rPr>
              <w:t>检测</w:t>
            </w:r>
            <w:r>
              <w:rPr>
                <w:rFonts w:hint="eastAsia" w:eastAsia="宋体"/>
                <w:highlight w:val="none"/>
              </w:rPr>
              <w:t>负责人</w:t>
            </w:r>
          </w:p>
        </w:tc>
        <w:tc>
          <w:tcPr>
            <w:tcW w:w="2953" w:type="dxa"/>
            <w:noWrap w:val="0"/>
            <w:vAlign w:val="center"/>
          </w:tcPr>
          <w:p w14:paraId="5A564DA7">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37742983">
            <w:pPr>
              <w:pStyle w:val="37"/>
              <w:spacing w:after="0" w:line="240" w:lineRule="auto"/>
              <w:ind w:left="0" w:leftChars="0" w:firstLine="0" w:firstLineChars="0"/>
              <w:jc w:val="center"/>
              <w:rPr>
                <w:rFonts w:ascii="Times New Roman" w:hAnsi="Times New Roman" w:eastAsia="宋体" w:cs="Calibri"/>
                <w:color w:val="000000"/>
                <w:kern w:val="2"/>
                <w:sz w:val="22"/>
                <w:szCs w:val="22"/>
                <w:highlight w:val="none"/>
                <w:lang w:val="en-US" w:eastAsia="zh-CN" w:bidi="ar-SA"/>
              </w:rPr>
            </w:pPr>
            <w:r>
              <w:rPr>
                <w:rFonts w:hint="eastAsia" w:eastAsia="宋体"/>
                <w:highlight w:val="none"/>
              </w:rPr>
              <w:t>1</w:t>
            </w:r>
          </w:p>
        </w:tc>
      </w:tr>
      <w:tr w14:paraId="30CB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5F4DFDDE">
            <w:pPr>
              <w:pStyle w:val="37"/>
              <w:spacing w:after="0" w:line="240" w:lineRule="auto"/>
              <w:ind w:left="0" w:leftChars="0" w:firstLine="0" w:firstLineChars="0"/>
              <w:jc w:val="center"/>
              <w:rPr>
                <w:rFonts w:hint="eastAsia" w:eastAsia="宋体"/>
                <w:highlight w:val="none"/>
              </w:rPr>
            </w:pPr>
            <w:r>
              <w:rPr>
                <w:rFonts w:hint="eastAsia" w:eastAsia="宋体"/>
                <w:highlight w:val="none"/>
              </w:rPr>
              <w:t>3</w:t>
            </w:r>
          </w:p>
        </w:tc>
        <w:tc>
          <w:tcPr>
            <w:tcW w:w="3548" w:type="dxa"/>
            <w:noWrap w:val="0"/>
            <w:vAlign w:val="center"/>
          </w:tcPr>
          <w:p w14:paraId="4ECF560B">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建筑节能检测</w:t>
            </w:r>
            <w:r>
              <w:rPr>
                <w:rFonts w:hint="eastAsia" w:eastAsia="宋体"/>
                <w:highlight w:val="none"/>
              </w:rPr>
              <w:t>负责人</w:t>
            </w:r>
          </w:p>
        </w:tc>
        <w:tc>
          <w:tcPr>
            <w:tcW w:w="2953" w:type="dxa"/>
            <w:noWrap w:val="0"/>
            <w:vAlign w:val="center"/>
          </w:tcPr>
          <w:p w14:paraId="25CB7ADA">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455EE65E">
            <w:pPr>
              <w:pStyle w:val="37"/>
              <w:spacing w:after="0" w:line="240" w:lineRule="auto"/>
              <w:ind w:left="0" w:leftChars="0" w:firstLine="0" w:firstLineChars="0"/>
              <w:jc w:val="center"/>
              <w:rPr>
                <w:rFonts w:ascii="Times New Roman" w:hAnsi="Times New Roman" w:eastAsia="宋体" w:cs="Calibri"/>
                <w:color w:val="000000"/>
                <w:kern w:val="2"/>
                <w:sz w:val="22"/>
                <w:szCs w:val="22"/>
                <w:highlight w:val="none"/>
                <w:lang w:val="en-US" w:eastAsia="zh-CN" w:bidi="ar-SA"/>
              </w:rPr>
            </w:pPr>
            <w:r>
              <w:rPr>
                <w:rFonts w:hint="eastAsia" w:eastAsia="宋体"/>
                <w:highlight w:val="none"/>
              </w:rPr>
              <w:t>1</w:t>
            </w:r>
          </w:p>
        </w:tc>
      </w:tr>
      <w:tr w14:paraId="2C49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4531986A">
            <w:pPr>
              <w:pStyle w:val="37"/>
              <w:spacing w:after="0" w:line="240" w:lineRule="auto"/>
              <w:ind w:left="0" w:leftChars="0" w:firstLine="0" w:firstLineChars="0"/>
              <w:jc w:val="center"/>
              <w:rPr>
                <w:rFonts w:hint="eastAsia" w:eastAsia="宋体"/>
                <w:highlight w:val="none"/>
              </w:rPr>
            </w:pPr>
            <w:r>
              <w:rPr>
                <w:rFonts w:hint="eastAsia" w:eastAsia="宋体"/>
                <w:highlight w:val="none"/>
              </w:rPr>
              <w:t>4</w:t>
            </w:r>
          </w:p>
        </w:tc>
        <w:tc>
          <w:tcPr>
            <w:tcW w:w="3548" w:type="dxa"/>
            <w:noWrap w:val="0"/>
            <w:vAlign w:val="center"/>
          </w:tcPr>
          <w:p w14:paraId="39302914">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道路检测</w:t>
            </w:r>
            <w:r>
              <w:rPr>
                <w:rFonts w:hint="eastAsia" w:eastAsia="宋体"/>
                <w:highlight w:val="none"/>
              </w:rPr>
              <w:t>负责人</w:t>
            </w:r>
          </w:p>
        </w:tc>
        <w:tc>
          <w:tcPr>
            <w:tcW w:w="2953" w:type="dxa"/>
            <w:noWrap w:val="0"/>
            <w:vAlign w:val="center"/>
          </w:tcPr>
          <w:p w14:paraId="439A1E7C">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2BD8D074">
            <w:pPr>
              <w:pStyle w:val="37"/>
              <w:spacing w:after="0" w:line="240" w:lineRule="auto"/>
              <w:ind w:left="0" w:leftChars="0" w:firstLine="0" w:firstLineChars="0"/>
              <w:jc w:val="center"/>
              <w:rPr>
                <w:rFonts w:ascii="Times New Roman" w:hAnsi="Times New Roman" w:eastAsia="宋体" w:cs="Calibri"/>
                <w:color w:val="000000"/>
                <w:kern w:val="2"/>
                <w:sz w:val="22"/>
                <w:szCs w:val="22"/>
                <w:highlight w:val="none"/>
                <w:lang w:val="en-US" w:eastAsia="zh-CN" w:bidi="ar-SA"/>
              </w:rPr>
            </w:pPr>
            <w:r>
              <w:rPr>
                <w:rFonts w:hint="eastAsia" w:eastAsia="宋体"/>
                <w:highlight w:val="none"/>
              </w:rPr>
              <w:t>1</w:t>
            </w:r>
          </w:p>
        </w:tc>
      </w:tr>
      <w:tr w14:paraId="5C30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46F7E322">
            <w:pPr>
              <w:pStyle w:val="37"/>
              <w:spacing w:after="0" w:line="240" w:lineRule="auto"/>
              <w:ind w:left="0" w:leftChars="0" w:firstLine="0" w:firstLineChars="0"/>
              <w:jc w:val="center"/>
              <w:rPr>
                <w:rFonts w:hint="eastAsia" w:eastAsia="宋体"/>
                <w:highlight w:val="none"/>
              </w:rPr>
            </w:pPr>
            <w:r>
              <w:rPr>
                <w:rFonts w:hint="eastAsia" w:eastAsia="宋体"/>
                <w:highlight w:val="none"/>
              </w:rPr>
              <w:t>5</w:t>
            </w:r>
          </w:p>
        </w:tc>
        <w:tc>
          <w:tcPr>
            <w:tcW w:w="3548" w:type="dxa"/>
            <w:noWrap w:val="0"/>
            <w:vAlign w:val="center"/>
          </w:tcPr>
          <w:p w14:paraId="52203A6A">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hint="eastAsia" w:eastAsia="宋体"/>
                <w:highlight w:val="none"/>
              </w:rPr>
              <w:t>实体检测负责人</w:t>
            </w:r>
          </w:p>
        </w:tc>
        <w:tc>
          <w:tcPr>
            <w:tcW w:w="2953" w:type="dxa"/>
            <w:noWrap w:val="0"/>
            <w:vAlign w:val="center"/>
          </w:tcPr>
          <w:p w14:paraId="3CF26030">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47637CD5">
            <w:pPr>
              <w:pStyle w:val="37"/>
              <w:spacing w:after="0" w:line="240" w:lineRule="auto"/>
              <w:ind w:left="0" w:leftChars="0" w:firstLine="0" w:firstLineChars="0"/>
              <w:jc w:val="center"/>
              <w:rPr>
                <w:rFonts w:ascii="Times New Roman" w:hAnsi="Times New Roman" w:eastAsia="宋体" w:cs="Calibri"/>
                <w:color w:val="000000"/>
                <w:kern w:val="2"/>
                <w:sz w:val="22"/>
                <w:szCs w:val="22"/>
                <w:highlight w:val="none"/>
                <w:lang w:val="en-US" w:eastAsia="zh-CN" w:bidi="ar-SA"/>
              </w:rPr>
            </w:pPr>
            <w:r>
              <w:rPr>
                <w:rFonts w:hint="eastAsia" w:eastAsia="宋体"/>
                <w:highlight w:val="none"/>
              </w:rPr>
              <w:t>1</w:t>
            </w:r>
          </w:p>
        </w:tc>
      </w:tr>
      <w:tr w14:paraId="4F28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1BAA2A06">
            <w:pPr>
              <w:pStyle w:val="37"/>
              <w:spacing w:after="0" w:line="240" w:lineRule="auto"/>
              <w:ind w:left="0" w:leftChars="0" w:firstLine="0" w:firstLineChars="0"/>
              <w:jc w:val="center"/>
              <w:rPr>
                <w:rFonts w:hint="eastAsia" w:eastAsia="宋体"/>
                <w:highlight w:val="none"/>
              </w:rPr>
            </w:pPr>
            <w:r>
              <w:rPr>
                <w:rFonts w:hint="eastAsia" w:eastAsia="宋体"/>
                <w:highlight w:val="none"/>
              </w:rPr>
              <w:t>6</w:t>
            </w:r>
          </w:p>
        </w:tc>
        <w:tc>
          <w:tcPr>
            <w:tcW w:w="3548" w:type="dxa"/>
            <w:noWrap w:val="0"/>
            <w:vAlign w:val="center"/>
          </w:tcPr>
          <w:p w14:paraId="14666E0D">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hint="eastAsia" w:eastAsia="宋体"/>
                <w:highlight w:val="none"/>
              </w:rPr>
              <w:t>原材料检测负责人</w:t>
            </w:r>
          </w:p>
        </w:tc>
        <w:tc>
          <w:tcPr>
            <w:tcW w:w="2953" w:type="dxa"/>
            <w:noWrap w:val="0"/>
            <w:vAlign w:val="center"/>
          </w:tcPr>
          <w:p w14:paraId="064DCAD0">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31F98931">
            <w:pPr>
              <w:pStyle w:val="37"/>
              <w:spacing w:after="0" w:line="240" w:lineRule="auto"/>
              <w:ind w:left="0" w:leftChars="0" w:firstLine="0" w:firstLineChars="0"/>
              <w:jc w:val="center"/>
              <w:rPr>
                <w:rFonts w:ascii="Times New Roman" w:hAnsi="Times New Roman" w:eastAsia="宋体" w:cs="Calibri"/>
                <w:color w:val="000000"/>
                <w:kern w:val="2"/>
                <w:sz w:val="22"/>
                <w:szCs w:val="22"/>
                <w:highlight w:val="none"/>
                <w:lang w:val="en-US" w:eastAsia="zh-CN" w:bidi="ar-SA"/>
              </w:rPr>
            </w:pPr>
            <w:r>
              <w:rPr>
                <w:rFonts w:hint="eastAsia" w:eastAsia="宋体"/>
                <w:highlight w:val="none"/>
              </w:rPr>
              <w:t>1</w:t>
            </w:r>
          </w:p>
        </w:tc>
      </w:tr>
      <w:tr w14:paraId="6D87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042AC5A0">
            <w:pPr>
              <w:pStyle w:val="37"/>
              <w:spacing w:after="0" w:line="240" w:lineRule="auto"/>
              <w:ind w:left="0" w:leftChars="0" w:firstLine="0" w:firstLineChars="0"/>
              <w:jc w:val="center"/>
              <w:rPr>
                <w:rFonts w:hint="eastAsia" w:eastAsia="宋体"/>
                <w:highlight w:val="none"/>
              </w:rPr>
            </w:pPr>
            <w:r>
              <w:rPr>
                <w:rFonts w:hint="eastAsia" w:eastAsia="宋体"/>
                <w:highlight w:val="none"/>
              </w:rPr>
              <w:t>7</w:t>
            </w:r>
          </w:p>
        </w:tc>
        <w:tc>
          <w:tcPr>
            <w:tcW w:w="3548" w:type="dxa"/>
            <w:noWrap w:val="0"/>
            <w:vAlign w:val="center"/>
          </w:tcPr>
          <w:p w14:paraId="07DFA229">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hint="eastAsia" w:eastAsia="宋体"/>
                <w:highlight w:val="none"/>
                <w:lang w:eastAsia="zh-CN"/>
              </w:rPr>
              <w:t>桥梁检测负责人</w:t>
            </w:r>
          </w:p>
        </w:tc>
        <w:tc>
          <w:tcPr>
            <w:tcW w:w="2953" w:type="dxa"/>
            <w:noWrap w:val="0"/>
            <w:vAlign w:val="center"/>
          </w:tcPr>
          <w:p w14:paraId="1BA8A7E0">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56332BE4">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hint="eastAsia" w:eastAsia="宋体"/>
                <w:highlight w:val="none"/>
                <w:lang w:val="en-US" w:eastAsia="zh-CN"/>
              </w:rPr>
              <w:t>1</w:t>
            </w:r>
          </w:p>
        </w:tc>
      </w:tr>
      <w:tr w14:paraId="4BC3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52D4DEA0">
            <w:pPr>
              <w:pStyle w:val="37"/>
              <w:spacing w:after="0" w:line="240" w:lineRule="auto"/>
              <w:ind w:left="0" w:leftChars="0" w:firstLine="0" w:firstLineChars="0"/>
              <w:jc w:val="center"/>
              <w:rPr>
                <w:rFonts w:hint="eastAsia" w:eastAsia="宋体"/>
                <w:highlight w:val="none"/>
              </w:rPr>
            </w:pPr>
            <w:r>
              <w:rPr>
                <w:rFonts w:hint="eastAsia" w:eastAsia="宋体"/>
                <w:highlight w:val="none"/>
              </w:rPr>
              <w:t>8</w:t>
            </w:r>
          </w:p>
        </w:tc>
        <w:tc>
          <w:tcPr>
            <w:tcW w:w="3548" w:type="dxa"/>
            <w:noWrap w:val="0"/>
            <w:vAlign w:val="center"/>
          </w:tcPr>
          <w:p w14:paraId="0D84FF12">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hint="eastAsia" w:eastAsia="宋体"/>
                <w:highlight w:val="none"/>
                <w:lang w:eastAsia="zh-CN"/>
              </w:rPr>
              <w:t>绿化检测负责人</w:t>
            </w:r>
          </w:p>
        </w:tc>
        <w:tc>
          <w:tcPr>
            <w:tcW w:w="2953" w:type="dxa"/>
            <w:noWrap w:val="0"/>
            <w:vAlign w:val="center"/>
          </w:tcPr>
          <w:p w14:paraId="0E09F575">
            <w:pPr>
              <w:pStyle w:val="37"/>
              <w:spacing w:after="0" w:line="240" w:lineRule="auto"/>
              <w:ind w:left="0" w:leftChars="0" w:firstLine="0" w:firstLineChars="0"/>
              <w:jc w:val="center"/>
              <w:rPr>
                <w:rFonts w:hint="eastAsia" w:ascii="Times New Roman" w:hAnsi="Times New Roman" w:eastAsia="宋体" w:cs="Calibri"/>
                <w:color w:val="000000"/>
                <w:kern w:val="2"/>
                <w:sz w:val="22"/>
                <w:szCs w:val="22"/>
                <w:highlight w:val="none"/>
                <w:lang w:val="en-US" w:eastAsia="zh-CN" w:bidi="ar-SA"/>
              </w:rPr>
            </w:pPr>
            <w:r>
              <w:rPr>
                <w:rFonts w:eastAsia="宋体"/>
                <w:highlight w:val="none"/>
              </w:rPr>
              <w:t>工程师</w:t>
            </w:r>
            <w:r>
              <w:rPr>
                <w:rFonts w:hint="eastAsia" w:eastAsia="宋体"/>
                <w:highlight w:val="none"/>
              </w:rPr>
              <w:t>或以上</w:t>
            </w:r>
          </w:p>
        </w:tc>
        <w:tc>
          <w:tcPr>
            <w:tcW w:w="1224" w:type="dxa"/>
            <w:noWrap w:val="0"/>
            <w:vAlign w:val="center"/>
          </w:tcPr>
          <w:p w14:paraId="33693622">
            <w:pPr>
              <w:pStyle w:val="37"/>
              <w:spacing w:after="0" w:line="240" w:lineRule="auto"/>
              <w:ind w:left="0" w:leftChars="0" w:firstLine="0" w:firstLineChars="0"/>
              <w:jc w:val="center"/>
              <w:rPr>
                <w:rFonts w:hint="default" w:ascii="Times New Roman" w:hAnsi="Times New Roman" w:eastAsia="宋体" w:cs="Calibri"/>
                <w:color w:val="000000"/>
                <w:kern w:val="2"/>
                <w:sz w:val="22"/>
                <w:szCs w:val="22"/>
                <w:highlight w:val="none"/>
                <w:lang w:val="en-US" w:eastAsia="zh-CN" w:bidi="ar-SA"/>
              </w:rPr>
            </w:pPr>
            <w:r>
              <w:rPr>
                <w:rFonts w:hint="eastAsia" w:eastAsia="宋体"/>
                <w:highlight w:val="none"/>
                <w:lang w:val="en-US" w:eastAsia="zh-CN"/>
              </w:rPr>
              <w:t>1</w:t>
            </w:r>
          </w:p>
        </w:tc>
      </w:tr>
      <w:tr w14:paraId="6CD5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647ED6BC">
            <w:pPr>
              <w:pStyle w:val="37"/>
              <w:spacing w:after="0" w:line="240" w:lineRule="auto"/>
              <w:ind w:left="0" w:leftChars="0" w:firstLine="0" w:firstLineChars="0"/>
              <w:jc w:val="center"/>
              <w:rPr>
                <w:rFonts w:hint="eastAsia" w:eastAsia="宋体"/>
                <w:highlight w:val="none"/>
                <w:lang w:val="en-US" w:eastAsia="zh-CN"/>
              </w:rPr>
            </w:pPr>
            <w:r>
              <w:rPr>
                <w:rFonts w:hint="eastAsia" w:eastAsia="宋体"/>
                <w:highlight w:val="none"/>
                <w:lang w:val="en-US" w:eastAsia="zh-CN"/>
              </w:rPr>
              <w:t>9</w:t>
            </w:r>
          </w:p>
        </w:tc>
        <w:tc>
          <w:tcPr>
            <w:tcW w:w="3548" w:type="dxa"/>
            <w:noWrap w:val="0"/>
            <w:vAlign w:val="center"/>
          </w:tcPr>
          <w:p w14:paraId="3A039441">
            <w:pPr>
              <w:pStyle w:val="37"/>
              <w:spacing w:after="0" w:line="240" w:lineRule="auto"/>
              <w:ind w:left="0" w:leftChars="0" w:firstLine="0" w:firstLineChars="0"/>
              <w:jc w:val="center"/>
              <w:rPr>
                <w:rFonts w:hint="eastAsia" w:eastAsia="宋体"/>
                <w:highlight w:val="none"/>
                <w:lang w:eastAsia="zh-CN"/>
              </w:rPr>
            </w:pPr>
            <w:r>
              <w:rPr>
                <w:rFonts w:hint="eastAsia" w:eastAsia="宋体"/>
                <w:highlight w:val="none"/>
                <w:lang w:eastAsia="zh-CN"/>
              </w:rPr>
              <w:t>质量安全负责人</w:t>
            </w:r>
          </w:p>
        </w:tc>
        <w:tc>
          <w:tcPr>
            <w:tcW w:w="2953" w:type="dxa"/>
            <w:noWrap w:val="0"/>
            <w:vAlign w:val="center"/>
          </w:tcPr>
          <w:p w14:paraId="2A643BF1">
            <w:pPr>
              <w:pStyle w:val="37"/>
              <w:spacing w:after="0" w:line="240" w:lineRule="auto"/>
              <w:ind w:left="0" w:leftChars="0" w:firstLine="0" w:firstLineChars="0"/>
              <w:jc w:val="center"/>
              <w:rPr>
                <w:rFonts w:hint="eastAsia" w:eastAsia="宋体"/>
                <w:highlight w:val="none"/>
                <w:lang w:eastAsia="zh-CN"/>
              </w:rPr>
            </w:pPr>
            <w:r>
              <w:rPr>
                <w:rFonts w:eastAsia="宋体"/>
                <w:highlight w:val="none"/>
              </w:rPr>
              <w:t>工程师</w:t>
            </w:r>
            <w:r>
              <w:rPr>
                <w:rFonts w:hint="eastAsia" w:eastAsia="宋体"/>
                <w:highlight w:val="none"/>
              </w:rPr>
              <w:t>或以上</w:t>
            </w:r>
          </w:p>
        </w:tc>
        <w:tc>
          <w:tcPr>
            <w:tcW w:w="1224" w:type="dxa"/>
            <w:noWrap w:val="0"/>
            <w:vAlign w:val="center"/>
          </w:tcPr>
          <w:p w14:paraId="5B172F1C">
            <w:pPr>
              <w:pStyle w:val="37"/>
              <w:spacing w:after="0" w:line="240" w:lineRule="auto"/>
              <w:ind w:left="0" w:leftChars="0" w:firstLine="0" w:firstLineChars="0"/>
              <w:jc w:val="center"/>
              <w:rPr>
                <w:rFonts w:hint="default" w:eastAsia="宋体"/>
                <w:highlight w:val="none"/>
                <w:lang w:val="en-US" w:eastAsia="zh-CN"/>
              </w:rPr>
            </w:pPr>
            <w:r>
              <w:rPr>
                <w:rFonts w:hint="eastAsia" w:eastAsia="宋体"/>
                <w:highlight w:val="none"/>
                <w:lang w:val="en-US" w:eastAsia="zh-CN"/>
              </w:rPr>
              <w:t>1</w:t>
            </w:r>
          </w:p>
        </w:tc>
      </w:tr>
      <w:tr w14:paraId="2AFF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noWrap w:val="0"/>
            <w:vAlign w:val="center"/>
          </w:tcPr>
          <w:p w14:paraId="75F1D5C6">
            <w:pPr>
              <w:pStyle w:val="37"/>
              <w:spacing w:after="0" w:line="240" w:lineRule="auto"/>
              <w:ind w:left="0" w:leftChars="0" w:firstLine="0" w:firstLineChars="0"/>
              <w:jc w:val="center"/>
              <w:rPr>
                <w:rFonts w:hint="default" w:eastAsia="宋体"/>
                <w:highlight w:val="none"/>
                <w:lang w:val="en-US" w:eastAsia="zh-CN"/>
              </w:rPr>
            </w:pPr>
            <w:r>
              <w:rPr>
                <w:rFonts w:hint="eastAsia" w:eastAsia="宋体"/>
                <w:highlight w:val="none"/>
                <w:lang w:val="en-US" w:eastAsia="zh-CN"/>
              </w:rPr>
              <w:t>10</w:t>
            </w:r>
          </w:p>
        </w:tc>
        <w:tc>
          <w:tcPr>
            <w:tcW w:w="3548" w:type="dxa"/>
            <w:noWrap w:val="0"/>
            <w:vAlign w:val="center"/>
          </w:tcPr>
          <w:p w14:paraId="24316574">
            <w:pPr>
              <w:pStyle w:val="37"/>
              <w:spacing w:after="0" w:line="240" w:lineRule="auto"/>
              <w:ind w:left="0" w:leftChars="0" w:firstLine="0" w:firstLineChars="0"/>
              <w:jc w:val="center"/>
              <w:rPr>
                <w:rFonts w:hint="eastAsia" w:eastAsia="宋体"/>
                <w:highlight w:val="none"/>
                <w:lang w:eastAsia="zh-CN"/>
              </w:rPr>
            </w:pPr>
            <w:r>
              <w:rPr>
                <w:rFonts w:hint="eastAsia" w:eastAsia="宋体"/>
                <w:highlight w:val="none"/>
                <w:lang w:eastAsia="zh-CN"/>
              </w:rPr>
              <w:t>资料归档负责人</w:t>
            </w:r>
          </w:p>
        </w:tc>
        <w:tc>
          <w:tcPr>
            <w:tcW w:w="2953" w:type="dxa"/>
            <w:noWrap w:val="0"/>
            <w:vAlign w:val="center"/>
          </w:tcPr>
          <w:p w14:paraId="058427CA">
            <w:pPr>
              <w:pStyle w:val="37"/>
              <w:spacing w:after="0" w:line="240" w:lineRule="auto"/>
              <w:ind w:left="0" w:leftChars="0" w:firstLine="0" w:firstLineChars="0"/>
              <w:jc w:val="center"/>
              <w:rPr>
                <w:rFonts w:hint="eastAsia" w:eastAsia="宋体"/>
                <w:highlight w:val="none"/>
                <w:lang w:eastAsia="zh-CN"/>
              </w:rPr>
            </w:pPr>
            <w:r>
              <w:rPr>
                <w:rFonts w:eastAsia="宋体"/>
                <w:highlight w:val="none"/>
              </w:rPr>
              <w:t>工程师</w:t>
            </w:r>
            <w:r>
              <w:rPr>
                <w:rFonts w:hint="eastAsia" w:eastAsia="宋体"/>
                <w:highlight w:val="none"/>
              </w:rPr>
              <w:t>或以上</w:t>
            </w:r>
          </w:p>
        </w:tc>
        <w:tc>
          <w:tcPr>
            <w:tcW w:w="1224" w:type="dxa"/>
            <w:noWrap w:val="0"/>
            <w:vAlign w:val="center"/>
          </w:tcPr>
          <w:p w14:paraId="1E1155BB">
            <w:pPr>
              <w:pStyle w:val="37"/>
              <w:spacing w:after="0" w:line="240" w:lineRule="auto"/>
              <w:ind w:left="0" w:leftChars="0" w:firstLine="0" w:firstLineChars="0"/>
              <w:jc w:val="center"/>
              <w:rPr>
                <w:rFonts w:hint="default" w:eastAsia="宋体"/>
                <w:highlight w:val="none"/>
                <w:lang w:val="en-US" w:eastAsia="zh-CN"/>
              </w:rPr>
            </w:pPr>
            <w:r>
              <w:rPr>
                <w:rFonts w:hint="eastAsia" w:eastAsia="宋体"/>
                <w:highlight w:val="none"/>
                <w:lang w:val="en-US" w:eastAsia="zh-CN"/>
              </w:rPr>
              <w:t>1</w:t>
            </w:r>
          </w:p>
        </w:tc>
      </w:tr>
    </w:tbl>
    <w:p w14:paraId="09ED65E5">
      <w:pPr>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br w:type="page"/>
      </w:r>
      <w:bookmarkStart w:id="129" w:name="_Toc18989"/>
      <w:r>
        <w:rPr>
          <w:rFonts w:hint="eastAsia" w:ascii="宋体" w:hAnsi="宋体" w:eastAsia="宋体" w:cs="宋体"/>
          <w:b/>
          <w:color w:val="auto"/>
          <w:sz w:val="28"/>
          <w:szCs w:val="28"/>
          <w:highlight w:val="none"/>
          <w:lang w:val="en-US" w:eastAsia="zh-CN"/>
        </w:rPr>
        <w:t xml:space="preserve">                          </w:t>
      </w:r>
    </w:p>
    <w:p w14:paraId="51ABA713">
      <w:pPr>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报价得分计算表</w:t>
      </w:r>
      <w:bookmarkEnd w:id="129"/>
    </w:p>
    <w:p w14:paraId="01AA24CB">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65"/>
        <w:gridCol w:w="664"/>
        <w:gridCol w:w="664"/>
        <w:gridCol w:w="664"/>
        <w:gridCol w:w="664"/>
        <w:gridCol w:w="664"/>
        <w:gridCol w:w="664"/>
        <w:gridCol w:w="664"/>
        <w:gridCol w:w="664"/>
        <w:gridCol w:w="664"/>
        <w:gridCol w:w="664"/>
        <w:gridCol w:w="665"/>
      </w:tblGrid>
      <w:tr w14:paraId="49CE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57" w:type="dxa"/>
            <w:noWrap w:val="0"/>
            <w:vAlign w:val="center"/>
          </w:tcPr>
          <w:p w14:paraId="7C9DE88B">
            <w:pPr>
              <w:adjustRightInd w:val="0"/>
              <w:snapToGrid w:val="0"/>
              <w:spacing w:before="240" w:beforeLines="10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65" w:type="dxa"/>
            <w:noWrap w:val="0"/>
            <w:vAlign w:val="center"/>
          </w:tcPr>
          <w:p w14:paraId="7AA1F633">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E5A2863">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59735939">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2E9D29F1">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1F49BA05">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F40A7FA">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FF067B7">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1E615006">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53DC2FB7">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0576B31F">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6A4900A7">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5" w:type="dxa"/>
            <w:noWrap w:val="0"/>
            <w:vAlign w:val="center"/>
          </w:tcPr>
          <w:p w14:paraId="5787A11D">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r>
      <w:tr w14:paraId="2EEF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7" w:type="dxa"/>
            <w:noWrap w:val="0"/>
            <w:vAlign w:val="center"/>
          </w:tcPr>
          <w:p w14:paraId="524FA750">
            <w:pPr>
              <w:adjustRightInd w:val="0"/>
              <w:snapToGrid w:val="0"/>
              <w:spacing w:before="240" w:beforeLines="10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投标报价PT（元）</w:t>
            </w:r>
          </w:p>
        </w:tc>
        <w:tc>
          <w:tcPr>
            <w:tcW w:w="665" w:type="dxa"/>
            <w:noWrap w:val="0"/>
            <w:vAlign w:val="center"/>
          </w:tcPr>
          <w:p w14:paraId="31675D3B">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2DF8C4A">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58E2052">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201E2129">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2FF1713F">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0DF130AF">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1093DFBD">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77A49AE2">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420EB5A">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48F9616">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E413D51">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5" w:type="dxa"/>
            <w:noWrap w:val="0"/>
            <w:vAlign w:val="center"/>
          </w:tcPr>
          <w:p w14:paraId="4D9285C9">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r>
      <w:tr w14:paraId="4589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noWrap w:val="0"/>
            <w:vAlign w:val="center"/>
          </w:tcPr>
          <w:p w14:paraId="70AC9518">
            <w:pPr>
              <w:adjustRightInd w:val="0"/>
              <w:snapToGrid w:val="0"/>
              <w:spacing w:before="240" w:beforeLines="10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评标参考价（PC）</w:t>
            </w:r>
          </w:p>
        </w:tc>
        <w:tc>
          <w:tcPr>
            <w:tcW w:w="7970" w:type="dxa"/>
            <w:gridSpan w:val="12"/>
            <w:noWrap w:val="0"/>
            <w:vAlign w:val="center"/>
          </w:tcPr>
          <w:p w14:paraId="3C429C3F">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r>
      <w:tr w14:paraId="5912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noWrap w:val="0"/>
            <w:vAlign w:val="center"/>
          </w:tcPr>
          <w:p w14:paraId="4E5DDE63">
            <w:pPr>
              <w:adjustRightInd w:val="0"/>
              <w:snapToGrid w:val="0"/>
              <w:spacing w:before="240" w:beforeLines="100" w:after="0" w:line="360" w:lineRule="auto"/>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偏差（（PT-PC）/PC）（%）</w:t>
            </w:r>
          </w:p>
        </w:tc>
        <w:tc>
          <w:tcPr>
            <w:tcW w:w="665" w:type="dxa"/>
            <w:noWrap w:val="0"/>
            <w:vAlign w:val="center"/>
          </w:tcPr>
          <w:p w14:paraId="33ACB1FB">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18ED2851">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18509805">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63588A72">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978C6DE">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031B5A97">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0218F650">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1F0261DE">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2666A969">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81852C3">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81FE701">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5" w:type="dxa"/>
            <w:noWrap w:val="0"/>
            <w:vAlign w:val="center"/>
          </w:tcPr>
          <w:p w14:paraId="508407EC">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r>
      <w:tr w14:paraId="1653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57" w:type="dxa"/>
            <w:noWrap w:val="0"/>
            <w:vAlign w:val="center"/>
          </w:tcPr>
          <w:p w14:paraId="7B8AE8B2">
            <w:pPr>
              <w:adjustRightInd w:val="0"/>
              <w:snapToGrid w:val="0"/>
              <w:spacing w:before="240" w:beforeLines="10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扣分（A）</w:t>
            </w:r>
          </w:p>
        </w:tc>
        <w:tc>
          <w:tcPr>
            <w:tcW w:w="665" w:type="dxa"/>
            <w:noWrap w:val="0"/>
            <w:vAlign w:val="center"/>
          </w:tcPr>
          <w:p w14:paraId="0A27FC8D">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11D1B3D">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0A3B116">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0B83BC64">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76FA8C94">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BA94198">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0DAE146D">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4E3D8804">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2D27A94D">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71BEA24">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4" w:type="dxa"/>
            <w:noWrap w:val="0"/>
            <w:vAlign w:val="center"/>
          </w:tcPr>
          <w:p w14:paraId="31285CEA">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c>
          <w:tcPr>
            <w:tcW w:w="665" w:type="dxa"/>
            <w:noWrap w:val="0"/>
            <w:vAlign w:val="center"/>
          </w:tcPr>
          <w:p w14:paraId="6F599D81">
            <w:pPr>
              <w:adjustRightInd w:val="0"/>
              <w:snapToGrid w:val="0"/>
              <w:spacing w:before="240" w:beforeLines="100" w:after="0" w:line="360" w:lineRule="auto"/>
              <w:jc w:val="center"/>
              <w:rPr>
                <w:rFonts w:hint="eastAsia" w:ascii="宋体" w:hAnsi="宋体" w:eastAsia="宋体" w:cs="宋体"/>
                <w:color w:val="auto"/>
                <w:sz w:val="21"/>
                <w:szCs w:val="21"/>
                <w:highlight w:val="none"/>
              </w:rPr>
            </w:pPr>
          </w:p>
        </w:tc>
      </w:tr>
      <w:tr w14:paraId="41D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noWrap w:val="0"/>
            <w:vAlign w:val="center"/>
          </w:tcPr>
          <w:p w14:paraId="136AB965">
            <w:pPr>
              <w:adjustRightInd w:val="0"/>
              <w:snapToGrid w:val="0"/>
              <w:spacing w:before="240" w:beforeLines="10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得分(I=10-A)</w:t>
            </w:r>
          </w:p>
        </w:tc>
        <w:tc>
          <w:tcPr>
            <w:tcW w:w="665" w:type="dxa"/>
            <w:noWrap w:val="0"/>
            <w:vAlign w:val="center"/>
          </w:tcPr>
          <w:p w14:paraId="1C36D0EF">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4EA5D7D4">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7F3D61D8">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31189183">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1963FF6F">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4A08FF5F">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4FE3FAFA">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0273B08A">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1E52FFE5">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6AF07B6D">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4" w:type="dxa"/>
            <w:noWrap w:val="0"/>
            <w:vAlign w:val="center"/>
          </w:tcPr>
          <w:p w14:paraId="6EA46931">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c>
          <w:tcPr>
            <w:tcW w:w="665" w:type="dxa"/>
            <w:noWrap w:val="0"/>
            <w:vAlign w:val="center"/>
          </w:tcPr>
          <w:p w14:paraId="1999BD7C">
            <w:pPr>
              <w:adjustRightInd w:val="0"/>
              <w:snapToGrid w:val="0"/>
              <w:spacing w:before="240" w:beforeLines="100" w:after="0" w:line="360" w:lineRule="auto"/>
              <w:jc w:val="center"/>
              <w:rPr>
                <w:rFonts w:hint="eastAsia" w:ascii="宋体" w:hAnsi="宋体" w:eastAsia="宋体" w:cs="宋体"/>
                <w:color w:val="auto"/>
                <w:sz w:val="21"/>
                <w:szCs w:val="21"/>
                <w:highlight w:val="none"/>
                <w:u w:val="single"/>
              </w:rPr>
            </w:pPr>
          </w:p>
        </w:tc>
      </w:tr>
    </w:tbl>
    <w:p w14:paraId="1AABE1C9">
      <w:pPr>
        <w:pStyle w:val="12"/>
        <w:adjustRightInd w:val="0"/>
        <w:snapToGrid w:val="0"/>
        <w:spacing w:line="360" w:lineRule="auto"/>
        <w:ind w:firstLine="0"/>
        <w:rPr>
          <w:rFonts w:hint="eastAsia" w:hAnsi="宋体" w:cs="宋体"/>
          <w:color w:val="auto"/>
          <w:sz w:val="21"/>
          <w:szCs w:val="21"/>
          <w:highlight w:val="none"/>
          <w:u w:val="single"/>
        </w:rPr>
      </w:pPr>
    </w:p>
    <w:p w14:paraId="36869567">
      <w:pPr>
        <w:pStyle w:val="12"/>
        <w:adjustRightInd w:val="0"/>
        <w:snapToGrid w:val="0"/>
        <w:spacing w:line="360" w:lineRule="auto"/>
        <w:ind w:firstLine="0"/>
        <w:rPr>
          <w:rFonts w:hint="eastAsia" w:hAnsi="宋体" w:cs="宋体"/>
          <w:color w:val="auto"/>
          <w:sz w:val="21"/>
          <w:szCs w:val="21"/>
          <w:highlight w:val="none"/>
          <w:u w:val="single"/>
        </w:rPr>
      </w:pPr>
    </w:p>
    <w:p w14:paraId="333C10B7">
      <w:pPr>
        <w:pStyle w:val="12"/>
        <w:adjustRightInd w:val="0"/>
        <w:snapToGrid w:val="0"/>
        <w:spacing w:line="360" w:lineRule="auto"/>
        <w:ind w:firstLine="0"/>
        <w:rPr>
          <w:rFonts w:hint="eastAsia" w:hAnsi="宋体" w:cs="宋体"/>
          <w:color w:val="auto"/>
          <w:sz w:val="21"/>
          <w:szCs w:val="21"/>
          <w:highlight w:val="none"/>
        </w:rPr>
      </w:pPr>
      <w:r>
        <w:rPr>
          <w:rFonts w:hint="eastAsia" w:hAnsi="宋体" w:cs="宋体"/>
          <w:color w:val="auto"/>
          <w:sz w:val="21"/>
          <w:szCs w:val="21"/>
          <w:highlight w:val="none"/>
        </w:rPr>
        <w:t xml:space="preserve"> 评委签名：                                                          日期：</w:t>
      </w:r>
    </w:p>
    <w:p w14:paraId="0221D080">
      <w:pPr>
        <w:adjustRightInd w:val="0"/>
        <w:snapToGrid w:val="0"/>
        <w:spacing w:after="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rPr>
        <w:t>算术复核表</w:t>
      </w:r>
    </w:p>
    <w:p w14:paraId="16314161">
      <w:pPr>
        <w:adjustRightInd w:val="0"/>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项目名称：</w:t>
      </w:r>
    </w:p>
    <w:tbl>
      <w:tblPr>
        <w:tblStyle w:val="38"/>
        <w:tblW w:w="0" w:type="auto"/>
        <w:tblInd w:w="103" w:type="dxa"/>
        <w:tblLayout w:type="fixed"/>
        <w:tblCellMar>
          <w:top w:w="0" w:type="dxa"/>
          <w:left w:w="108" w:type="dxa"/>
          <w:bottom w:w="0" w:type="dxa"/>
          <w:right w:w="108" w:type="dxa"/>
        </w:tblCellMar>
      </w:tblPr>
      <w:tblGrid>
        <w:gridCol w:w="727"/>
        <w:gridCol w:w="3531"/>
        <w:gridCol w:w="1701"/>
        <w:gridCol w:w="1843"/>
        <w:gridCol w:w="1959"/>
      </w:tblGrid>
      <w:tr w14:paraId="2C3DF5A7">
        <w:tblPrEx>
          <w:tblCellMar>
            <w:top w:w="0" w:type="dxa"/>
            <w:left w:w="108" w:type="dxa"/>
            <w:bottom w:w="0" w:type="dxa"/>
            <w:right w:w="108" w:type="dxa"/>
          </w:tblCellMar>
        </w:tblPrEx>
        <w:trPr>
          <w:trHeight w:val="381"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36330BF1">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3531" w:type="dxa"/>
            <w:tcBorders>
              <w:top w:val="single" w:color="auto" w:sz="4" w:space="0"/>
              <w:left w:val="nil"/>
              <w:bottom w:val="single" w:color="auto" w:sz="4" w:space="0"/>
              <w:right w:val="single" w:color="auto" w:sz="4" w:space="0"/>
            </w:tcBorders>
            <w:noWrap w:val="0"/>
            <w:vAlign w:val="center"/>
          </w:tcPr>
          <w:p w14:paraId="18647956">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投标人名称</w:t>
            </w:r>
          </w:p>
        </w:tc>
        <w:tc>
          <w:tcPr>
            <w:tcW w:w="1701" w:type="dxa"/>
            <w:tcBorders>
              <w:top w:val="single" w:color="auto" w:sz="4" w:space="0"/>
              <w:left w:val="nil"/>
              <w:bottom w:val="single" w:color="auto" w:sz="4" w:space="0"/>
              <w:right w:val="single" w:color="auto" w:sz="4" w:space="0"/>
            </w:tcBorders>
            <w:noWrap w:val="0"/>
            <w:vAlign w:val="center"/>
          </w:tcPr>
          <w:p w14:paraId="496838ED">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原投标报价A</w:t>
            </w:r>
          </w:p>
        </w:tc>
        <w:tc>
          <w:tcPr>
            <w:tcW w:w="1843" w:type="dxa"/>
            <w:tcBorders>
              <w:top w:val="single" w:color="auto" w:sz="4" w:space="0"/>
              <w:left w:val="nil"/>
              <w:bottom w:val="single" w:color="auto" w:sz="4" w:space="0"/>
              <w:right w:val="single" w:color="auto" w:sz="4" w:space="0"/>
            </w:tcBorders>
            <w:noWrap w:val="0"/>
            <w:vAlign w:val="center"/>
          </w:tcPr>
          <w:p w14:paraId="6BE5A7CE">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算术复核后投标报价B</w:t>
            </w:r>
          </w:p>
        </w:tc>
        <w:tc>
          <w:tcPr>
            <w:tcW w:w="1959" w:type="dxa"/>
            <w:tcBorders>
              <w:top w:val="single" w:color="auto" w:sz="4" w:space="0"/>
              <w:left w:val="nil"/>
              <w:bottom w:val="single" w:color="auto" w:sz="4" w:space="0"/>
              <w:right w:val="single" w:color="auto" w:sz="4" w:space="0"/>
            </w:tcBorders>
            <w:noWrap w:val="0"/>
            <w:vAlign w:val="center"/>
          </w:tcPr>
          <w:p w14:paraId="639D34A4">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误差率r=︱A-B ︳/ A *100%</w:t>
            </w:r>
          </w:p>
        </w:tc>
      </w:tr>
      <w:tr w14:paraId="6DAEBF42">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5460E805">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531" w:type="dxa"/>
            <w:tcBorders>
              <w:top w:val="nil"/>
              <w:left w:val="nil"/>
              <w:bottom w:val="single" w:color="auto" w:sz="4" w:space="0"/>
              <w:right w:val="single" w:color="auto" w:sz="4" w:space="0"/>
            </w:tcBorders>
            <w:noWrap w:val="0"/>
            <w:vAlign w:val="bottom"/>
          </w:tcPr>
          <w:p w14:paraId="1524548D">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76B26ABD">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19EDFFCB">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33DA60DF">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ADEAFE9">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785EF973">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531" w:type="dxa"/>
            <w:tcBorders>
              <w:top w:val="nil"/>
              <w:left w:val="nil"/>
              <w:bottom w:val="single" w:color="auto" w:sz="4" w:space="0"/>
              <w:right w:val="single" w:color="auto" w:sz="4" w:space="0"/>
            </w:tcBorders>
            <w:noWrap w:val="0"/>
            <w:vAlign w:val="bottom"/>
          </w:tcPr>
          <w:p w14:paraId="6A7015BE">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3711F4B0">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6C1D271A">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205153D6">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9D9DBA9">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5BDA7731">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531" w:type="dxa"/>
            <w:tcBorders>
              <w:top w:val="nil"/>
              <w:left w:val="nil"/>
              <w:bottom w:val="single" w:color="auto" w:sz="4" w:space="0"/>
              <w:right w:val="single" w:color="auto" w:sz="4" w:space="0"/>
            </w:tcBorders>
            <w:noWrap w:val="0"/>
            <w:vAlign w:val="bottom"/>
          </w:tcPr>
          <w:p w14:paraId="7AF09AA3">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47563FFD">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5311FE1F">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52422DA5">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C2FDA50">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51B39527">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531" w:type="dxa"/>
            <w:tcBorders>
              <w:top w:val="nil"/>
              <w:left w:val="nil"/>
              <w:bottom w:val="single" w:color="auto" w:sz="4" w:space="0"/>
              <w:right w:val="single" w:color="auto" w:sz="4" w:space="0"/>
            </w:tcBorders>
            <w:noWrap w:val="0"/>
            <w:vAlign w:val="bottom"/>
          </w:tcPr>
          <w:p w14:paraId="46B77CF2">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24C17339">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1E67A604">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3D35310B">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02B0A13">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7EB2EE34">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3531" w:type="dxa"/>
            <w:tcBorders>
              <w:top w:val="nil"/>
              <w:left w:val="nil"/>
              <w:bottom w:val="single" w:color="auto" w:sz="4" w:space="0"/>
              <w:right w:val="single" w:color="auto" w:sz="4" w:space="0"/>
            </w:tcBorders>
            <w:noWrap w:val="0"/>
            <w:vAlign w:val="bottom"/>
          </w:tcPr>
          <w:p w14:paraId="0B6DF7C0">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703BA5F2">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656CFD2F">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6211B536">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E0A00B9">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71B6C506">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531" w:type="dxa"/>
            <w:tcBorders>
              <w:top w:val="nil"/>
              <w:left w:val="nil"/>
              <w:bottom w:val="single" w:color="auto" w:sz="4" w:space="0"/>
              <w:right w:val="single" w:color="auto" w:sz="4" w:space="0"/>
            </w:tcBorders>
            <w:noWrap w:val="0"/>
            <w:vAlign w:val="bottom"/>
          </w:tcPr>
          <w:p w14:paraId="7D10AD70">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1C233BC1">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40734C75">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4CEDFF06">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F278ABF">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424BC31D">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3531" w:type="dxa"/>
            <w:tcBorders>
              <w:top w:val="nil"/>
              <w:left w:val="nil"/>
              <w:bottom w:val="single" w:color="auto" w:sz="4" w:space="0"/>
              <w:right w:val="single" w:color="auto" w:sz="4" w:space="0"/>
            </w:tcBorders>
            <w:noWrap w:val="0"/>
            <w:vAlign w:val="bottom"/>
          </w:tcPr>
          <w:p w14:paraId="7A81C2C8">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64278A1F">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08161E7E">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52C6754C">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8317275">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503039D1">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3531" w:type="dxa"/>
            <w:tcBorders>
              <w:top w:val="nil"/>
              <w:left w:val="nil"/>
              <w:bottom w:val="single" w:color="auto" w:sz="4" w:space="0"/>
              <w:right w:val="single" w:color="auto" w:sz="4" w:space="0"/>
            </w:tcBorders>
            <w:noWrap w:val="0"/>
            <w:vAlign w:val="bottom"/>
          </w:tcPr>
          <w:p w14:paraId="36379698">
            <w:pPr>
              <w:adjustRightInd w:val="0"/>
              <w:snapToGrid w:val="0"/>
              <w:spacing w:line="360" w:lineRule="auto"/>
              <w:rPr>
                <w:rFonts w:hint="eastAsia" w:ascii="宋体" w:hAnsi="宋体" w:eastAsia="宋体" w:cs="宋体"/>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bottom"/>
          </w:tcPr>
          <w:p w14:paraId="4D59E481">
            <w:pPr>
              <w:adjustRightInd w:val="0"/>
              <w:snapToGrid w:val="0"/>
              <w:spacing w:line="360" w:lineRule="auto"/>
              <w:rPr>
                <w:rFonts w:hint="eastAsia" w:ascii="宋体" w:hAnsi="宋体" w:eastAsia="宋体" w:cs="宋体"/>
                <w:color w:val="auto"/>
                <w:kern w:val="0"/>
                <w:sz w:val="21"/>
                <w:szCs w:val="21"/>
                <w:highlight w:val="none"/>
              </w:rPr>
            </w:pPr>
          </w:p>
        </w:tc>
        <w:tc>
          <w:tcPr>
            <w:tcW w:w="1843" w:type="dxa"/>
            <w:tcBorders>
              <w:top w:val="nil"/>
              <w:left w:val="nil"/>
              <w:bottom w:val="single" w:color="auto" w:sz="4" w:space="0"/>
              <w:right w:val="single" w:color="auto" w:sz="4" w:space="0"/>
            </w:tcBorders>
            <w:noWrap w:val="0"/>
            <w:vAlign w:val="bottom"/>
          </w:tcPr>
          <w:p w14:paraId="164E73CF">
            <w:pPr>
              <w:adjustRightInd w:val="0"/>
              <w:snapToGrid w:val="0"/>
              <w:spacing w:line="360" w:lineRule="auto"/>
              <w:rPr>
                <w:rFonts w:hint="eastAsia" w:ascii="宋体" w:hAnsi="宋体" w:eastAsia="宋体" w:cs="宋体"/>
                <w:color w:val="auto"/>
                <w:kern w:val="0"/>
                <w:sz w:val="21"/>
                <w:szCs w:val="21"/>
                <w:highlight w:val="none"/>
              </w:rPr>
            </w:pPr>
          </w:p>
        </w:tc>
        <w:tc>
          <w:tcPr>
            <w:tcW w:w="1959" w:type="dxa"/>
            <w:tcBorders>
              <w:top w:val="nil"/>
              <w:left w:val="nil"/>
              <w:bottom w:val="single" w:color="auto" w:sz="4" w:space="0"/>
              <w:right w:val="single" w:color="auto" w:sz="4" w:space="0"/>
            </w:tcBorders>
            <w:noWrap w:val="0"/>
            <w:vAlign w:val="bottom"/>
          </w:tcPr>
          <w:p w14:paraId="22CE04E5">
            <w:pPr>
              <w:adjustRightInd w:val="0"/>
              <w:snapToGrid w:val="0"/>
              <w:spacing w:line="360" w:lineRule="auto"/>
              <w:rPr>
                <w:rFonts w:hint="eastAsia" w:ascii="宋体" w:hAnsi="宋体" w:eastAsia="宋体" w:cs="宋体"/>
                <w:color w:val="auto"/>
                <w:kern w:val="0"/>
                <w:sz w:val="21"/>
                <w:szCs w:val="21"/>
                <w:highlight w:val="none"/>
              </w:rPr>
            </w:pPr>
          </w:p>
        </w:tc>
      </w:tr>
      <w:tr w14:paraId="3096F12B">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2B95F669">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3531" w:type="dxa"/>
            <w:tcBorders>
              <w:top w:val="nil"/>
              <w:left w:val="nil"/>
              <w:bottom w:val="single" w:color="auto" w:sz="4" w:space="0"/>
              <w:right w:val="single" w:color="auto" w:sz="4" w:space="0"/>
            </w:tcBorders>
            <w:noWrap w:val="0"/>
            <w:vAlign w:val="bottom"/>
          </w:tcPr>
          <w:p w14:paraId="5765209A">
            <w:pPr>
              <w:adjustRightInd w:val="0"/>
              <w:snapToGrid w:val="0"/>
              <w:spacing w:line="360" w:lineRule="auto"/>
              <w:rPr>
                <w:rFonts w:hint="eastAsia" w:ascii="宋体" w:hAnsi="宋体" w:eastAsia="宋体" w:cs="宋体"/>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bottom"/>
          </w:tcPr>
          <w:p w14:paraId="7F026E9B">
            <w:pPr>
              <w:adjustRightInd w:val="0"/>
              <w:snapToGrid w:val="0"/>
              <w:spacing w:line="360" w:lineRule="auto"/>
              <w:rPr>
                <w:rFonts w:hint="eastAsia" w:ascii="宋体" w:hAnsi="宋体" w:eastAsia="宋体" w:cs="宋体"/>
                <w:color w:val="auto"/>
                <w:kern w:val="0"/>
                <w:sz w:val="21"/>
                <w:szCs w:val="21"/>
                <w:highlight w:val="none"/>
              </w:rPr>
            </w:pPr>
          </w:p>
        </w:tc>
        <w:tc>
          <w:tcPr>
            <w:tcW w:w="1843" w:type="dxa"/>
            <w:tcBorders>
              <w:top w:val="nil"/>
              <w:left w:val="nil"/>
              <w:bottom w:val="single" w:color="auto" w:sz="4" w:space="0"/>
              <w:right w:val="single" w:color="auto" w:sz="4" w:space="0"/>
            </w:tcBorders>
            <w:noWrap w:val="0"/>
            <w:vAlign w:val="bottom"/>
          </w:tcPr>
          <w:p w14:paraId="6E88CFFC">
            <w:pPr>
              <w:adjustRightInd w:val="0"/>
              <w:snapToGrid w:val="0"/>
              <w:spacing w:line="360" w:lineRule="auto"/>
              <w:rPr>
                <w:rFonts w:hint="eastAsia" w:ascii="宋体" w:hAnsi="宋体" w:eastAsia="宋体" w:cs="宋体"/>
                <w:color w:val="auto"/>
                <w:kern w:val="0"/>
                <w:sz w:val="21"/>
                <w:szCs w:val="21"/>
                <w:highlight w:val="none"/>
              </w:rPr>
            </w:pPr>
          </w:p>
        </w:tc>
        <w:tc>
          <w:tcPr>
            <w:tcW w:w="1959" w:type="dxa"/>
            <w:tcBorders>
              <w:top w:val="nil"/>
              <w:left w:val="nil"/>
              <w:bottom w:val="single" w:color="auto" w:sz="4" w:space="0"/>
              <w:right w:val="single" w:color="auto" w:sz="4" w:space="0"/>
            </w:tcBorders>
            <w:noWrap w:val="0"/>
            <w:vAlign w:val="bottom"/>
          </w:tcPr>
          <w:p w14:paraId="074DF4D3">
            <w:pPr>
              <w:adjustRightInd w:val="0"/>
              <w:snapToGrid w:val="0"/>
              <w:spacing w:line="360" w:lineRule="auto"/>
              <w:rPr>
                <w:rFonts w:hint="eastAsia" w:ascii="宋体" w:hAnsi="宋体" w:eastAsia="宋体" w:cs="宋体"/>
                <w:color w:val="auto"/>
                <w:kern w:val="0"/>
                <w:sz w:val="21"/>
                <w:szCs w:val="21"/>
                <w:highlight w:val="none"/>
              </w:rPr>
            </w:pPr>
          </w:p>
        </w:tc>
      </w:tr>
      <w:tr w14:paraId="64FAF3C3">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7E64936D">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3531" w:type="dxa"/>
            <w:tcBorders>
              <w:top w:val="nil"/>
              <w:left w:val="nil"/>
              <w:bottom w:val="single" w:color="auto" w:sz="4" w:space="0"/>
              <w:right w:val="single" w:color="auto" w:sz="4" w:space="0"/>
            </w:tcBorders>
            <w:noWrap w:val="0"/>
            <w:vAlign w:val="bottom"/>
          </w:tcPr>
          <w:p w14:paraId="6B80279E">
            <w:pPr>
              <w:adjustRightInd w:val="0"/>
              <w:snapToGrid w:val="0"/>
              <w:spacing w:line="360" w:lineRule="auto"/>
              <w:rPr>
                <w:rFonts w:hint="eastAsia" w:ascii="宋体" w:hAnsi="宋体" w:eastAsia="宋体" w:cs="宋体"/>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bottom"/>
          </w:tcPr>
          <w:p w14:paraId="4F29285E">
            <w:pPr>
              <w:adjustRightInd w:val="0"/>
              <w:snapToGrid w:val="0"/>
              <w:spacing w:line="360" w:lineRule="auto"/>
              <w:rPr>
                <w:rFonts w:hint="eastAsia" w:ascii="宋体" w:hAnsi="宋体" w:eastAsia="宋体" w:cs="宋体"/>
                <w:color w:val="auto"/>
                <w:kern w:val="0"/>
                <w:sz w:val="21"/>
                <w:szCs w:val="21"/>
                <w:highlight w:val="none"/>
              </w:rPr>
            </w:pPr>
          </w:p>
        </w:tc>
        <w:tc>
          <w:tcPr>
            <w:tcW w:w="1843" w:type="dxa"/>
            <w:tcBorders>
              <w:top w:val="nil"/>
              <w:left w:val="nil"/>
              <w:bottom w:val="single" w:color="auto" w:sz="4" w:space="0"/>
              <w:right w:val="single" w:color="auto" w:sz="4" w:space="0"/>
            </w:tcBorders>
            <w:noWrap w:val="0"/>
            <w:vAlign w:val="bottom"/>
          </w:tcPr>
          <w:p w14:paraId="46B9D8FD">
            <w:pPr>
              <w:adjustRightInd w:val="0"/>
              <w:snapToGrid w:val="0"/>
              <w:spacing w:line="360" w:lineRule="auto"/>
              <w:rPr>
                <w:rFonts w:hint="eastAsia" w:ascii="宋体" w:hAnsi="宋体" w:eastAsia="宋体" w:cs="宋体"/>
                <w:color w:val="auto"/>
                <w:kern w:val="0"/>
                <w:sz w:val="21"/>
                <w:szCs w:val="21"/>
                <w:highlight w:val="none"/>
              </w:rPr>
            </w:pPr>
          </w:p>
        </w:tc>
        <w:tc>
          <w:tcPr>
            <w:tcW w:w="1959" w:type="dxa"/>
            <w:tcBorders>
              <w:top w:val="nil"/>
              <w:left w:val="nil"/>
              <w:bottom w:val="single" w:color="auto" w:sz="4" w:space="0"/>
              <w:right w:val="single" w:color="auto" w:sz="4" w:space="0"/>
            </w:tcBorders>
            <w:noWrap w:val="0"/>
            <w:vAlign w:val="bottom"/>
          </w:tcPr>
          <w:p w14:paraId="0EFE0A43">
            <w:pPr>
              <w:adjustRightInd w:val="0"/>
              <w:snapToGrid w:val="0"/>
              <w:spacing w:line="360" w:lineRule="auto"/>
              <w:rPr>
                <w:rFonts w:hint="eastAsia" w:ascii="宋体" w:hAnsi="宋体" w:eastAsia="宋体" w:cs="宋体"/>
                <w:color w:val="auto"/>
                <w:kern w:val="0"/>
                <w:sz w:val="21"/>
                <w:szCs w:val="21"/>
                <w:highlight w:val="none"/>
              </w:rPr>
            </w:pPr>
          </w:p>
        </w:tc>
      </w:tr>
      <w:tr w14:paraId="570FCBBD">
        <w:tblPrEx>
          <w:tblCellMar>
            <w:top w:w="0" w:type="dxa"/>
            <w:left w:w="108" w:type="dxa"/>
            <w:bottom w:w="0" w:type="dxa"/>
            <w:right w:w="108" w:type="dxa"/>
          </w:tblCellMar>
        </w:tblPrEx>
        <w:trPr>
          <w:trHeight w:val="480" w:hRule="atLeast"/>
        </w:trPr>
        <w:tc>
          <w:tcPr>
            <w:tcW w:w="727" w:type="dxa"/>
            <w:tcBorders>
              <w:top w:val="nil"/>
              <w:left w:val="single" w:color="auto" w:sz="4" w:space="0"/>
              <w:bottom w:val="single" w:color="auto" w:sz="4" w:space="0"/>
              <w:right w:val="single" w:color="auto" w:sz="4" w:space="0"/>
            </w:tcBorders>
            <w:noWrap w:val="0"/>
            <w:vAlign w:val="center"/>
          </w:tcPr>
          <w:p w14:paraId="6BAD77BA">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531" w:type="dxa"/>
            <w:tcBorders>
              <w:top w:val="nil"/>
              <w:left w:val="nil"/>
              <w:bottom w:val="single" w:color="auto" w:sz="4" w:space="0"/>
              <w:right w:val="single" w:color="auto" w:sz="4" w:space="0"/>
            </w:tcBorders>
            <w:noWrap w:val="0"/>
            <w:vAlign w:val="bottom"/>
          </w:tcPr>
          <w:p w14:paraId="21BA6FF0">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bottom"/>
          </w:tcPr>
          <w:p w14:paraId="5BCDAFA1">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43" w:type="dxa"/>
            <w:tcBorders>
              <w:top w:val="nil"/>
              <w:left w:val="nil"/>
              <w:bottom w:val="single" w:color="auto" w:sz="4" w:space="0"/>
              <w:right w:val="single" w:color="auto" w:sz="4" w:space="0"/>
            </w:tcBorders>
            <w:noWrap w:val="0"/>
            <w:vAlign w:val="bottom"/>
          </w:tcPr>
          <w:p w14:paraId="762AFB9F">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959" w:type="dxa"/>
            <w:tcBorders>
              <w:top w:val="nil"/>
              <w:left w:val="nil"/>
              <w:bottom w:val="single" w:color="auto" w:sz="4" w:space="0"/>
              <w:right w:val="single" w:color="auto" w:sz="4" w:space="0"/>
            </w:tcBorders>
            <w:noWrap w:val="0"/>
            <w:vAlign w:val="bottom"/>
          </w:tcPr>
          <w:p w14:paraId="395285A3">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bl>
    <w:p w14:paraId="35457A77">
      <w:pPr>
        <w:pStyle w:val="36"/>
        <w:adjustRightInd w:val="0"/>
        <w:snapToGrid w:val="0"/>
        <w:spacing w:line="360" w:lineRule="auto"/>
        <w:ind w:firstLine="0" w:firstLineChars="0"/>
        <w:rPr>
          <w:rFonts w:hint="eastAsia" w:ascii="宋体" w:hAnsi="宋体" w:eastAsia="宋体" w:cs="宋体"/>
          <w:color w:val="auto"/>
          <w:highlight w:val="none"/>
          <w:u w:val="single"/>
        </w:rPr>
      </w:pPr>
    </w:p>
    <w:p w14:paraId="124007B5">
      <w:pPr>
        <w:pStyle w:val="36"/>
        <w:adjustRightInd w:val="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评委签名：                                                   日期：</w:t>
      </w:r>
    </w:p>
    <w:p w14:paraId="276BF1E8">
      <w:pPr>
        <w:pStyle w:val="4"/>
        <w:spacing w:after="425" w:line="264" w:lineRule="auto"/>
        <w:ind w:left="-5" w:right="0"/>
        <w:rPr>
          <w:rFonts w:hint="eastAsia" w:ascii="宋体" w:hAnsi="宋体" w:eastAsia="宋体" w:cs="宋体"/>
          <w:color w:val="auto"/>
          <w:highlight w:val="none"/>
        </w:rPr>
      </w:pPr>
      <w:r>
        <w:rPr>
          <w:rFonts w:hint="eastAsia" w:ascii="宋体" w:hAnsi="宋体" w:eastAsia="宋体" w:cs="宋体"/>
          <w:b/>
          <w:color w:val="auto"/>
          <w:sz w:val="32"/>
          <w:highlight w:val="none"/>
        </w:rPr>
        <w:br w:type="page"/>
      </w:r>
      <w:bookmarkStart w:id="130" w:name="_Toc25368"/>
      <w:bookmarkStart w:id="131" w:name="_Toc26954_WPSOffice_Level2"/>
      <w:bookmarkStart w:id="132" w:name="_Toc526895033"/>
      <w:bookmarkStart w:id="133" w:name="_Toc19596_WPSOffice_Level2"/>
      <w:r>
        <w:rPr>
          <w:rFonts w:hint="eastAsia" w:ascii="宋体" w:hAnsi="宋体" w:eastAsia="宋体" w:cs="宋体"/>
          <w:b/>
          <w:color w:val="auto"/>
          <w:sz w:val="32"/>
          <w:highlight w:val="none"/>
        </w:rPr>
        <w:t xml:space="preserve">1. </w:t>
      </w:r>
      <w:r>
        <w:rPr>
          <w:rFonts w:hint="eastAsia" w:ascii="宋体" w:hAnsi="宋体" w:eastAsia="宋体" w:cs="宋体"/>
          <w:color w:val="auto"/>
          <w:sz w:val="32"/>
          <w:highlight w:val="none"/>
        </w:rPr>
        <w:t>评标方法</w:t>
      </w:r>
      <w:bookmarkEnd w:id="130"/>
      <w:bookmarkEnd w:id="131"/>
      <w:bookmarkEnd w:id="132"/>
      <w:bookmarkEnd w:id="133"/>
      <w:r>
        <w:rPr>
          <w:rFonts w:hint="eastAsia" w:ascii="宋体" w:hAnsi="宋体" w:eastAsia="宋体" w:cs="宋体"/>
          <w:b/>
          <w:color w:val="auto"/>
          <w:sz w:val="32"/>
          <w:highlight w:val="none"/>
        </w:rPr>
        <w:t xml:space="preserve"> </w:t>
      </w:r>
    </w:p>
    <w:p w14:paraId="0BAC904C">
      <w:pPr>
        <w:spacing w:after="0" w:line="400" w:lineRule="exact"/>
        <w:ind w:firstLine="420" w:firstLineChars="200"/>
        <w:rPr>
          <w:rFonts w:hint="eastAsia" w:ascii="宋体" w:hAnsi="宋体" w:eastAsia="宋体" w:cs="宋体"/>
          <w:color w:val="auto"/>
          <w:sz w:val="21"/>
          <w:highlight w:val="none"/>
        </w:rPr>
      </w:pPr>
      <w:bookmarkStart w:id="134" w:name="_Toc26257_WPSOffice_Level2"/>
      <w:bookmarkStart w:id="135" w:name="_Toc526895034"/>
      <w:bookmarkStart w:id="136" w:name="_Toc7819_WPSOffice_Level2"/>
      <w:bookmarkStart w:id="137" w:name="_Toc32452"/>
      <w:r>
        <w:rPr>
          <w:rFonts w:hint="eastAsia" w:ascii="宋体" w:hAnsi="宋体" w:eastAsia="宋体" w:cs="宋体"/>
          <w:color w:val="auto"/>
          <w:sz w:val="21"/>
          <w:highlight w:val="none"/>
        </w:rPr>
        <w:t>本次评标采用综合评估法。评标委员会对满足招标文件实质性要求的投标文件，按照本章第 2.2 款规定的评分标准进行打分，并按得分由高到低顺序推荐中标候选人，但投标报价低于其成本的除外。综合评分相等时，以投标报价低的优先；投标报价也相等的，按照评标办法前附表的规定确定中标候选人顺序。</w:t>
      </w:r>
    </w:p>
    <w:p w14:paraId="4A76E39D">
      <w:pPr>
        <w:pStyle w:val="2"/>
        <w:rPr>
          <w:rFonts w:hint="eastAsia"/>
          <w:color w:val="auto"/>
          <w:highlight w:val="none"/>
        </w:rPr>
      </w:pPr>
    </w:p>
    <w:p w14:paraId="1AFE6A94">
      <w:pPr>
        <w:pStyle w:val="4"/>
        <w:spacing w:after="503" w:line="264" w:lineRule="auto"/>
        <w:ind w:left="-5" w:right="0"/>
        <w:rPr>
          <w:rFonts w:hint="eastAsia" w:ascii="宋体" w:hAnsi="宋体" w:eastAsia="宋体" w:cs="宋体"/>
          <w:color w:val="auto"/>
          <w:highlight w:val="none"/>
        </w:rPr>
      </w:pPr>
      <w:r>
        <w:rPr>
          <w:rFonts w:hint="eastAsia" w:ascii="宋体" w:hAnsi="宋体" w:eastAsia="宋体" w:cs="宋体"/>
          <w:b/>
          <w:color w:val="auto"/>
          <w:sz w:val="32"/>
          <w:highlight w:val="none"/>
        </w:rPr>
        <w:t xml:space="preserve">2. </w:t>
      </w:r>
      <w:r>
        <w:rPr>
          <w:rFonts w:hint="eastAsia" w:ascii="宋体" w:hAnsi="宋体" w:eastAsia="宋体" w:cs="宋体"/>
          <w:color w:val="auto"/>
          <w:sz w:val="32"/>
          <w:highlight w:val="none"/>
        </w:rPr>
        <w:t>评审标准</w:t>
      </w:r>
      <w:bookmarkEnd w:id="134"/>
      <w:bookmarkEnd w:id="135"/>
      <w:bookmarkEnd w:id="136"/>
      <w:bookmarkEnd w:id="137"/>
      <w:r>
        <w:rPr>
          <w:rFonts w:hint="eastAsia" w:ascii="宋体" w:hAnsi="宋体" w:eastAsia="宋体" w:cs="宋体"/>
          <w:b/>
          <w:color w:val="auto"/>
          <w:sz w:val="32"/>
          <w:highlight w:val="none"/>
        </w:rPr>
        <w:t xml:space="preserve"> </w:t>
      </w:r>
    </w:p>
    <w:p w14:paraId="6F333908">
      <w:pPr>
        <w:pStyle w:val="6"/>
        <w:spacing w:after="281"/>
        <w:ind w:left="132" w:right="0"/>
        <w:rPr>
          <w:rFonts w:hint="eastAsia" w:ascii="宋体" w:hAnsi="宋体" w:eastAsia="宋体" w:cs="宋体"/>
          <w:color w:val="auto"/>
          <w:highlight w:val="none"/>
        </w:rPr>
      </w:pPr>
      <w:bookmarkStart w:id="138" w:name="_Toc526895035"/>
      <w:r>
        <w:rPr>
          <w:rFonts w:hint="eastAsia" w:ascii="宋体" w:hAnsi="宋体" w:eastAsia="宋体" w:cs="宋体"/>
          <w:color w:val="auto"/>
          <w:highlight w:val="none"/>
        </w:rPr>
        <w:t>2.1 初步评审标准</w:t>
      </w:r>
      <w:bookmarkEnd w:id="138"/>
      <w:r>
        <w:rPr>
          <w:rFonts w:hint="eastAsia" w:ascii="宋体" w:hAnsi="宋体" w:eastAsia="宋体" w:cs="宋体"/>
          <w:color w:val="auto"/>
          <w:highlight w:val="none"/>
        </w:rPr>
        <w:t xml:space="preserve"> </w:t>
      </w:r>
    </w:p>
    <w:p w14:paraId="53E42349">
      <w:pPr>
        <w:spacing w:after="12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2.1.1资格评审标准：见评标办法前附表。</w:t>
      </w:r>
    </w:p>
    <w:p w14:paraId="1A167AB5">
      <w:pPr>
        <w:spacing w:after="12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2.1.2形式评审标准：见评标办法前附表。</w:t>
      </w:r>
    </w:p>
    <w:p w14:paraId="2E4C5C51">
      <w:pPr>
        <w:spacing w:after="339"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2.1.3 响应性评审标准：见评标办法前附表。 </w:t>
      </w:r>
    </w:p>
    <w:p w14:paraId="2148F59A">
      <w:pPr>
        <w:pStyle w:val="6"/>
        <w:spacing w:after="283"/>
        <w:ind w:left="132" w:right="0"/>
        <w:rPr>
          <w:rFonts w:hint="eastAsia" w:ascii="宋体" w:hAnsi="宋体" w:eastAsia="宋体" w:cs="宋体"/>
          <w:color w:val="auto"/>
          <w:highlight w:val="none"/>
        </w:rPr>
      </w:pPr>
      <w:bookmarkStart w:id="139" w:name="_Toc526895036"/>
      <w:r>
        <w:rPr>
          <w:rFonts w:hint="eastAsia" w:ascii="宋体" w:hAnsi="宋体" w:eastAsia="宋体" w:cs="宋体"/>
          <w:color w:val="auto"/>
          <w:highlight w:val="none"/>
        </w:rPr>
        <w:t>2.2 分值构成与评分标准</w:t>
      </w:r>
      <w:bookmarkEnd w:id="139"/>
      <w:r>
        <w:rPr>
          <w:rFonts w:hint="eastAsia" w:ascii="宋体" w:hAnsi="宋体" w:eastAsia="宋体" w:cs="宋体"/>
          <w:color w:val="auto"/>
          <w:highlight w:val="none"/>
        </w:rPr>
        <w:t xml:space="preserve"> </w:t>
      </w:r>
    </w:p>
    <w:p w14:paraId="11FFB507">
      <w:pPr>
        <w:spacing w:after="115" w:line="265" w:lineRule="auto"/>
        <w:ind w:left="41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2.2.1 分值构成 </w:t>
      </w:r>
    </w:p>
    <w:p w14:paraId="422F7E7D">
      <w:pPr>
        <w:numPr>
          <w:ilvl w:val="0"/>
          <w:numId w:val="6"/>
        </w:numPr>
        <w:spacing w:after="123" w:line="265" w:lineRule="auto"/>
        <w:ind w:hanging="52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商务部分：见评标办法前附表； </w:t>
      </w:r>
    </w:p>
    <w:p w14:paraId="4F4FF7CB">
      <w:pPr>
        <w:numPr>
          <w:ilvl w:val="0"/>
          <w:numId w:val="6"/>
        </w:numPr>
        <w:spacing w:after="123" w:line="265" w:lineRule="auto"/>
        <w:ind w:hanging="52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技术部分：见评标办法前附表； </w:t>
      </w:r>
    </w:p>
    <w:p w14:paraId="4BF1A8DC">
      <w:pPr>
        <w:numPr>
          <w:ilvl w:val="0"/>
          <w:numId w:val="6"/>
        </w:numPr>
        <w:spacing w:after="123" w:line="265" w:lineRule="auto"/>
        <w:ind w:hanging="526"/>
        <w:rPr>
          <w:rFonts w:hint="eastAsia"/>
          <w:color w:val="auto"/>
          <w:highlight w:val="none"/>
        </w:rPr>
      </w:pPr>
      <w:r>
        <w:rPr>
          <w:rFonts w:hint="eastAsia" w:ascii="宋体" w:hAnsi="宋体" w:eastAsia="宋体" w:cs="宋体"/>
          <w:color w:val="auto"/>
          <w:sz w:val="21"/>
          <w:highlight w:val="none"/>
        </w:rPr>
        <w:t>投标报价：见评标办法前附表；</w:t>
      </w:r>
    </w:p>
    <w:p w14:paraId="5764E487">
      <w:pPr>
        <w:spacing w:after="123" w:line="265" w:lineRule="auto"/>
        <w:ind w:left="430" w:hanging="10"/>
        <w:rPr>
          <w:rFonts w:hint="eastAsia"/>
          <w:color w:val="auto"/>
          <w:highlight w:val="none"/>
        </w:rPr>
      </w:pPr>
      <w:r>
        <w:rPr>
          <w:rFonts w:hint="eastAsia" w:ascii="宋体" w:hAnsi="宋体" w:eastAsia="宋体" w:cs="宋体"/>
          <w:color w:val="auto"/>
          <w:sz w:val="21"/>
          <w:highlight w:val="none"/>
        </w:rPr>
        <w:t>（4）其他评分因素评分标准：见评标办法前附表。</w:t>
      </w:r>
    </w:p>
    <w:p w14:paraId="23C5E6B1">
      <w:pPr>
        <w:spacing w:after="12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2.2.2评标基准价计算</w:t>
      </w:r>
    </w:p>
    <w:p w14:paraId="16CE709C">
      <w:pPr>
        <w:spacing w:after="123" w:line="265" w:lineRule="auto"/>
        <w:ind w:left="430" w:hanging="10"/>
        <w:rPr>
          <w:rFonts w:hint="eastAsia" w:ascii="宋体" w:hAnsi="宋体" w:eastAsia="宋体" w:cs="宋体"/>
          <w:strike/>
          <w:color w:val="auto"/>
          <w:highlight w:val="none"/>
        </w:rPr>
      </w:pPr>
      <w:r>
        <w:rPr>
          <w:rFonts w:hint="eastAsia" w:ascii="宋体" w:hAnsi="宋体" w:eastAsia="宋体" w:cs="宋体"/>
          <w:color w:val="auto"/>
          <w:sz w:val="21"/>
          <w:highlight w:val="none"/>
        </w:rPr>
        <w:t>评标基准价计算方法：见评标办法前附表。</w:t>
      </w:r>
    </w:p>
    <w:p w14:paraId="60B67F5D">
      <w:pPr>
        <w:spacing w:after="115" w:line="265" w:lineRule="auto"/>
        <w:ind w:left="415"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2.2.3 评分标准 </w:t>
      </w:r>
    </w:p>
    <w:p w14:paraId="0B22885A">
      <w:pPr>
        <w:numPr>
          <w:ilvl w:val="0"/>
          <w:numId w:val="7"/>
        </w:numPr>
        <w:spacing w:after="123" w:line="265" w:lineRule="auto"/>
        <w:ind w:hanging="52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商务部分评分标准：见评标办法前附表； </w:t>
      </w:r>
    </w:p>
    <w:p w14:paraId="794F74B0">
      <w:pPr>
        <w:numPr>
          <w:ilvl w:val="0"/>
          <w:numId w:val="7"/>
        </w:numPr>
        <w:spacing w:after="123" w:line="265" w:lineRule="auto"/>
        <w:ind w:hanging="52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技术部分评分标准：见评标办法前附表； </w:t>
      </w:r>
    </w:p>
    <w:p w14:paraId="6484AA7D">
      <w:pPr>
        <w:numPr>
          <w:ilvl w:val="0"/>
          <w:numId w:val="7"/>
        </w:numPr>
        <w:spacing w:after="123" w:line="265" w:lineRule="auto"/>
        <w:ind w:hanging="526"/>
        <w:rPr>
          <w:rFonts w:hint="eastAsia" w:ascii="宋体" w:hAnsi="宋体" w:eastAsia="宋体" w:cs="宋体"/>
          <w:color w:val="auto"/>
          <w:highlight w:val="none"/>
        </w:rPr>
      </w:pPr>
      <w:r>
        <w:rPr>
          <w:rFonts w:hint="eastAsia" w:ascii="宋体" w:hAnsi="宋体" w:eastAsia="宋体" w:cs="宋体"/>
          <w:color w:val="auto"/>
          <w:sz w:val="21"/>
          <w:highlight w:val="none"/>
        </w:rPr>
        <w:t>投标报价评分标准：见评标办法前附表；</w:t>
      </w:r>
    </w:p>
    <w:p w14:paraId="4A43E4C0">
      <w:pPr>
        <w:spacing w:after="12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（4）其他评分因素评分标准：见评标办法前附表。 </w:t>
      </w:r>
    </w:p>
    <w:p w14:paraId="6D8E2F80">
      <w:pPr>
        <w:pStyle w:val="4"/>
        <w:spacing w:after="503" w:line="264" w:lineRule="auto"/>
        <w:ind w:left="-5" w:right="0"/>
        <w:rPr>
          <w:rFonts w:hint="eastAsia" w:ascii="宋体" w:hAnsi="宋体" w:eastAsia="宋体" w:cs="宋体"/>
          <w:color w:val="auto"/>
          <w:highlight w:val="none"/>
        </w:rPr>
      </w:pPr>
      <w:bookmarkStart w:id="140" w:name="_Toc11049"/>
      <w:bookmarkStart w:id="141" w:name="_Toc526895037"/>
      <w:bookmarkStart w:id="142" w:name="_Toc2746_WPSOffice_Level2"/>
      <w:bookmarkStart w:id="143" w:name="_Toc10071_WPSOffice_Level2"/>
      <w:r>
        <w:rPr>
          <w:rFonts w:hint="eastAsia" w:ascii="宋体" w:hAnsi="宋体" w:eastAsia="宋体" w:cs="宋体"/>
          <w:b/>
          <w:color w:val="auto"/>
          <w:sz w:val="32"/>
          <w:highlight w:val="none"/>
        </w:rPr>
        <w:t xml:space="preserve">3. </w:t>
      </w:r>
      <w:r>
        <w:rPr>
          <w:rFonts w:hint="eastAsia" w:ascii="宋体" w:hAnsi="宋体" w:eastAsia="宋体" w:cs="宋体"/>
          <w:color w:val="auto"/>
          <w:sz w:val="32"/>
          <w:highlight w:val="none"/>
        </w:rPr>
        <w:t>评标程序</w:t>
      </w:r>
      <w:bookmarkEnd w:id="140"/>
      <w:bookmarkEnd w:id="141"/>
      <w:bookmarkEnd w:id="142"/>
      <w:bookmarkEnd w:id="143"/>
      <w:r>
        <w:rPr>
          <w:rFonts w:hint="eastAsia" w:ascii="宋体" w:hAnsi="宋体" w:eastAsia="宋体" w:cs="宋体"/>
          <w:b/>
          <w:color w:val="auto"/>
          <w:sz w:val="32"/>
          <w:highlight w:val="none"/>
        </w:rPr>
        <w:t xml:space="preserve"> </w:t>
      </w:r>
    </w:p>
    <w:p w14:paraId="766820ED">
      <w:pPr>
        <w:pStyle w:val="6"/>
        <w:spacing w:after="283"/>
        <w:ind w:left="132" w:right="0"/>
        <w:rPr>
          <w:rFonts w:hint="eastAsia" w:ascii="宋体" w:hAnsi="宋体" w:eastAsia="宋体" w:cs="宋体"/>
          <w:color w:val="auto"/>
          <w:highlight w:val="none"/>
        </w:rPr>
      </w:pPr>
      <w:bookmarkStart w:id="144" w:name="_Toc526895038"/>
      <w:r>
        <w:rPr>
          <w:rFonts w:hint="eastAsia" w:ascii="宋体" w:hAnsi="宋体" w:eastAsia="宋体" w:cs="宋体"/>
          <w:color w:val="auto"/>
          <w:highlight w:val="none"/>
        </w:rPr>
        <w:t>3.1 初步评审</w:t>
      </w:r>
      <w:bookmarkEnd w:id="144"/>
      <w:r>
        <w:rPr>
          <w:rFonts w:hint="eastAsia" w:ascii="宋体" w:hAnsi="宋体" w:eastAsia="宋体" w:cs="宋体"/>
          <w:color w:val="auto"/>
          <w:highlight w:val="none"/>
        </w:rPr>
        <w:t xml:space="preserve"> </w:t>
      </w:r>
    </w:p>
    <w:p w14:paraId="7CD4724A">
      <w:pPr>
        <w:tabs>
          <w:tab w:val="left" w:pos="5040"/>
        </w:tabs>
        <w:adjustRightInd w:val="0"/>
        <w:snapToGrid w:val="0"/>
        <w:spacing w:after="123" w:line="360" w:lineRule="auto"/>
        <w:ind w:firstLine="425"/>
        <w:rPr>
          <w:rFonts w:hint="eastAsia" w:ascii="宋体" w:hAnsi="宋体" w:eastAsia="宋体" w:cs="宋体"/>
          <w:color w:val="auto"/>
          <w:sz w:val="21"/>
          <w:highlight w:val="none"/>
        </w:rPr>
      </w:pPr>
      <w:r>
        <w:rPr>
          <w:rFonts w:hint="eastAsia" w:ascii="宋体" w:hAnsi="宋体" w:eastAsia="宋体" w:cs="宋体"/>
          <w:color w:val="auto"/>
          <w:sz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eastAsia="宋体" w:cs="宋体"/>
          <w:color w:val="auto"/>
          <w:sz w:val="21"/>
          <w:highlight w:val="none"/>
          <w:u w:val="single"/>
        </w:rPr>
        <w:t>评标委员会完成资格评审后，汇总审查情况，确定通过资格评审的投标人名单，向招标人提交书面资格审查报告。通过资格评审的有效投标人不足三名时，招标人应当依法重新组织招标。只有通过初步评审的投标人才能进入下一阶段详细评审。通过初步评审的有效投标人不足三名时，招标人应当依法重新组织招标。</w:t>
      </w:r>
    </w:p>
    <w:p w14:paraId="6945592D">
      <w:pPr>
        <w:spacing w:after="12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3.1.2 投标人有以下情形之一的，评标委员会应当否决其投标： </w:t>
      </w:r>
    </w:p>
    <w:p w14:paraId="5D66ECA5">
      <w:pPr>
        <w:numPr>
          <w:ilvl w:val="0"/>
          <w:numId w:val="8"/>
        </w:numPr>
        <w:spacing w:after="0" w:line="369"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投标文件没有对招标文件的实质性要求和条件作出响应，或者对招标文件的偏差超出招标文件规定的偏差范围或最高项数； </w:t>
      </w:r>
    </w:p>
    <w:p w14:paraId="3CD18763">
      <w:pPr>
        <w:numPr>
          <w:ilvl w:val="0"/>
          <w:numId w:val="8"/>
        </w:numPr>
        <w:spacing w:after="123" w:line="265"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有串通投标、弄虚作假、行贿等违法行为。 </w:t>
      </w:r>
    </w:p>
    <w:p w14:paraId="71D442E2">
      <w:pPr>
        <w:tabs>
          <w:tab w:val="left" w:pos="5040"/>
        </w:tabs>
        <w:adjustRightInd w:val="0"/>
        <w:snapToGrid w:val="0"/>
        <w:spacing w:after="123" w:line="360" w:lineRule="auto"/>
        <w:ind w:firstLine="425"/>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3.1.3投标报价有算术错误及其他错误的，评标委员会按以下原则要求投标人对投标报价进行修正，并要求投标人书面澄清确认。投标人拒不澄清确认的，评标委员会应当否决其投标： </w:t>
      </w:r>
    </w:p>
    <w:p w14:paraId="444B813A">
      <w:pPr>
        <w:numPr>
          <w:ilvl w:val="0"/>
          <w:numId w:val="9"/>
        </w:numPr>
        <w:spacing w:after="123" w:line="265"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投标文件中的大写金额与小写金额不一致的，以大写金额为准； </w:t>
      </w:r>
    </w:p>
    <w:p w14:paraId="62E69E9F">
      <w:pPr>
        <w:numPr>
          <w:ilvl w:val="0"/>
          <w:numId w:val="9"/>
        </w:numPr>
        <w:spacing w:after="219" w:line="369"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总价金额与单价金额不一致的，以单价金额为准，但单价金额小数点有明显错误的除外。 </w:t>
      </w:r>
    </w:p>
    <w:p w14:paraId="4886D344">
      <w:pPr>
        <w:pStyle w:val="6"/>
        <w:spacing w:after="282"/>
        <w:ind w:left="132" w:right="0"/>
        <w:rPr>
          <w:rFonts w:hint="eastAsia" w:ascii="宋体" w:hAnsi="宋体" w:eastAsia="宋体" w:cs="宋体"/>
          <w:color w:val="auto"/>
          <w:highlight w:val="none"/>
        </w:rPr>
      </w:pPr>
      <w:bookmarkStart w:id="145" w:name="_Toc526895039"/>
      <w:r>
        <w:rPr>
          <w:rFonts w:hint="eastAsia" w:ascii="宋体" w:hAnsi="宋体" w:eastAsia="宋体" w:cs="宋体"/>
          <w:color w:val="auto"/>
          <w:highlight w:val="none"/>
        </w:rPr>
        <w:t>3.2 详细评审</w:t>
      </w:r>
      <w:bookmarkEnd w:id="145"/>
      <w:r>
        <w:rPr>
          <w:rFonts w:hint="eastAsia" w:ascii="宋体" w:hAnsi="宋体" w:eastAsia="宋体" w:cs="宋体"/>
          <w:color w:val="auto"/>
          <w:highlight w:val="none"/>
        </w:rPr>
        <w:t xml:space="preserve"> </w:t>
      </w:r>
    </w:p>
    <w:p w14:paraId="61A526C6">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3.2.1 评标委员会按本章第2.2款规定的量化因素和分值进行打分，并计算出综合评估得分。</w:t>
      </w:r>
    </w:p>
    <w:p w14:paraId="0D9C45C2">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（1）按本章第2.2.3（1）目规定的评审因素和分值对商务评分标准部分计算出得分A；</w:t>
      </w:r>
    </w:p>
    <w:p w14:paraId="7EA0FC2C">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（2）按本章第2.2.3（2）目规定的评审因素和分值对技术方案评分标准部分计算出得分B；</w:t>
      </w:r>
    </w:p>
    <w:p w14:paraId="54A05B72">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（3）按本章第2.2.3（3）目规定的评审因素和</w:t>
      </w:r>
      <w:bookmarkStart w:id="146" w:name="_Toc369531583"/>
      <w:bookmarkStart w:id="147" w:name="_Toc152042381"/>
      <w:bookmarkStart w:id="148" w:name="_Toc24330"/>
      <w:bookmarkStart w:id="149" w:name="_Toc300835014"/>
      <w:bookmarkStart w:id="150" w:name="_Toc247514028"/>
      <w:bookmarkStart w:id="151" w:name="_Toc152045604"/>
      <w:bookmarkStart w:id="152" w:name="_Toc144974571"/>
      <w:bookmarkStart w:id="153" w:name="_Toc384308278"/>
      <w:bookmarkStart w:id="154" w:name="_Toc352691539"/>
      <w:bookmarkStart w:id="155" w:name="_Toc361508652"/>
      <w:bookmarkStart w:id="156" w:name="_Toc247527629"/>
      <w:r>
        <w:rPr>
          <w:rFonts w:hint="eastAsia" w:ascii="宋体" w:hAnsi="宋体" w:eastAsia="宋体" w:cs="宋体"/>
          <w:color w:val="auto"/>
          <w:highlight w:val="none"/>
        </w:rPr>
        <w:t>分值对投标报价</w:t>
      </w:r>
      <w:bookmarkEnd w:id="146"/>
      <w:bookmarkEnd w:id="147"/>
      <w:bookmarkEnd w:id="148"/>
      <w:bookmarkEnd w:id="149"/>
      <w:bookmarkEnd w:id="150"/>
      <w:bookmarkEnd w:id="151"/>
      <w:bookmarkEnd w:id="152"/>
      <w:bookmarkEnd w:id="153"/>
      <w:bookmarkEnd w:id="154"/>
      <w:bookmarkEnd w:id="155"/>
      <w:bookmarkEnd w:id="156"/>
      <w:r>
        <w:rPr>
          <w:rFonts w:hint="eastAsia" w:ascii="宋体" w:hAnsi="宋体" w:eastAsia="宋体" w:cs="宋体"/>
          <w:color w:val="auto"/>
          <w:highlight w:val="none"/>
        </w:rPr>
        <w:t>计</w:t>
      </w:r>
      <w:bookmarkStart w:id="157" w:name="_Toc152042382"/>
      <w:bookmarkStart w:id="158" w:name="_Toc247527630"/>
      <w:bookmarkStart w:id="159" w:name="_Toc384308279"/>
      <w:bookmarkStart w:id="160" w:name="_Toc247514029"/>
      <w:bookmarkStart w:id="161" w:name="_Toc352691540"/>
      <w:bookmarkStart w:id="162" w:name="_Toc18141"/>
      <w:bookmarkStart w:id="163" w:name="_Toc361508653"/>
      <w:bookmarkStart w:id="164" w:name="_Toc152045605"/>
      <w:bookmarkStart w:id="165" w:name="_Toc369531584"/>
      <w:bookmarkStart w:id="166" w:name="_Toc300835015"/>
      <w:bookmarkStart w:id="167" w:name="_Toc144974572"/>
      <w:r>
        <w:rPr>
          <w:rFonts w:hint="eastAsia" w:ascii="宋体" w:hAnsi="宋体" w:eastAsia="宋体" w:cs="宋体"/>
          <w:color w:val="auto"/>
          <w:highlight w:val="none"/>
        </w:rPr>
        <w:t>算出得分C；</w:t>
      </w:r>
    </w:p>
    <w:p w14:paraId="71105AA8">
      <w:pPr>
        <w:pStyle w:val="2"/>
        <w:rPr>
          <w:rFonts w:hint="eastAsia" w:eastAsia="宋体"/>
          <w:color w:val="auto"/>
          <w:highlight w:val="none"/>
          <w:lang w:val="en-US" w:eastAsia="zh-CN"/>
        </w:rPr>
      </w:pPr>
      <w:r>
        <w:rPr>
          <w:rFonts w:hint="eastAsia" w:hAnsi="宋体" w:eastAsia="宋体" w:cs="宋体"/>
          <w:color w:val="auto"/>
          <w:highlight w:val="none"/>
        </w:rPr>
        <w:t xml:space="preserve">    （4）按本章第2.2.3（4）目规定的评审因素</w:t>
      </w:r>
      <w:r>
        <w:rPr>
          <w:rFonts w:hint="eastAsia" w:ascii="宋体" w:hAnsi="宋体" w:eastAsia="宋体" w:cs="宋体"/>
          <w:color w:val="auto"/>
          <w:highlight w:val="none"/>
        </w:rPr>
        <w:t>和分值对</w:t>
      </w:r>
      <w:r>
        <w:rPr>
          <w:rFonts w:hint="eastAsia" w:ascii="宋体" w:hAnsi="宋体" w:eastAsia="宋体" w:cs="宋体"/>
          <w:color w:val="auto"/>
          <w:highlight w:val="none"/>
          <w:lang w:val="en-US" w:eastAsia="zh-CN"/>
        </w:rPr>
        <w:t>其他因素</w:t>
      </w:r>
      <w:r>
        <w:rPr>
          <w:rFonts w:hint="eastAsia" w:ascii="宋体" w:hAnsi="宋体" w:eastAsia="宋体" w:cs="宋体"/>
          <w:color w:val="auto"/>
          <w:highlight w:val="none"/>
        </w:rPr>
        <w:t>计算出得分</w:t>
      </w:r>
      <w:r>
        <w:rPr>
          <w:rFonts w:hint="eastAsia" w:ascii="宋体" w:hAnsi="宋体" w:eastAsia="宋体" w:cs="宋体"/>
          <w:color w:val="auto"/>
          <w:highlight w:val="none"/>
          <w:lang w:val="en-US" w:eastAsia="zh-CN"/>
        </w:rPr>
        <w:t>D</w:t>
      </w:r>
      <w:r>
        <w:rPr>
          <w:rFonts w:hint="eastAsia" w:hAnsi="宋体" w:eastAsia="宋体" w:cs="宋体"/>
          <w:color w:val="auto"/>
          <w:highlight w:val="none"/>
          <w:lang w:eastAsia="zh-CN"/>
        </w:rPr>
        <w:t>。</w:t>
      </w:r>
    </w:p>
    <w:bookmarkEnd w:id="157"/>
    <w:bookmarkEnd w:id="158"/>
    <w:bookmarkEnd w:id="159"/>
    <w:bookmarkEnd w:id="160"/>
    <w:bookmarkEnd w:id="161"/>
    <w:bookmarkEnd w:id="162"/>
    <w:bookmarkEnd w:id="163"/>
    <w:bookmarkEnd w:id="164"/>
    <w:bookmarkEnd w:id="165"/>
    <w:bookmarkEnd w:id="166"/>
    <w:bookmarkEnd w:id="167"/>
    <w:p w14:paraId="5F5C24BD">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3.2.2 评分分值计算保留小数点后两位，小数点后第三位“四舍五入”。</w:t>
      </w:r>
    </w:p>
    <w:p w14:paraId="6FA95E28">
      <w:pPr>
        <w:spacing w:line="400" w:lineRule="exact"/>
        <w:ind w:firstLine="440" w:firstLineChars="200"/>
        <w:rPr>
          <w:rFonts w:ascii="宋体" w:hAnsi="宋体" w:eastAsia="宋体" w:cs="宋体"/>
          <w:color w:val="auto"/>
          <w:highlight w:val="none"/>
        </w:rPr>
      </w:pPr>
      <w:r>
        <w:rPr>
          <w:rFonts w:hint="eastAsia" w:ascii="宋体" w:hAnsi="宋体" w:eastAsia="宋体" w:cs="宋体"/>
          <w:color w:val="auto"/>
          <w:highlight w:val="none"/>
        </w:rPr>
        <w:t>3.2.3 投标人得分=A+B+C+D</w:t>
      </w:r>
    </w:p>
    <w:p w14:paraId="1192C5D8">
      <w:pPr>
        <w:spacing w:after="231" w:line="359"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182E826C">
      <w:pPr>
        <w:pStyle w:val="6"/>
        <w:spacing w:after="284"/>
        <w:ind w:left="132" w:right="0"/>
        <w:rPr>
          <w:rFonts w:hint="eastAsia" w:ascii="宋体" w:hAnsi="宋体" w:eastAsia="宋体" w:cs="宋体"/>
          <w:color w:val="auto"/>
          <w:highlight w:val="none"/>
        </w:rPr>
      </w:pPr>
      <w:bookmarkStart w:id="168" w:name="_Toc526895040"/>
      <w:r>
        <w:rPr>
          <w:rFonts w:hint="eastAsia" w:ascii="宋体" w:hAnsi="宋体" w:eastAsia="宋体" w:cs="宋体"/>
          <w:color w:val="auto"/>
          <w:highlight w:val="none"/>
        </w:rPr>
        <w:t>3.3 投标文件的澄清</w:t>
      </w:r>
      <w:bookmarkEnd w:id="168"/>
      <w:r>
        <w:rPr>
          <w:rFonts w:hint="eastAsia" w:ascii="宋体" w:hAnsi="宋体" w:eastAsia="宋体" w:cs="宋体"/>
          <w:color w:val="auto"/>
          <w:highlight w:val="none"/>
        </w:rPr>
        <w:t xml:space="preserve"> </w:t>
      </w:r>
    </w:p>
    <w:p w14:paraId="78CA871E">
      <w:pPr>
        <w:spacing w:after="13" w:line="356" w:lineRule="auto"/>
        <w:ind w:firstLine="426"/>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799C0444">
      <w:pPr>
        <w:spacing w:after="0" w:line="369"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3.3.2 澄清、说明或补正不得超出投标文件的范围且不得改变投标文件的实质性内容，并构成投标文件的组成部分。 </w:t>
      </w:r>
    </w:p>
    <w:p w14:paraId="1B5EE670">
      <w:pPr>
        <w:spacing w:after="223" w:line="367"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3.3.3 评标委员会对投标人提交的澄清、说明或补正有疑问的，可以要求投标人进一步澄清、说明或补正，直至满足评标委员会的要求。 </w:t>
      </w:r>
    </w:p>
    <w:p w14:paraId="3CECABC9">
      <w:pPr>
        <w:pStyle w:val="6"/>
        <w:spacing w:after="283"/>
        <w:ind w:left="132" w:right="0"/>
        <w:rPr>
          <w:rFonts w:hint="eastAsia" w:ascii="宋体" w:hAnsi="宋体" w:eastAsia="宋体" w:cs="宋体"/>
          <w:color w:val="auto"/>
          <w:highlight w:val="none"/>
        </w:rPr>
      </w:pPr>
      <w:bookmarkStart w:id="169" w:name="_Toc526895041"/>
      <w:r>
        <w:rPr>
          <w:rFonts w:hint="eastAsia" w:ascii="宋体" w:hAnsi="宋体" w:eastAsia="宋体" w:cs="宋体"/>
          <w:color w:val="auto"/>
          <w:highlight w:val="none"/>
        </w:rPr>
        <w:t>3.4 评标结果</w:t>
      </w:r>
      <w:bookmarkEnd w:id="169"/>
      <w:r>
        <w:rPr>
          <w:rFonts w:hint="eastAsia" w:ascii="宋体" w:hAnsi="宋体" w:eastAsia="宋体" w:cs="宋体"/>
          <w:color w:val="auto"/>
          <w:highlight w:val="none"/>
        </w:rPr>
        <w:t xml:space="preserve"> </w:t>
      </w:r>
    </w:p>
    <w:p w14:paraId="21CCC3FD">
      <w:pPr>
        <w:spacing w:after="0" w:line="369" w:lineRule="auto"/>
        <w:ind w:left="-15" w:firstLine="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3.4.1 除第二章“投标人须知”前附表授权直接确定中标人外，评标委员会按照得分由高到低的顺序推荐中标候选人，并标明排序。 </w:t>
      </w:r>
    </w:p>
    <w:p w14:paraId="308E3285">
      <w:pPr>
        <w:spacing w:after="202" w:line="265"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评标委员会完成评标后，应当向招标人提交书面评标报告和中标候选人名单。 </w:t>
      </w:r>
    </w:p>
    <w:p w14:paraId="13BBB926">
      <w:pPr>
        <w:spacing w:after="202" w:line="265" w:lineRule="auto"/>
        <w:ind w:left="430"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p>
    <w:p w14:paraId="4E4077AE">
      <w:pPr>
        <w:pStyle w:val="4"/>
        <w:rPr>
          <w:rFonts w:ascii="宋体" w:hAnsi="宋体" w:eastAsia="宋体"/>
          <w:b/>
          <w:bCs/>
          <w:color w:val="auto"/>
          <w:sz w:val="30"/>
          <w:szCs w:val="30"/>
          <w:highlight w:val="none"/>
        </w:rPr>
      </w:pPr>
      <w:bookmarkStart w:id="170" w:name="_Toc526895042"/>
      <w:r>
        <w:rPr>
          <w:rFonts w:hint="eastAsia" w:ascii="宋体" w:hAnsi="宋体" w:eastAsia="宋体" w:cs="宋体"/>
          <w:color w:val="auto"/>
          <w:sz w:val="44"/>
          <w:highlight w:val="none"/>
        </w:rPr>
        <w:br w:type="page"/>
      </w:r>
      <w:bookmarkStart w:id="171" w:name="_Toc28189"/>
      <w:bookmarkStart w:id="172" w:name="_Toc20397"/>
      <w:r>
        <w:rPr>
          <w:rFonts w:hint="eastAsia" w:ascii="宋体" w:hAnsi="宋体" w:eastAsia="宋体"/>
          <w:b/>
          <w:bCs/>
          <w:color w:val="auto"/>
          <w:sz w:val="30"/>
          <w:szCs w:val="30"/>
          <w:highlight w:val="none"/>
        </w:rPr>
        <w:t>附表一：资格评审表</w:t>
      </w:r>
      <w:bookmarkEnd w:id="171"/>
    </w:p>
    <w:p w14:paraId="1B30AF2A">
      <w:pPr>
        <w:spacing w:line="360" w:lineRule="auto"/>
        <w:ind w:firstLine="560" w:firstLineChars="200"/>
        <w:jc w:val="cente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资格评审表</w:t>
      </w:r>
    </w:p>
    <w:p w14:paraId="398E95F8">
      <w:pPr>
        <w:rPr>
          <w:rFonts w:ascii="宋体" w:hAnsi="宋体" w:eastAsia="宋体" w:cs="宋体"/>
          <w:b/>
          <w:color w:val="auto"/>
          <w:szCs w:val="21"/>
          <w:highlight w:val="none"/>
        </w:rPr>
      </w:pPr>
      <w:r>
        <w:rPr>
          <w:rFonts w:hint="eastAsia" w:ascii="宋体" w:hAnsi="宋体" w:eastAsia="宋体" w:cs="宋体"/>
          <w:b/>
          <w:color w:val="auto"/>
          <w:szCs w:val="21"/>
          <w:highlight w:val="none"/>
        </w:rPr>
        <w:t>项目名称：</w:t>
      </w:r>
    </w:p>
    <w:tbl>
      <w:tblPr>
        <w:tblStyle w:val="38"/>
        <w:tblpPr w:leftFromText="180" w:rightFromText="180" w:vertAnchor="text" w:horzAnchor="page" w:tblpX="1518" w:tblpY="217"/>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69"/>
        <w:gridCol w:w="4602"/>
        <w:gridCol w:w="719"/>
        <w:gridCol w:w="719"/>
        <w:gridCol w:w="764"/>
      </w:tblGrid>
      <w:tr w14:paraId="46E1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84" w:type="dxa"/>
            <w:vMerge w:val="restart"/>
            <w:noWrap w:val="0"/>
            <w:vAlign w:val="center"/>
          </w:tcPr>
          <w:p w14:paraId="0E8D167C">
            <w:pPr>
              <w:tabs>
                <w:tab w:val="left" w:pos="720"/>
              </w:tabs>
              <w:adjustRightInd w:val="0"/>
              <w:snapToGrid w:val="0"/>
              <w:spacing w:after="0" w:line="40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编号</w:t>
            </w:r>
          </w:p>
        </w:tc>
        <w:tc>
          <w:tcPr>
            <w:tcW w:w="6471" w:type="dxa"/>
            <w:gridSpan w:val="2"/>
            <w:tcBorders>
              <w:tl2br w:val="single" w:color="auto" w:sz="4" w:space="0"/>
            </w:tcBorders>
            <w:noWrap w:val="0"/>
            <w:vAlign w:val="center"/>
          </w:tcPr>
          <w:p w14:paraId="6DD089C2">
            <w:pPr>
              <w:tabs>
                <w:tab w:val="left" w:pos="720"/>
              </w:tabs>
              <w:adjustRightInd w:val="0"/>
              <w:snapToGrid w:val="0"/>
              <w:spacing w:after="0" w:line="400" w:lineRule="exact"/>
              <w:ind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14:paraId="5483D2ED">
            <w:pPr>
              <w:tabs>
                <w:tab w:val="left" w:pos="720"/>
              </w:tabs>
              <w:adjustRightInd w:val="0"/>
              <w:snapToGrid w:val="0"/>
              <w:spacing w:after="0" w:line="40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审查项目</w:t>
            </w:r>
          </w:p>
        </w:tc>
        <w:tc>
          <w:tcPr>
            <w:tcW w:w="719" w:type="dxa"/>
            <w:noWrap w:val="0"/>
            <w:vAlign w:val="center"/>
          </w:tcPr>
          <w:p w14:paraId="70350D06">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44849490">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1E20E444">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690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84" w:type="dxa"/>
            <w:vMerge w:val="continue"/>
            <w:noWrap w:val="0"/>
            <w:vAlign w:val="center"/>
          </w:tcPr>
          <w:p w14:paraId="580F9208">
            <w:pPr>
              <w:tabs>
                <w:tab w:val="left" w:pos="720"/>
              </w:tabs>
              <w:adjustRightInd w:val="0"/>
              <w:snapToGrid w:val="0"/>
              <w:spacing w:line="400" w:lineRule="exact"/>
              <w:jc w:val="both"/>
              <w:rPr>
                <w:rFonts w:ascii="宋体" w:hAnsi="宋体" w:eastAsia="宋体"/>
                <w:color w:val="auto"/>
                <w:sz w:val="21"/>
                <w:szCs w:val="21"/>
                <w:highlight w:val="none"/>
              </w:rPr>
            </w:pPr>
          </w:p>
        </w:tc>
        <w:tc>
          <w:tcPr>
            <w:tcW w:w="1869" w:type="dxa"/>
            <w:noWrap w:val="0"/>
            <w:vAlign w:val="center"/>
          </w:tcPr>
          <w:p w14:paraId="33B9A648">
            <w:pPr>
              <w:adjustRightInd w:val="0"/>
              <w:snapToGrid w:val="0"/>
              <w:spacing w:after="0" w:line="40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4602" w:type="dxa"/>
            <w:noWrap w:val="0"/>
            <w:vAlign w:val="center"/>
          </w:tcPr>
          <w:p w14:paraId="576EA55C">
            <w:pPr>
              <w:adjustRightInd w:val="0"/>
              <w:snapToGrid w:val="0"/>
              <w:spacing w:after="0" w:line="400" w:lineRule="exact"/>
              <w:jc w:val="both"/>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评审标准</w:t>
            </w:r>
          </w:p>
        </w:tc>
        <w:tc>
          <w:tcPr>
            <w:tcW w:w="719" w:type="dxa"/>
            <w:noWrap w:val="0"/>
            <w:vAlign w:val="center"/>
          </w:tcPr>
          <w:p w14:paraId="4D6D3FE8">
            <w:pPr>
              <w:tabs>
                <w:tab w:val="left" w:pos="720"/>
              </w:tabs>
              <w:adjustRightInd w:val="0"/>
              <w:snapToGrid w:val="0"/>
              <w:spacing w:line="400" w:lineRule="exact"/>
              <w:jc w:val="both"/>
              <w:rPr>
                <w:rFonts w:ascii="宋体" w:hAnsi="宋体" w:eastAsia="宋体"/>
                <w:color w:val="auto"/>
                <w:sz w:val="21"/>
                <w:szCs w:val="21"/>
                <w:highlight w:val="none"/>
              </w:rPr>
            </w:pPr>
          </w:p>
        </w:tc>
        <w:tc>
          <w:tcPr>
            <w:tcW w:w="719" w:type="dxa"/>
            <w:noWrap w:val="0"/>
            <w:vAlign w:val="center"/>
          </w:tcPr>
          <w:p w14:paraId="2D630B70">
            <w:pPr>
              <w:tabs>
                <w:tab w:val="left" w:pos="720"/>
              </w:tabs>
              <w:adjustRightInd w:val="0"/>
              <w:snapToGrid w:val="0"/>
              <w:spacing w:line="400" w:lineRule="exact"/>
              <w:jc w:val="both"/>
              <w:rPr>
                <w:rFonts w:ascii="宋体" w:hAnsi="宋体" w:eastAsia="宋体"/>
                <w:color w:val="auto"/>
                <w:sz w:val="21"/>
                <w:szCs w:val="21"/>
                <w:highlight w:val="none"/>
              </w:rPr>
            </w:pPr>
          </w:p>
        </w:tc>
        <w:tc>
          <w:tcPr>
            <w:tcW w:w="764" w:type="dxa"/>
            <w:noWrap w:val="0"/>
            <w:vAlign w:val="center"/>
          </w:tcPr>
          <w:p w14:paraId="3B5DEE3E">
            <w:pPr>
              <w:tabs>
                <w:tab w:val="left" w:pos="720"/>
              </w:tabs>
              <w:adjustRightInd w:val="0"/>
              <w:snapToGrid w:val="0"/>
              <w:spacing w:line="400" w:lineRule="exact"/>
              <w:jc w:val="both"/>
              <w:rPr>
                <w:rFonts w:ascii="宋体" w:hAnsi="宋体" w:eastAsia="宋体"/>
                <w:color w:val="auto"/>
                <w:sz w:val="21"/>
                <w:szCs w:val="21"/>
                <w:highlight w:val="none"/>
              </w:rPr>
            </w:pPr>
          </w:p>
        </w:tc>
      </w:tr>
      <w:tr w14:paraId="58F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84" w:type="dxa"/>
            <w:noWrap w:val="0"/>
            <w:vAlign w:val="center"/>
          </w:tcPr>
          <w:p w14:paraId="0436E389">
            <w:pPr>
              <w:tabs>
                <w:tab w:val="left" w:pos="720"/>
              </w:tabs>
              <w:adjustRightInd w:val="0"/>
              <w:snapToGrid w:val="0"/>
              <w:spacing w:after="0" w:line="40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869" w:type="dxa"/>
            <w:noWrap w:val="0"/>
            <w:vAlign w:val="center"/>
          </w:tcPr>
          <w:p w14:paraId="68F51EDE">
            <w:pPr>
              <w:adjustRightInd w:val="0"/>
              <w:snapToGrid w:val="0"/>
              <w:spacing w:after="0" w:line="40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事业单位法人证书或营业执照</w:t>
            </w:r>
          </w:p>
        </w:tc>
        <w:tc>
          <w:tcPr>
            <w:tcW w:w="4602" w:type="dxa"/>
            <w:noWrap w:val="0"/>
            <w:vAlign w:val="center"/>
          </w:tcPr>
          <w:p w14:paraId="10549C86">
            <w:pPr>
              <w:adjustRightInd w:val="0"/>
              <w:snapToGrid w:val="0"/>
              <w:spacing w:after="0" w:line="400" w:lineRule="exact"/>
              <w:jc w:val="both"/>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符合第二章“投标人须知”第 3.5.1 项规定，具备有效的营业执照</w:t>
            </w:r>
          </w:p>
        </w:tc>
        <w:tc>
          <w:tcPr>
            <w:tcW w:w="719" w:type="dxa"/>
            <w:noWrap w:val="0"/>
            <w:vAlign w:val="center"/>
          </w:tcPr>
          <w:p w14:paraId="4C69C47B">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110E1705">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0F43D941">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1FE2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4" w:type="dxa"/>
            <w:noWrap w:val="0"/>
            <w:vAlign w:val="center"/>
          </w:tcPr>
          <w:p w14:paraId="69DBE265">
            <w:pPr>
              <w:tabs>
                <w:tab w:val="left" w:pos="720"/>
              </w:tabs>
              <w:adjustRightInd w:val="0"/>
              <w:snapToGrid w:val="0"/>
              <w:spacing w:after="0" w:line="40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869" w:type="dxa"/>
            <w:noWrap w:val="0"/>
            <w:vAlign w:val="center"/>
          </w:tcPr>
          <w:p w14:paraId="11BE1C55">
            <w:pPr>
              <w:adjustRightInd w:val="0"/>
              <w:snapToGrid w:val="0"/>
              <w:spacing w:after="0" w:line="40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4602" w:type="dxa"/>
            <w:noWrap w:val="0"/>
            <w:vAlign w:val="center"/>
          </w:tcPr>
          <w:p w14:paraId="049DDA1A">
            <w:pPr>
              <w:adjustRightInd w:val="0"/>
              <w:snapToGrid w:val="0"/>
              <w:spacing w:after="0" w:line="400" w:lineRule="exact"/>
              <w:jc w:val="both"/>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符合第二章“投标人须知”第 1.4.1 项规定</w:t>
            </w:r>
          </w:p>
        </w:tc>
        <w:tc>
          <w:tcPr>
            <w:tcW w:w="719" w:type="dxa"/>
            <w:noWrap w:val="0"/>
            <w:vAlign w:val="center"/>
          </w:tcPr>
          <w:p w14:paraId="51189AFA">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100E3D88">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5504BA1F">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2389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4" w:type="dxa"/>
            <w:noWrap w:val="0"/>
            <w:vAlign w:val="center"/>
          </w:tcPr>
          <w:p w14:paraId="1D4648F6">
            <w:pPr>
              <w:tabs>
                <w:tab w:val="left" w:pos="720"/>
              </w:tabs>
              <w:adjustRightInd w:val="0"/>
              <w:snapToGrid w:val="0"/>
              <w:spacing w:after="0" w:line="40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869" w:type="dxa"/>
            <w:noWrap w:val="0"/>
            <w:vAlign w:val="center"/>
          </w:tcPr>
          <w:p w14:paraId="0BDECE94">
            <w:pPr>
              <w:adjustRightInd w:val="0"/>
              <w:snapToGrid w:val="0"/>
              <w:spacing w:after="0" w:line="40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4602" w:type="dxa"/>
            <w:noWrap w:val="0"/>
            <w:vAlign w:val="center"/>
          </w:tcPr>
          <w:p w14:paraId="41046689">
            <w:pPr>
              <w:adjustRightInd w:val="0"/>
              <w:snapToGrid w:val="0"/>
              <w:spacing w:after="0" w:line="400" w:lineRule="exact"/>
              <w:jc w:val="both"/>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 xml:space="preserve">符合第二章“投标人须知”第 1.4.1 项规定 </w:t>
            </w:r>
          </w:p>
        </w:tc>
        <w:tc>
          <w:tcPr>
            <w:tcW w:w="719" w:type="dxa"/>
            <w:noWrap w:val="0"/>
            <w:vAlign w:val="center"/>
          </w:tcPr>
          <w:p w14:paraId="053CC9E5">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659392C5">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1AD5B107">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4A6E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84" w:type="dxa"/>
            <w:noWrap w:val="0"/>
            <w:vAlign w:val="center"/>
          </w:tcPr>
          <w:p w14:paraId="60C6C21A">
            <w:pPr>
              <w:tabs>
                <w:tab w:val="left" w:pos="720"/>
              </w:tabs>
              <w:adjustRightInd w:val="0"/>
              <w:snapToGrid w:val="0"/>
              <w:spacing w:after="0" w:line="40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1869" w:type="dxa"/>
            <w:noWrap w:val="0"/>
            <w:vAlign w:val="center"/>
          </w:tcPr>
          <w:p w14:paraId="75207C73">
            <w:pPr>
              <w:adjustRightInd w:val="0"/>
              <w:snapToGrid w:val="0"/>
              <w:spacing w:after="0" w:line="400" w:lineRule="exact"/>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4602" w:type="dxa"/>
            <w:noWrap w:val="0"/>
            <w:vAlign w:val="center"/>
          </w:tcPr>
          <w:p w14:paraId="205F2F84">
            <w:pPr>
              <w:adjustRightInd w:val="0"/>
              <w:snapToGrid w:val="0"/>
              <w:spacing w:after="0" w:line="400" w:lineRule="exact"/>
              <w:jc w:val="both"/>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不存在第二章“投标人须知”第 1.4.3项规定的任何一种情形</w:t>
            </w:r>
          </w:p>
        </w:tc>
        <w:tc>
          <w:tcPr>
            <w:tcW w:w="719" w:type="dxa"/>
            <w:noWrap w:val="0"/>
            <w:vAlign w:val="center"/>
          </w:tcPr>
          <w:p w14:paraId="4822DAAA">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71909813">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0A81E8FA">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5DDF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4" w:type="dxa"/>
            <w:noWrap w:val="0"/>
            <w:vAlign w:val="center"/>
          </w:tcPr>
          <w:p w14:paraId="1B8ABE8A">
            <w:pPr>
              <w:tabs>
                <w:tab w:val="left" w:pos="720"/>
              </w:tabs>
              <w:adjustRightInd w:val="0"/>
              <w:snapToGrid w:val="0"/>
              <w:spacing w:after="0" w:line="40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1869" w:type="dxa"/>
            <w:noWrap w:val="0"/>
            <w:vAlign w:val="center"/>
          </w:tcPr>
          <w:p w14:paraId="304DDECC">
            <w:pPr>
              <w:adjustRightInd w:val="0"/>
              <w:snapToGrid w:val="0"/>
              <w:spacing w:after="0" w:line="400" w:lineRule="exact"/>
              <w:jc w:val="both"/>
              <w:rPr>
                <w:rFonts w:ascii="宋体" w:hAnsi="宋体" w:eastAsia="宋体"/>
                <w:color w:val="auto"/>
                <w:sz w:val="21"/>
                <w:szCs w:val="21"/>
                <w:highlight w:val="none"/>
              </w:rPr>
            </w:pPr>
            <w:r>
              <w:rPr>
                <w:rFonts w:ascii="宋体" w:hAnsi="宋体" w:eastAsia="宋体" w:cs="宋体"/>
                <w:color w:val="auto"/>
                <w:sz w:val="21"/>
                <w:szCs w:val="21"/>
                <w:highlight w:val="none"/>
              </w:rPr>
              <w:t>其他要求</w:t>
            </w:r>
          </w:p>
        </w:tc>
        <w:tc>
          <w:tcPr>
            <w:tcW w:w="4602" w:type="dxa"/>
            <w:noWrap w:val="0"/>
            <w:vAlign w:val="center"/>
          </w:tcPr>
          <w:p w14:paraId="6E34A5A8">
            <w:pPr>
              <w:adjustRightInd w:val="0"/>
              <w:snapToGrid w:val="0"/>
              <w:spacing w:after="0" w:line="400" w:lineRule="exact"/>
              <w:jc w:val="both"/>
              <w:rPr>
                <w:rFonts w:ascii="宋体" w:hAnsi="宋体" w:eastAsia="宋体"/>
                <w:color w:val="auto"/>
                <w:sz w:val="21"/>
                <w:szCs w:val="21"/>
                <w:highlight w:val="none"/>
              </w:rPr>
            </w:pPr>
            <w:r>
              <w:rPr>
                <w:rFonts w:ascii="宋体" w:hAnsi="宋体" w:eastAsia="宋体" w:cs="宋体"/>
                <w:color w:val="auto"/>
                <w:sz w:val="21"/>
                <w:szCs w:val="21"/>
                <w:highlight w:val="none"/>
              </w:rPr>
              <w:t>符合第二章</w:t>
            </w:r>
            <w:r>
              <w:rPr>
                <w:rFonts w:ascii="宋体" w:hAnsi="宋体" w:eastAsia="宋体" w:cs="Times New Roman"/>
                <w:color w:val="auto"/>
                <w:sz w:val="21"/>
                <w:szCs w:val="21"/>
                <w:highlight w:val="none"/>
              </w:rPr>
              <w:t>“</w:t>
            </w:r>
            <w:r>
              <w:rPr>
                <w:rFonts w:ascii="宋体" w:hAnsi="宋体" w:eastAsia="宋体" w:cs="宋体"/>
                <w:color w:val="auto"/>
                <w:sz w:val="21"/>
                <w:szCs w:val="21"/>
                <w:highlight w:val="none"/>
              </w:rPr>
              <w:t>投标人须知</w:t>
            </w:r>
            <w:r>
              <w:rPr>
                <w:rFonts w:ascii="宋体" w:hAnsi="宋体" w:eastAsia="宋体" w:cs="Times New Roman"/>
                <w:color w:val="auto"/>
                <w:sz w:val="21"/>
                <w:szCs w:val="21"/>
                <w:highlight w:val="none"/>
              </w:rPr>
              <w:t>”</w:t>
            </w:r>
            <w:r>
              <w:rPr>
                <w:rFonts w:ascii="宋体" w:hAnsi="宋体" w:eastAsia="宋体" w:cs="宋体"/>
                <w:color w:val="auto"/>
                <w:sz w:val="21"/>
                <w:szCs w:val="21"/>
                <w:highlight w:val="none"/>
              </w:rPr>
              <w:t xml:space="preserve">第 </w:t>
            </w:r>
            <w:r>
              <w:rPr>
                <w:rFonts w:ascii="宋体" w:hAnsi="宋体" w:eastAsia="宋体" w:cs="Times New Roman"/>
                <w:color w:val="auto"/>
                <w:sz w:val="21"/>
                <w:szCs w:val="21"/>
                <w:highlight w:val="none"/>
              </w:rPr>
              <w:t xml:space="preserve">1.4.1 </w:t>
            </w:r>
            <w:r>
              <w:rPr>
                <w:rFonts w:ascii="宋体" w:hAnsi="宋体" w:eastAsia="宋体" w:cs="宋体"/>
                <w:color w:val="auto"/>
                <w:sz w:val="21"/>
                <w:szCs w:val="21"/>
                <w:highlight w:val="none"/>
              </w:rPr>
              <w:t>项规定</w:t>
            </w:r>
          </w:p>
        </w:tc>
        <w:tc>
          <w:tcPr>
            <w:tcW w:w="719" w:type="dxa"/>
            <w:noWrap w:val="0"/>
            <w:vAlign w:val="center"/>
          </w:tcPr>
          <w:p w14:paraId="3C7213F3">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7E996896">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7C047C87">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67D8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4" w:type="dxa"/>
            <w:noWrap w:val="0"/>
            <w:vAlign w:val="center"/>
          </w:tcPr>
          <w:p w14:paraId="74998F82">
            <w:pPr>
              <w:tabs>
                <w:tab w:val="left" w:pos="720"/>
              </w:tabs>
              <w:adjustRightInd w:val="0"/>
              <w:snapToGrid w:val="0"/>
              <w:spacing w:after="0" w:line="40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1869" w:type="dxa"/>
            <w:noWrap w:val="0"/>
            <w:vAlign w:val="center"/>
          </w:tcPr>
          <w:p w14:paraId="56543B3C">
            <w:pPr>
              <w:adjustRightInd w:val="0"/>
              <w:snapToGrid w:val="0"/>
              <w:spacing w:after="0" w:line="400" w:lineRule="exact"/>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联合体投标人</w:t>
            </w:r>
          </w:p>
        </w:tc>
        <w:tc>
          <w:tcPr>
            <w:tcW w:w="4602" w:type="dxa"/>
            <w:noWrap w:val="0"/>
            <w:vAlign w:val="center"/>
          </w:tcPr>
          <w:p w14:paraId="3B86B844">
            <w:pPr>
              <w:adjustRightInd w:val="0"/>
              <w:snapToGrid w:val="0"/>
              <w:spacing w:after="0" w:line="400" w:lineRule="exact"/>
              <w:jc w:val="both"/>
              <w:rPr>
                <w:rFonts w:hint="eastAsia" w:ascii="宋体" w:hAnsi="宋体" w:eastAsia="宋体"/>
                <w:color w:val="auto"/>
                <w:sz w:val="21"/>
                <w:szCs w:val="21"/>
                <w:highlight w:val="none"/>
              </w:rPr>
            </w:pPr>
            <w:r>
              <w:rPr>
                <w:rFonts w:hint="eastAsia" w:ascii="宋体" w:hAnsi="宋体" w:eastAsia="宋体" w:cs="宋体"/>
                <w:bCs/>
                <w:color w:val="auto"/>
                <w:sz w:val="21"/>
                <w:szCs w:val="21"/>
                <w:highlight w:val="none"/>
                <w:u w:val="single"/>
              </w:rPr>
              <w:t>不接受联合体投标</w:t>
            </w:r>
          </w:p>
        </w:tc>
        <w:tc>
          <w:tcPr>
            <w:tcW w:w="719" w:type="dxa"/>
            <w:noWrap w:val="0"/>
            <w:vAlign w:val="center"/>
          </w:tcPr>
          <w:p w14:paraId="235902B2">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160733DE">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0F8E672C">
            <w:pPr>
              <w:tabs>
                <w:tab w:val="left" w:pos="720"/>
              </w:tabs>
              <w:adjustRightInd w:val="0"/>
              <w:snapToGrid w:val="0"/>
              <w:spacing w:after="0" w:line="400" w:lineRule="exact"/>
              <w:jc w:val="both"/>
              <w:rPr>
                <w:rFonts w:ascii="宋体" w:hAnsi="宋体" w:eastAsia="宋体"/>
                <w:color w:val="auto"/>
                <w:sz w:val="21"/>
                <w:szCs w:val="21"/>
                <w:highlight w:val="none"/>
              </w:rPr>
            </w:pPr>
          </w:p>
        </w:tc>
      </w:tr>
      <w:tr w14:paraId="1955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center"/>
          </w:tcPr>
          <w:p w14:paraId="735DE27C">
            <w:pPr>
              <w:tabs>
                <w:tab w:val="left" w:pos="720"/>
              </w:tabs>
              <w:adjustRightInd w:val="0"/>
              <w:snapToGrid w:val="0"/>
              <w:spacing w:after="0" w:line="40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结论</w:t>
            </w:r>
          </w:p>
        </w:tc>
        <w:tc>
          <w:tcPr>
            <w:tcW w:w="6471" w:type="dxa"/>
            <w:gridSpan w:val="2"/>
            <w:noWrap w:val="0"/>
            <w:vAlign w:val="center"/>
          </w:tcPr>
          <w:p w14:paraId="2D6ED83D">
            <w:pPr>
              <w:tabs>
                <w:tab w:val="left" w:pos="720"/>
              </w:tabs>
              <w:adjustRightInd w:val="0"/>
              <w:snapToGrid w:val="0"/>
              <w:spacing w:after="0" w:line="40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是否通过并进入下一阶段评审</w:t>
            </w:r>
          </w:p>
        </w:tc>
        <w:tc>
          <w:tcPr>
            <w:tcW w:w="719" w:type="dxa"/>
            <w:noWrap w:val="0"/>
            <w:vAlign w:val="center"/>
          </w:tcPr>
          <w:p w14:paraId="00B6CDED">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19" w:type="dxa"/>
            <w:noWrap w:val="0"/>
            <w:vAlign w:val="center"/>
          </w:tcPr>
          <w:p w14:paraId="66D3C05A">
            <w:pPr>
              <w:tabs>
                <w:tab w:val="left" w:pos="720"/>
              </w:tabs>
              <w:adjustRightInd w:val="0"/>
              <w:snapToGrid w:val="0"/>
              <w:spacing w:after="0" w:line="400" w:lineRule="exact"/>
              <w:jc w:val="both"/>
              <w:rPr>
                <w:rFonts w:ascii="宋体" w:hAnsi="宋体" w:eastAsia="宋体"/>
                <w:color w:val="auto"/>
                <w:sz w:val="21"/>
                <w:szCs w:val="21"/>
                <w:highlight w:val="none"/>
              </w:rPr>
            </w:pPr>
          </w:p>
        </w:tc>
        <w:tc>
          <w:tcPr>
            <w:tcW w:w="764" w:type="dxa"/>
            <w:noWrap w:val="0"/>
            <w:vAlign w:val="center"/>
          </w:tcPr>
          <w:p w14:paraId="771FCAEA">
            <w:pPr>
              <w:tabs>
                <w:tab w:val="left" w:pos="720"/>
              </w:tabs>
              <w:adjustRightInd w:val="0"/>
              <w:snapToGrid w:val="0"/>
              <w:spacing w:after="0" w:line="400" w:lineRule="exact"/>
              <w:jc w:val="both"/>
              <w:rPr>
                <w:rFonts w:ascii="宋体" w:hAnsi="宋体" w:eastAsia="宋体"/>
                <w:color w:val="auto"/>
                <w:sz w:val="21"/>
                <w:szCs w:val="21"/>
                <w:highlight w:val="none"/>
              </w:rPr>
            </w:pPr>
          </w:p>
        </w:tc>
      </w:tr>
    </w:tbl>
    <w:p w14:paraId="3245D850">
      <w:pPr>
        <w:tabs>
          <w:tab w:val="left" w:pos="720"/>
        </w:tabs>
        <w:adjustRightInd w:val="0"/>
        <w:snapToGrid w:val="0"/>
        <w:spacing w:after="0" w:line="400" w:lineRule="exact"/>
        <w:rPr>
          <w:rFonts w:hint="eastAsia" w:ascii="宋体" w:hAnsi="宋体" w:eastAsia="宋体"/>
          <w:color w:val="auto"/>
          <w:sz w:val="21"/>
          <w:szCs w:val="21"/>
          <w:highlight w:val="none"/>
        </w:rPr>
      </w:pPr>
    </w:p>
    <w:p w14:paraId="21A19AF6">
      <w:pPr>
        <w:tabs>
          <w:tab w:val="left" w:pos="720"/>
        </w:tabs>
        <w:adjustRightInd w:val="0"/>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备注：1、“是否通过并进入下一阶段评审”一栏应写“通过”“不通过”。</w:t>
      </w:r>
    </w:p>
    <w:p w14:paraId="27DCE906">
      <w:pPr>
        <w:tabs>
          <w:tab w:val="left" w:pos="720"/>
        </w:tabs>
        <w:adjustRightInd w:val="0"/>
        <w:snapToGrid w:val="0"/>
        <w:spacing w:after="0" w:line="400" w:lineRule="exact"/>
        <w:ind w:firstLine="632" w:firstLineChars="300"/>
        <w:rPr>
          <w:rFonts w:ascii="宋体" w:hAnsi="宋体" w:eastAsia="宋体"/>
          <w:b/>
          <w:color w:val="auto"/>
          <w:sz w:val="21"/>
          <w:szCs w:val="21"/>
          <w:highlight w:val="none"/>
        </w:rPr>
      </w:pPr>
      <w:r>
        <w:rPr>
          <w:rFonts w:hint="eastAsia" w:ascii="宋体" w:hAnsi="宋体" w:eastAsia="宋体"/>
          <w:b/>
          <w:color w:val="auto"/>
          <w:sz w:val="21"/>
          <w:szCs w:val="21"/>
          <w:highlight w:val="none"/>
        </w:rPr>
        <w:t>2、符合要求的打“○”，不符合的打“×”。</w:t>
      </w:r>
    </w:p>
    <w:p w14:paraId="771B2632">
      <w:pPr>
        <w:tabs>
          <w:tab w:val="left" w:pos="720"/>
        </w:tabs>
        <w:adjustRightInd w:val="0"/>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3、经评标委员会审核后，出现一个“×”的结论为“不通过”，即按废标处理。</w:t>
      </w:r>
    </w:p>
    <w:p w14:paraId="13A07D85">
      <w:pPr>
        <w:tabs>
          <w:tab w:val="left" w:pos="720"/>
        </w:tabs>
        <w:adjustRightInd w:val="0"/>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4、表中全部条件满足为“通过”，同意进入下一阶段评审。</w:t>
      </w:r>
    </w:p>
    <w:p w14:paraId="4C01C027">
      <w:pPr>
        <w:tabs>
          <w:tab w:val="left" w:pos="720"/>
        </w:tabs>
        <w:adjustRightInd w:val="0"/>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5、若评委意见不一致时，则按少数服从多数的原则，决定该投标人是否通过符合性审查，进入下一阶段评审。</w:t>
      </w:r>
    </w:p>
    <w:p w14:paraId="7D43E897">
      <w:pPr>
        <w:adjustRightInd w:val="0"/>
        <w:snapToGrid w:val="0"/>
        <w:spacing w:after="0" w:line="400" w:lineRule="exact"/>
        <w:ind w:firstLine="420" w:firstLineChars="20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评委签名：             日期：</w:t>
      </w:r>
      <w:r>
        <w:rPr>
          <w:rFonts w:ascii="宋体" w:hAnsi="宋体" w:eastAsia="宋体"/>
          <w:color w:val="auto"/>
          <w:sz w:val="21"/>
          <w:szCs w:val="21"/>
          <w:highlight w:val="none"/>
        </w:rPr>
        <w:t xml:space="preserve"> </w:t>
      </w:r>
    </w:p>
    <w:p w14:paraId="1ED6FF56">
      <w:pPr>
        <w:pStyle w:val="4"/>
        <w:spacing w:after="0" w:line="413" w:lineRule="auto"/>
        <w:rPr>
          <w:rFonts w:ascii="宋体" w:hAnsi="宋体" w:eastAsia="宋体" w:cs="宋体"/>
          <w:color w:val="auto"/>
          <w:sz w:val="30"/>
          <w:szCs w:val="30"/>
          <w:highlight w:val="none"/>
        </w:rPr>
      </w:pPr>
      <w:r>
        <w:rPr>
          <w:rFonts w:hint="eastAsia" w:ascii="宋体" w:hAnsi="宋体" w:eastAsia="宋体" w:cs="宋体"/>
          <w:color w:val="auto"/>
          <w:szCs w:val="21"/>
          <w:highlight w:val="none"/>
        </w:rPr>
        <w:br w:type="page"/>
      </w:r>
      <w:bookmarkStart w:id="173" w:name="_Toc9797"/>
      <w:r>
        <w:rPr>
          <w:rFonts w:hint="eastAsia" w:ascii="宋体" w:hAnsi="宋体" w:eastAsia="宋体" w:cs="宋体"/>
          <w:color w:val="auto"/>
          <w:sz w:val="30"/>
          <w:szCs w:val="30"/>
          <w:highlight w:val="none"/>
        </w:rPr>
        <w:t>附表二：形式评审表</w:t>
      </w:r>
      <w:bookmarkEnd w:id="173"/>
    </w:p>
    <w:p w14:paraId="7498586C">
      <w:pPr>
        <w:spacing w:line="360" w:lineRule="auto"/>
        <w:ind w:firstLine="560" w:firstLineChars="200"/>
        <w:jc w:val="cente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t>形式评审表</w:t>
      </w:r>
    </w:p>
    <w:p w14:paraId="7B6B8F35">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项目名称：</w:t>
      </w:r>
    </w:p>
    <w:tbl>
      <w:tblPr>
        <w:tblStyle w:val="38"/>
        <w:tblpPr w:leftFromText="180" w:rightFromText="180" w:vertAnchor="text" w:horzAnchor="margin" w:tblpY="13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240"/>
        <w:gridCol w:w="3319"/>
        <w:gridCol w:w="849"/>
        <w:gridCol w:w="900"/>
        <w:gridCol w:w="898"/>
      </w:tblGrid>
      <w:tr w14:paraId="5A6C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7" w:type="pct"/>
            <w:noWrap w:val="0"/>
            <w:vAlign w:val="center"/>
          </w:tcPr>
          <w:p w14:paraId="71A321FB">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编号</w:t>
            </w:r>
          </w:p>
        </w:tc>
        <w:tc>
          <w:tcPr>
            <w:tcW w:w="3237" w:type="pct"/>
            <w:gridSpan w:val="2"/>
            <w:tcBorders>
              <w:tl2br w:val="single" w:color="auto" w:sz="4" w:space="0"/>
            </w:tcBorders>
            <w:noWrap w:val="0"/>
            <w:vAlign w:val="center"/>
          </w:tcPr>
          <w:p w14:paraId="19E983B7">
            <w:pPr>
              <w:tabs>
                <w:tab w:val="left" w:pos="720"/>
              </w:tabs>
              <w:snapToGrid w:val="0"/>
              <w:spacing w:after="0" w:line="400" w:lineRule="exact"/>
              <w:ind w:firstLine="4410" w:firstLineChars="21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14:paraId="6763378D">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评审项目</w:t>
            </w:r>
          </w:p>
        </w:tc>
        <w:tc>
          <w:tcPr>
            <w:tcW w:w="419" w:type="pct"/>
            <w:noWrap w:val="0"/>
            <w:vAlign w:val="center"/>
          </w:tcPr>
          <w:p w14:paraId="060D2042">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0080CA63">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14F77E8F">
            <w:pPr>
              <w:tabs>
                <w:tab w:val="left" w:pos="720"/>
              </w:tabs>
              <w:snapToGrid w:val="0"/>
              <w:spacing w:after="0" w:line="400" w:lineRule="exact"/>
              <w:jc w:val="center"/>
              <w:rPr>
                <w:rFonts w:ascii="宋体" w:hAnsi="宋体" w:eastAsia="宋体"/>
                <w:color w:val="auto"/>
                <w:sz w:val="21"/>
                <w:szCs w:val="21"/>
                <w:highlight w:val="none"/>
              </w:rPr>
            </w:pPr>
          </w:p>
        </w:tc>
      </w:tr>
      <w:tr w14:paraId="1381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57" w:type="pct"/>
            <w:noWrap w:val="0"/>
            <w:vAlign w:val="center"/>
          </w:tcPr>
          <w:p w14:paraId="58EC1749">
            <w:pPr>
              <w:tabs>
                <w:tab w:val="left" w:pos="720"/>
              </w:tabs>
              <w:snapToGrid w:val="0"/>
              <w:spacing w:after="0" w:line="400" w:lineRule="exact"/>
              <w:jc w:val="center"/>
              <w:rPr>
                <w:rFonts w:ascii="宋体" w:hAnsi="宋体" w:eastAsia="宋体"/>
                <w:color w:val="auto"/>
                <w:sz w:val="21"/>
                <w:szCs w:val="21"/>
                <w:highlight w:val="none"/>
              </w:rPr>
            </w:pPr>
          </w:p>
        </w:tc>
        <w:tc>
          <w:tcPr>
            <w:tcW w:w="1599" w:type="pct"/>
            <w:noWrap w:val="0"/>
            <w:vAlign w:val="center"/>
          </w:tcPr>
          <w:p w14:paraId="778CDCCA">
            <w:pPr>
              <w:adjustRightInd w:val="0"/>
              <w:snapToGrid w:val="0"/>
              <w:spacing w:after="0"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1638" w:type="pct"/>
            <w:noWrap w:val="0"/>
            <w:vAlign w:val="center"/>
          </w:tcPr>
          <w:p w14:paraId="5A5315B9">
            <w:pPr>
              <w:adjustRightInd w:val="0"/>
              <w:snapToGrid w:val="0"/>
              <w:spacing w:after="0" w:line="400" w:lineRule="exact"/>
              <w:jc w:val="center"/>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评审标准</w:t>
            </w:r>
          </w:p>
        </w:tc>
        <w:tc>
          <w:tcPr>
            <w:tcW w:w="419" w:type="pct"/>
            <w:noWrap w:val="0"/>
            <w:vAlign w:val="center"/>
          </w:tcPr>
          <w:p w14:paraId="53BAC0C7">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4885B494">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7D42770C">
            <w:pPr>
              <w:tabs>
                <w:tab w:val="left" w:pos="720"/>
              </w:tabs>
              <w:snapToGrid w:val="0"/>
              <w:spacing w:after="0" w:line="400" w:lineRule="exact"/>
              <w:jc w:val="center"/>
              <w:rPr>
                <w:rFonts w:ascii="宋体" w:hAnsi="宋体" w:eastAsia="宋体"/>
                <w:color w:val="auto"/>
                <w:sz w:val="21"/>
                <w:szCs w:val="21"/>
                <w:highlight w:val="none"/>
              </w:rPr>
            </w:pPr>
          </w:p>
        </w:tc>
      </w:tr>
      <w:tr w14:paraId="617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57" w:type="pct"/>
            <w:noWrap w:val="0"/>
            <w:vAlign w:val="center"/>
          </w:tcPr>
          <w:p w14:paraId="58FA5268">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599" w:type="pct"/>
            <w:noWrap w:val="0"/>
            <w:vAlign w:val="center"/>
          </w:tcPr>
          <w:p w14:paraId="1DB537C2">
            <w:pPr>
              <w:autoSpaceDE w:val="0"/>
              <w:autoSpaceDN w:val="0"/>
              <w:snapToGrid w:val="0"/>
              <w:spacing w:after="0"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投标人名称</w:t>
            </w:r>
          </w:p>
        </w:tc>
        <w:tc>
          <w:tcPr>
            <w:tcW w:w="1638" w:type="pct"/>
            <w:noWrap w:val="0"/>
            <w:vAlign w:val="center"/>
          </w:tcPr>
          <w:p w14:paraId="25BB3336">
            <w:pPr>
              <w:autoSpaceDE w:val="0"/>
              <w:autoSpaceDN w:val="0"/>
              <w:snapToGrid w:val="0"/>
              <w:spacing w:after="0" w:line="400" w:lineRule="exact"/>
              <w:ind w:right="-106" w:rightChars="-48"/>
              <w:rPr>
                <w:rFonts w:ascii="宋体" w:hAnsi="宋体" w:eastAsia="宋体"/>
                <w:color w:val="auto"/>
                <w:sz w:val="21"/>
                <w:szCs w:val="21"/>
                <w:highlight w:val="none"/>
              </w:rPr>
            </w:pPr>
            <w:r>
              <w:rPr>
                <w:rFonts w:hint="eastAsia" w:ascii="宋体" w:hAnsi="宋体" w:eastAsia="宋体" w:cs="宋体"/>
                <w:color w:val="auto"/>
                <w:sz w:val="21"/>
                <w:szCs w:val="21"/>
                <w:highlight w:val="none"/>
              </w:rPr>
              <w:t>与营业执照、资质证书一致</w:t>
            </w:r>
          </w:p>
        </w:tc>
        <w:tc>
          <w:tcPr>
            <w:tcW w:w="419" w:type="pct"/>
            <w:noWrap w:val="0"/>
            <w:vAlign w:val="center"/>
          </w:tcPr>
          <w:p w14:paraId="3BFFEEBE">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0D999180">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03AD9FAD">
            <w:pPr>
              <w:tabs>
                <w:tab w:val="left" w:pos="720"/>
              </w:tabs>
              <w:snapToGrid w:val="0"/>
              <w:spacing w:after="0" w:line="400" w:lineRule="exact"/>
              <w:jc w:val="center"/>
              <w:rPr>
                <w:rFonts w:ascii="宋体" w:hAnsi="宋体" w:eastAsia="宋体"/>
                <w:color w:val="auto"/>
                <w:sz w:val="21"/>
                <w:szCs w:val="21"/>
                <w:highlight w:val="none"/>
              </w:rPr>
            </w:pPr>
          </w:p>
        </w:tc>
      </w:tr>
      <w:tr w14:paraId="5CD6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57" w:type="pct"/>
            <w:noWrap w:val="0"/>
            <w:vAlign w:val="center"/>
          </w:tcPr>
          <w:p w14:paraId="60A2E830">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599" w:type="pct"/>
            <w:noWrap w:val="0"/>
            <w:vAlign w:val="center"/>
          </w:tcPr>
          <w:p w14:paraId="24900247">
            <w:pPr>
              <w:autoSpaceDE w:val="0"/>
              <w:autoSpaceDN w:val="0"/>
              <w:snapToGrid w:val="0"/>
              <w:spacing w:after="0" w:line="400" w:lineRule="exact"/>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投标函及投标函附录签字盖章</w:t>
            </w:r>
          </w:p>
        </w:tc>
        <w:tc>
          <w:tcPr>
            <w:tcW w:w="1638" w:type="pct"/>
            <w:noWrap w:val="0"/>
            <w:vAlign w:val="center"/>
          </w:tcPr>
          <w:p w14:paraId="0668E1EC">
            <w:pPr>
              <w:autoSpaceDE w:val="0"/>
              <w:autoSpaceDN w:val="0"/>
              <w:snapToGrid w:val="0"/>
              <w:spacing w:after="0" w:line="400" w:lineRule="exact"/>
              <w:ind w:right="-106" w:rightChars="-48"/>
              <w:rPr>
                <w:rFonts w:ascii="宋体" w:hAnsi="宋体" w:eastAsia="宋体"/>
                <w:color w:val="auto"/>
                <w:sz w:val="21"/>
                <w:szCs w:val="21"/>
                <w:highlight w:val="none"/>
              </w:rPr>
            </w:pPr>
            <w:r>
              <w:rPr>
                <w:rFonts w:hint="eastAsia"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 的规定</w:t>
            </w:r>
          </w:p>
        </w:tc>
        <w:tc>
          <w:tcPr>
            <w:tcW w:w="419" w:type="pct"/>
            <w:noWrap w:val="0"/>
            <w:vAlign w:val="center"/>
          </w:tcPr>
          <w:p w14:paraId="640D5056">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7E30930C">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78BD975F">
            <w:pPr>
              <w:tabs>
                <w:tab w:val="left" w:pos="720"/>
              </w:tabs>
              <w:snapToGrid w:val="0"/>
              <w:spacing w:after="0" w:line="400" w:lineRule="exact"/>
              <w:jc w:val="center"/>
              <w:rPr>
                <w:rFonts w:ascii="宋体" w:hAnsi="宋体" w:eastAsia="宋体"/>
                <w:color w:val="auto"/>
                <w:sz w:val="21"/>
                <w:szCs w:val="21"/>
                <w:highlight w:val="none"/>
              </w:rPr>
            </w:pPr>
          </w:p>
        </w:tc>
      </w:tr>
      <w:tr w14:paraId="7A3B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noWrap w:val="0"/>
            <w:vAlign w:val="center"/>
          </w:tcPr>
          <w:p w14:paraId="5E0175C4">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599" w:type="pct"/>
            <w:noWrap w:val="0"/>
            <w:vAlign w:val="center"/>
          </w:tcPr>
          <w:p w14:paraId="788C6C98">
            <w:pPr>
              <w:snapToGrid w:val="0"/>
              <w:spacing w:after="0" w:line="400" w:lineRule="exact"/>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投标文件格式</w:t>
            </w:r>
          </w:p>
        </w:tc>
        <w:tc>
          <w:tcPr>
            <w:tcW w:w="1638" w:type="pct"/>
            <w:noWrap w:val="0"/>
            <w:vAlign w:val="center"/>
          </w:tcPr>
          <w:p w14:paraId="01F3785D">
            <w:pPr>
              <w:snapToGrid w:val="0"/>
              <w:spacing w:after="0" w:line="400" w:lineRule="exact"/>
              <w:ind w:right="-106" w:rightChars="-48"/>
              <w:rPr>
                <w:rFonts w:ascii="宋体" w:hAnsi="宋体" w:eastAsia="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c>
          <w:tcPr>
            <w:tcW w:w="419" w:type="pct"/>
            <w:noWrap w:val="0"/>
            <w:vAlign w:val="center"/>
          </w:tcPr>
          <w:p w14:paraId="49B35E68">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1C674EE0">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1B888EBC">
            <w:pPr>
              <w:tabs>
                <w:tab w:val="left" w:pos="720"/>
              </w:tabs>
              <w:snapToGrid w:val="0"/>
              <w:spacing w:after="0" w:line="400" w:lineRule="exact"/>
              <w:jc w:val="center"/>
              <w:rPr>
                <w:rFonts w:ascii="宋体" w:hAnsi="宋体" w:eastAsia="宋体"/>
                <w:color w:val="auto"/>
                <w:sz w:val="21"/>
                <w:szCs w:val="21"/>
                <w:highlight w:val="none"/>
              </w:rPr>
            </w:pPr>
          </w:p>
        </w:tc>
      </w:tr>
      <w:tr w14:paraId="18F5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57" w:type="pct"/>
            <w:noWrap w:val="0"/>
            <w:vAlign w:val="center"/>
          </w:tcPr>
          <w:p w14:paraId="2A56A854">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1599" w:type="pct"/>
            <w:noWrap w:val="0"/>
            <w:vAlign w:val="center"/>
          </w:tcPr>
          <w:p w14:paraId="1DCC91DD">
            <w:pPr>
              <w:snapToGrid w:val="0"/>
              <w:spacing w:after="0" w:line="400" w:lineRule="exact"/>
              <w:jc w:val="center"/>
              <w:rPr>
                <w:rFonts w:ascii="宋体" w:hAnsi="宋体" w:eastAsia="宋体" w:cs="宋体"/>
                <w:color w:val="auto"/>
                <w:sz w:val="21"/>
                <w:szCs w:val="21"/>
                <w:highlight w:val="none"/>
              </w:rPr>
            </w:pPr>
            <w:r>
              <w:rPr>
                <w:rFonts w:ascii="宋体" w:hAnsi="宋体" w:eastAsia="宋体"/>
                <w:color w:val="auto"/>
                <w:sz w:val="21"/>
                <w:szCs w:val="21"/>
                <w:highlight w:val="none"/>
              </w:rPr>
              <w:t>备选投标方案</w:t>
            </w:r>
          </w:p>
        </w:tc>
        <w:tc>
          <w:tcPr>
            <w:tcW w:w="1638" w:type="pct"/>
            <w:noWrap w:val="0"/>
            <w:vAlign w:val="center"/>
          </w:tcPr>
          <w:p w14:paraId="05868E37">
            <w:pPr>
              <w:snapToGrid w:val="0"/>
              <w:spacing w:after="0" w:line="400" w:lineRule="exact"/>
              <w:ind w:right="-106" w:rightChars="-48"/>
              <w:rPr>
                <w:rFonts w:ascii="宋体" w:hAnsi="宋体" w:eastAsia="宋体"/>
                <w:color w:val="auto"/>
                <w:sz w:val="21"/>
                <w:szCs w:val="21"/>
                <w:highlight w:val="none"/>
                <w:lang w:val="en-GB"/>
              </w:rPr>
            </w:pPr>
            <w:r>
              <w:rPr>
                <w:rFonts w:ascii="宋体" w:hAnsi="宋体" w:eastAsia="宋体"/>
                <w:color w:val="auto"/>
                <w:sz w:val="21"/>
                <w:szCs w:val="21"/>
                <w:highlight w:val="none"/>
              </w:rPr>
              <w:t>不允许。</w:t>
            </w:r>
          </w:p>
        </w:tc>
        <w:tc>
          <w:tcPr>
            <w:tcW w:w="419" w:type="pct"/>
            <w:noWrap w:val="0"/>
            <w:vAlign w:val="center"/>
          </w:tcPr>
          <w:p w14:paraId="6504A81E">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38426C07">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71E02A64">
            <w:pPr>
              <w:tabs>
                <w:tab w:val="left" w:pos="720"/>
              </w:tabs>
              <w:snapToGrid w:val="0"/>
              <w:spacing w:after="0" w:line="400" w:lineRule="exact"/>
              <w:jc w:val="center"/>
              <w:rPr>
                <w:rFonts w:ascii="宋体" w:hAnsi="宋体" w:eastAsia="宋体"/>
                <w:color w:val="auto"/>
                <w:sz w:val="21"/>
                <w:szCs w:val="21"/>
                <w:highlight w:val="none"/>
              </w:rPr>
            </w:pPr>
          </w:p>
        </w:tc>
      </w:tr>
      <w:tr w14:paraId="41AD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57" w:type="pct"/>
            <w:noWrap w:val="0"/>
            <w:vAlign w:val="center"/>
          </w:tcPr>
          <w:p w14:paraId="0ABCEB97">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1599" w:type="pct"/>
            <w:noWrap w:val="0"/>
            <w:vAlign w:val="center"/>
          </w:tcPr>
          <w:p w14:paraId="1B952719">
            <w:pPr>
              <w:snapToGrid w:val="0"/>
              <w:spacing w:after="0" w:line="400" w:lineRule="exact"/>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投标人机器码</w:t>
            </w:r>
          </w:p>
        </w:tc>
        <w:tc>
          <w:tcPr>
            <w:tcW w:w="1638" w:type="pct"/>
            <w:noWrap w:val="0"/>
            <w:vAlign w:val="center"/>
          </w:tcPr>
          <w:p w14:paraId="2D027B1E">
            <w:pPr>
              <w:snapToGrid w:val="0"/>
              <w:spacing w:after="0" w:line="400" w:lineRule="exact"/>
              <w:ind w:right="-106" w:rightChars="-48"/>
              <w:rPr>
                <w:rFonts w:ascii="宋体" w:hAnsi="宋体" w:eastAsia="宋体"/>
                <w:color w:val="auto"/>
                <w:sz w:val="21"/>
                <w:szCs w:val="21"/>
                <w:highlight w:val="none"/>
                <w:lang w:val="en-GB"/>
              </w:rPr>
            </w:pPr>
            <w:r>
              <w:rPr>
                <w:rFonts w:hint="eastAsia" w:ascii="宋体" w:hAnsi="宋体" w:eastAsia="宋体"/>
                <w:color w:val="auto"/>
                <w:sz w:val="21"/>
                <w:szCs w:val="21"/>
                <w:highlight w:val="none"/>
              </w:rPr>
              <w:t>不同投标人机器码相同，视为不合格</w:t>
            </w:r>
          </w:p>
        </w:tc>
        <w:tc>
          <w:tcPr>
            <w:tcW w:w="419" w:type="pct"/>
            <w:noWrap w:val="0"/>
            <w:vAlign w:val="center"/>
          </w:tcPr>
          <w:p w14:paraId="07EBD2BF">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3B997763">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76F4F098">
            <w:pPr>
              <w:tabs>
                <w:tab w:val="left" w:pos="720"/>
              </w:tabs>
              <w:snapToGrid w:val="0"/>
              <w:spacing w:after="0" w:line="400" w:lineRule="exact"/>
              <w:jc w:val="center"/>
              <w:rPr>
                <w:rFonts w:ascii="宋体" w:hAnsi="宋体" w:eastAsia="宋体"/>
                <w:color w:val="auto"/>
                <w:sz w:val="21"/>
                <w:szCs w:val="21"/>
                <w:highlight w:val="none"/>
              </w:rPr>
            </w:pPr>
          </w:p>
        </w:tc>
      </w:tr>
      <w:tr w14:paraId="73F3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7" w:type="pct"/>
            <w:noWrap w:val="0"/>
            <w:vAlign w:val="center"/>
          </w:tcPr>
          <w:p w14:paraId="5207B451">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结论</w:t>
            </w:r>
          </w:p>
        </w:tc>
        <w:tc>
          <w:tcPr>
            <w:tcW w:w="3237" w:type="pct"/>
            <w:gridSpan w:val="2"/>
            <w:noWrap w:val="0"/>
            <w:vAlign w:val="center"/>
          </w:tcPr>
          <w:p w14:paraId="5727B6F5">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是否通过并进入下一阶段评审</w:t>
            </w:r>
          </w:p>
        </w:tc>
        <w:tc>
          <w:tcPr>
            <w:tcW w:w="419" w:type="pct"/>
            <w:noWrap w:val="0"/>
            <w:vAlign w:val="center"/>
          </w:tcPr>
          <w:p w14:paraId="6B5D86BC">
            <w:pPr>
              <w:tabs>
                <w:tab w:val="left" w:pos="720"/>
              </w:tabs>
              <w:snapToGrid w:val="0"/>
              <w:spacing w:after="0" w:line="400" w:lineRule="exact"/>
              <w:jc w:val="center"/>
              <w:rPr>
                <w:rFonts w:ascii="宋体" w:hAnsi="宋体" w:eastAsia="宋体"/>
                <w:color w:val="auto"/>
                <w:sz w:val="21"/>
                <w:szCs w:val="21"/>
                <w:highlight w:val="none"/>
              </w:rPr>
            </w:pPr>
          </w:p>
        </w:tc>
        <w:tc>
          <w:tcPr>
            <w:tcW w:w="444" w:type="pct"/>
            <w:noWrap w:val="0"/>
            <w:vAlign w:val="center"/>
          </w:tcPr>
          <w:p w14:paraId="346C2F79">
            <w:pPr>
              <w:tabs>
                <w:tab w:val="left" w:pos="720"/>
              </w:tabs>
              <w:snapToGrid w:val="0"/>
              <w:spacing w:after="0" w:line="400" w:lineRule="exact"/>
              <w:jc w:val="center"/>
              <w:rPr>
                <w:rFonts w:ascii="宋体" w:hAnsi="宋体" w:eastAsia="宋体"/>
                <w:color w:val="auto"/>
                <w:sz w:val="21"/>
                <w:szCs w:val="21"/>
                <w:highlight w:val="none"/>
              </w:rPr>
            </w:pPr>
          </w:p>
        </w:tc>
        <w:tc>
          <w:tcPr>
            <w:tcW w:w="443" w:type="pct"/>
            <w:noWrap w:val="0"/>
            <w:vAlign w:val="center"/>
          </w:tcPr>
          <w:p w14:paraId="0DE449BD">
            <w:pPr>
              <w:tabs>
                <w:tab w:val="left" w:pos="720"/>
              </w:tabs>
              <w:snapToGrid w:val="0"/>
              <w:spacing w:after="0" w:line="400" w:lineRule="exact"/>
              <w:jc w:val="center"/>
              <w:rPr>
                <w:rFonts w:ascii="宋体" w:hAnsi="宋体" w:eastAsia="宋体"/>
                <w:color w:val="auto"/>
                <w:sz w:val="21"/>
                <w:szCs w:val="21"/>
                <w:highlight w:val="none"/>
              </w:rPr>
            </w:pPr>
          </w:p>
        </w:tc>
      </w:tr>
    </w:tbl>
    <w:p w14:paraId="751B5837">
      <w:pPr>
        <w:tabs>
          <w:tab w:val="left" w:pos="720"/>
        </w:tabs>
        <w:snapToGrid w:val="0"/>
        <w:spacing w:after="0" w:line="400" w:lineRule="exact"/>
        <w:rPr>
          <w:rFonts w:hint="eastAsia" w:ascii="宋体" w:hAnsi="宋体" w:eastAsia="宋体"/>
          <w:color w:val="auto"/>
          <w:sz w:val="21"/>
          <w:szCs w:val="21"/>
          <w:highlight w:val="none"/>
        </w:rPr>
      </w:pPr>
    </w:p>
    <w:p w14:paraId="1E736B2D">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备注：1、“是否通过并进入下一阶段评审”一栏应写“通过”“不通过”。</w:t>
      </w:r>
    </w:p>
    <w:p w14:paraId="704954AC">
      <w:pPr>
        <w:tabs>
          <w:tab w:val="left" w:pos="720"/>
        </w:tabs>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b/>
          <w:color w:val="auto"/>
          <w:sz w:val="21"/>
          <w:szCs w:val="21"/>
          <w:highlight w:val="none"/>
        </w:rPr>
        <w:t>符合要求的打“○”，不符合的打“×”。</w:t>
      </w:r>
    </w:p>
    <w:p w14:paraId="7B2A54FD">
      <w:pPr>
        <w:tabs>
          <w:tab w:val="left" w:pos="720"/>
        </w:tabs>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3、经评标委员会审核后，出现一个“×”的结论为“不通过”，即按废标处理。</w:t>
      </w:r>
    </w:p>
    <w:p w14:paraId="43C514A6">
      <w:pPr>
        <w:tabs>
          <w:tab w:val="left" w:pos="720"/>
        </w:tabs>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4、表中全部条件满足为“通过”，同意进入下一阶段评审。</w:t>
      </w:r>
    </w:p>
    <w:p w14:paraId="0E018705">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5、若评委意见不一致时，则按少数服从多数的原则，决定该投标人是否通过符合性审查，进入下一阶段评审。</w:t>
      </w:r>
    </w:p>
    <w:p w14:paraId="5ED3CAED">
      <w:pPr>
        <w:tabs>
          <w:tab w:val="left" w:pos="720"/>
        </w:tabs>
        <w:snapToGrid w:val="0"/>
        <w:spacing w:after="0" w:line="400" w:lineRule="exact"/>
        <w:ind w:right="840" w:firstLine="3780" w:firstLineChars="1800"/>
        <w:rPr>
          <w:rFonts w:ascii="宋体" w:hAnsi="宋体" w:eastAsia="宋体"/>
          <w:color w:val="auto"/>
          <w:sz w:val="21"/>
          <w:szCs w:val="21"/>
          <w:highlight w:val="none"/>
        </w:rPr>
      </w:pPr>
      <w:r>
        <w:rPr>
          <w:rFonts w:hint="eastAsia" w:ascii="宋体" w:hAnsi="宋体" w:eastAsia="宋体"/>
          <w:color w:val="auto"/>
          <w:sz w:val="21"/>
          <w:szCs w:val="21"/>
          <w:highlight w:val="none"/>
        </w:rPr>
        <w:t>评委签名：                     日期：</w:t>
      </w:r>
    </w:p>
    <w:p w14:paraId="6541BC50">
      <w:pPr>
        <w:spacing w:line="360" w:lineRule="auto"/>
        <w:outlineLvl w:val="1"/>
        <w:rPr>
          <w:rFonts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bookmarkStart w:id="174" w:name="_Toc20936"/>
      <w:r>
        <w:rPr>
          <w:rFonts w:hint="eastAsia" w:ascii="宋体" w:hAnsi="宋体" w:eastAsia="宋体" w:cs="宋体"/>
          <w:b/>
          <w:color w:val="auto"/>
          <w:sz w:val="30"/>
          <w:szCs w:val="30"/>
          <w:highlight w:val="none"/>
        </w:rPr>
        <w:t>附表三：响应性评审表</w:t>
      </w:r>
      <w:bookmarkEnd w:id="174"/>
    </w:p>
    <w:p w14:paraId="50EE6958">
      <w:pPr>
        <w:spacing w:line="360" w:lineRule="auto"/>
        <w:ind w:firstLine="560" w:firstLineChars="200"/>
        <w:jc w:val="center"/>
        <w:rPr>
          <w:rFonts w:hint="eastAsia" w:ascii="宋体" w:hAnsi="宋体" w:eastAsia="宋体" w:cs="黑体"/>
          <w:color w:val="auto"/>
          <w:sz w:val="28"/>
          <w:szCs w:val="28"/>
          <w:highlight w:val="none"/>
        </w:rPr>
      </w:pPr>
      <w:r>
        <w:rPr>
          <w:rFonts w:hint="eastAsia" w:ascii="宋体" w:hAnsi="宋体" w:eastAsia="宋体" w:cs="黑体"/>
          <w:color w:val="auto"/>
          <w:sz w:val="28"/>
          <w:szCs w:val="28"/>
          <w:highlight w:val="none"/>
        </w:rPr>
        <w:t>响应性评审表</w:t>
      </w:r>
    </w:p>
    <w:p w14:paraId="48A1F09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bl>
      <w:tblPr>
        <w:tblStyle w:val="38"/>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340"/>
        <w:gridCol w:w="1000"/>
        <w:gridCol w:w="1000"/>
        <w:gridCol w:w="1000"/>
      </w:tblGrid>
      <w:tr w14:paraId="2EAF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Merge w:val="restart"/>
            <w:noWrap w:val="0"/>
            <w:vAlign w:val="center"/>
          </w:tcPr>
          <w:p w14:paraId="21D7FD4A">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编号</w:t>
            </w:r>
          </w:p>
        </w:tc>
        <w:tc>
          <w:tcPr>
            <w:tcW w:w="5608" w:type="dxa"/>
            <w:gridSpan w:val="2"/>
            <w:tcBorders>
              <w:tl2br w:val="single" w:color="auto" w:sz="4" w:space="0"/>
            </w:tcBorders>
            <w:noWrap w:val="0"/>
            <w:vAlign w:val="center"/>
          </w:tcPr>
          <w:p w14:paraId="0470A729">
            <w:pPr>
              <w:tabs>
                <w:tab w:val="left" w:pos="720"/>
              </w:tabs>
              <w:snapToGrid w:val="0"/>
              <w:spacing w:after="0" w:line="400" w:lineRule="exact"/>
              <w:ind w:firstLine="3780" w:firstLineChars="1800"/>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14:paraId="665B9EFF">
            <w:pPr>
              <w:tabs>
                <w:tab w:val="left" w:pos="720"/>
              </w:tabs>
              <w:snapToGrid w:val="0"/>
              <w:spacing w:after="0" w:line="400" w:lineRule="exact"/>
              <w:rPr>
                <w:rFonts w:ascii="宋体" w:hAnsi="宋体" w:eastAsia="宋体"/>
                <w:color w:val="auto"/>
                <w:sz w:val="21"/>
                <w:szCs w:val="21"/>
                <w:highlight w:val="none"/>
              </w:rPr>
            </w:pPr>
          </w:p>
          <w:p w14:paraId="08BB94F9">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评审项目</w:t>
            </w:r>
          </w:p>
        </w:tc>
        <w:tc>
          <w:tcPr>
            <w:tcW w:w="1000" w:type="dxa"/>
            <w:noWrap w:val="0"/>
            <w:vAlign w:val="center"/>
          </w:tcPr>
          <w:p w14:paraId="34837A39">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38FEF876">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19160CE2">
            <w:pPr>
              <w:tabs>
                <w:tab w:val="left" w:pos="720"/>
              </w:tabs>
              <w:snapToGrid w:val="0"/>
              <w:spacing w:after="0" w:line="400" w:lineRule="exact"/>
              <w:jc w:val="center"/>
              <w:rPr>
                <w:rFonts w:ascii="宋体" w:hAnsi="宋体" w:eastAsia="宋体"/>
                <w:color w:val="auto"/>
                <w:sz w:val="21"/>
                <w:szCs w:val="21"/>
                <w:highlight w:val="none"/>
              </w:rPr>
            </w:pPr>
          </w:p>
        </w:tc>
      </w:tr>
      <w:tr w14:paraId="69A0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5" w:type="dxa"/>
            <w:vMerge w:val="continue"/>
            <w:noWrap w:val="0"/>
            <w:vAlign w:val="center"/>
          </w:tcPr>
          <w:p w14:paraId="2DE2D7F6">
            <w:pPr>
              <w:tabs>
                <w:tab w:val="left" w:pos="720"/>
              </w:tabs>
              <w:snapToGrid w:val="0"/>
              <w:spacing w:after="0" w:line="400" w:lineRule="exact"/>
              <w:jc w:val="center"/>
              <w:rPr>
                <w:rFonts w:ascii="宋体" w:hAnsi="宋体" w:eastAsia="宋体"/>
                <w:color w:val="auto"/>
                <w:sz w:val="21"/>
                <w:szCs w:val="21"/>
                <w:highlight w:val="none"/>
              </w:rPr>
            </w:pPr>
          </w:p>
        </w:tc>
        <w:tc>
          <w:tcPr>
            <w:tcW w:w="2268" w:type="dxa"/>
            <w:noWrap w:val="0"/>
            <w:vAlign w:val="center"/>
          </w:tcPr>
          <w:p w14:paraId="0841ADAD">
            <w:pPr>
              <w:adjustRightInd w:val="0"/>
              <w:snapToGrid w:val="0"/>
              <w:spacing w:after="0"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3340" w:type="dxa"/>
            <w:noWrap w:val="0"/>
            <w:vAlign w:val="center"/>
          </w:tcPr>
          <w:p w14:paraId="49761D1C">
            <w:pPr>
              <w:adjustRightInd w:val="0"/>
              <w:snapToGrid w:val="0"/>
              <w:spacing w:after="0" w:line="400" w:lineRule="exact"/>
              <w:jc w:val="center"/>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评审标准</w:t>
            </w:r>
          </w:p>
        </w:tc>
        <w:tc>
          <w:tcPr>
            <w:tcW w:w="1000" w:type="dxa"/>
            <w:noWrap w:val="0"/>
            <w:vAlign w:val="center"/>
          </w:tcPr>
          <w:p w14:paraId="6FB156A8">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608958EB">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1DE18FF1">
            <w:pPr>
              <w:tabs>
                <w:tab w:val="left" w:pos="720"/>
              </w:tabs>
              <w:snapToGrid w:val="0"/>
              <w:spacing w:after="0" w:line="400" w:lineRule="exact"/>
              <w:jc w:val="center"/>
              <w:rPr>
                <w:rFonts w:ascii="宋体" w:hAnsi="宋体" w:eastAsia="宋体"/>
                <w:color w:val="auto"/>
                <w:sz w:val="21"/>
                <w:szCs w:val="21"/>
                <w:highlight w:val="none"/>
              </w:rPr>
            </w:pPr>
          </w:p>
        </w:tc>
      </w:tr>
      <w:tr w14:paraId="4ED8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noWrap w:val="0"/>
            <w:vAlign w:val="center"/>
          </w:tcPr>
          <w:p w14:paraId="77CED532">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268" w:type="dxa"/>
            <w:noWrap w:val="0"/>
            <w:vAlign w:val="center"/>
          </w:tcPr>
          <w:p w14:paraId="1DC92870">
            <w:pPr>
              <w:autoSpaceDE w:val="0"/>
              <w:autoSpaceDN w:val="0"/>
              <w:snapToGrid w:val="0"/>
              <w:spacing w:after="0" w:line="400" w:lineRule="exact"/>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3340" w:type="dxa"/>
            <w:noWrap w:val="0"/>
            <w:vAlign w:val="center"/>
          </w:tcPr>
          <w:p w14:paraId="4BAD1804">
            <w:pPr>
              <w:autoSpaceDE w:val="0"/>
              <w:autoSpaceDN w:val="0"/>
              <w:adjustRightInd w:val="0"/>
              <w:snapToGrid w:val="0"/>
              <w:spacing w:after="0" w:line="400" w:lineRule="exact"/>
              <w:rPr>
                <w:rFonts w:ascii="宋体" w:hAnsi="宋体" w:eastAsia="宋体"/>
                <w:color w:val="auto"/>
                <w:sz w:val="21"/>
                <w:szCs w:val="21"/>
                <w:highlight w:val="none"/>
              </w:rPr>
            </w:pPr>
            <w:r>
              <w:rPr>
                <w:rFonts w:hint="eastAsia" w:ascii="宋体" w:hAnsi="宋体" w:eastAsia="宋体" w:cs="宋体"/>
                <w:color w:val="auto"/>
                <w:sz w:val="21"/>
                <w:szCs w:val="21"/>
                <w:highlight w:val="none"/>
              </w:rPr>
              <w:t>符合第二章“投标人须知”第 3.2 款规定</w:t>
            </w:r>
          </w:p>
        </w:tc>
        <w:tc>
          <w:tcPr>
            <w:tcW w:w="1000" w:type="dxa"/>
            <w:noWrap w:val="0"/>
            <w:vAlign w:val="center"/>
          </w:tcPr>
          <w:p w14:paraId="63184CAE">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19856180">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5B152547">
            <w:pPr>
              <w:tabs>
                <w:tab w:val="left" w:pos="720"/>
              </w:tabs>
              <w:snapToGrid w:val="0"/>
              <w:spacing w:after="0" w:line="400" w:lineRule="exact"/>
              <w:jc w:val="center"/>
              <w:rPr>
                <w:rFonts w:ascii="宋体" w:hAnsi="宋体" w:eastAsia="宋体"/>
                <w:color w:val="auto"/>
                <w:sz w:val="21"/>
                <w:szCs w:val="21"/>
                <w:highlight w:val="none"/>
              </w:rPr>
            </w:pPr>
          </w:p>
        </w:tc>
      </w:tr>
      <w:tr w14:paraId="5C21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noWrap w:val="0"/>
            <w:vAlign w:val="center"/>
          </w:tcPr>
          <w:p w14:paraId="41D15B07">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268" w:type="dxa"/>
            <w:noWrap w:val="0"/>
            <w:vAlign w:val="center"/>
          </w:tcPr>
          <w:p w14:paraId="11143F4C">
            <w:pPr>
              <w:autoSpaceDE w:val="0"/>
              <w:autoSpaceDN w:val="0"/>
              <w:snapToGrid w:val="0"/>
              <w:spacing w:after="0" w:line="400" w:lineRule="exact"/>
              <w:rPr>
                <w:rFonts w:ascii="宋体" w:hAnsi="宋体" w:eastAsia="宋体"/>
                <w:color w:val="auto"/>
                <w:sz w:val="21"/>
                <w:szCs w:val="21"/>
                <w:highlight w:val="none"/>
              </w:rPr>
            </w:pPr>
            <w:r>
              <w:rPr>
                <w:rFonts w:ascii="宋体" w:hAnsi="宋体" w:eastAsia="宋体"/>
                <w:color w:val="auto"/>
                <w:sz w:val="21"/>
                <w:szCs w:val="21"/>
                <w:highlight w:val="none"/>
              </w:rPr>
              <w:t>投标内容</w:t>
            </w:r>
          </w:p>
        </w:tc>
        <w:tc>
          <w:tcPr>
            <w:tcW w:w="3340" w:type="dxa"/>
            <w:noWrap w:val="0"/>
            <w:vAlign w:val="center"/>
          </w:tcPr>
          <w:p w14:paraId="2BE5EEB9">
            <w:pPr>
              <w:autoSpaceDE w:val="0"/>
              <w:autoSpaceDN w:val="0"/>
              <w:adjustRightInd w:val="0"/>
              <w:snapToGrid w:val="0"/>
              <w:spacing w:after="0" w:line="400" w:lineRule="exact"/>
              <w:rPr>
                <w:rFonts w:ascii="宋体" w:hAnsi="宋体" w:eastAsia="宋体"/>
                <w:color w:val="auto"/>
                <w:sz w:val="21"/>
                <w:szCs w:val="21"/>
                <w:highlight w:val="none"/>
              </w:rPr>
            </w:pPr>
            <w:r>
              <w:rPr>
                <w:rFonts w:hint="eastAsia" w:ascii="宋体" w:hAnsi="宋体" w:eastAsia="宋体" w:cs="宋体"/>
                <w:color w:val="auto"/>
                <w:sz w:val="21"/>
                <w:szCs w:val="21"/>
                <w:highlight w:val="none"/>
              </w:rPr>
              <w:t>符合第二章“投标人须知”第 1.3.1 项规定</w:t>
            </w:r>
          </w:p>
        </w:tc>
        <w:tc>
          <w:tcPr>
            <w:tcW w:w="1000" w:type="dxa"/>
            <w:noWrap w:val="0"/>
            <w:vAlign w:val="center"/>
          </w:tcPr>
          <w:p w14:paraId="77E83602">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626A41A1">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0730CF9E">
            <w:pPr>
              <w:tabs>
                <w:tab w:val="left" w:pos="720"/>
              </w:tabs>
              <w:snapToGrid w:val="0"/>
              <w:spacing w:after="0" w:line="400" w:lineRule="exact"/>
              <w:jc w:val="center"/>
              <w:rPr>
                <w:rFonts w:ascii="宋体" w:hAnsi="宋体" w:eastAsia="宋体"/>
                <w:color w:val="auto"/>
                <w:sz w:val="21"/>
                <w:szCs w:val="21"/>
                <w:highlight w:val="none"/>
              </w:rPr>
            </w:pPr>
          </w:p>
        </w:tc>
      </w:tr>
      <w:tr w14:paraId="5EE5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5" w:type="dxa"/>
            <w:noWrap w:val="0"/>
            <w:vAlign w:val="center"/>
          </w:tcPr>
          <w:p w14:paraId="215ABA97">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268" w:type="dxa"/>
            <w:noWrap w:val="0"/>
            <w:vAlign w:val="center"/>
          </w:tcPr>
          <w:p w14:paraId="67F3FA7E">
            <w:pPr>
              <w:snapToGrid w:val="0"/>
              <w:spacing w:after="0" w:line="400" w:lineRule="exact"/>
              <w:rPr>
                <w:rFonts w:ascii="宋体" w:hAnsi="宋体" w:eastAsia="宋体"/>
                <w:color w:val="auto"/>
                <w:sz w:val="21"/>
                <w:szCs w:val="21"/>
                <w:highlight w:val="none"/>
              </w:rPr>
            </w:pPr>
            <w:r>
              <w:rPr>
                <w:rFonts w:hint="eastAsia" w:ascii="宋体" w:hAnsi="宋体" w:eastAsia="宋体" w:cs="宋体"/>
                <w:color w:val="auto"/>
                <w:sz w:val="21"/>
                <w:szCs w:val="21"/>
                <w:highlight w:val="none"/>
              </w:rPr>
              <w:t>服务期限</w:t>
            </w:r>
          </w:p>
        </w:tc>
        <w:tc>
          <w:tcPr>
            <w:tcW w:w="3340" w:type="dxa"/>
            <w:noWrap w:val="0"/>
            <w:vAlign w:val="center"/>
          </w:tcPr>
          <w:p w14:paraId="70063CEF">
            <w:pPr>
              <w:adjustRightInd w:val="0"/>
              <w:snapToGrid w:val="0"/>
              <w:spacing w:after="0" w:line="400" w:lineRule="exact"/>
              <w:rPr>
                <w:rFonts w:ascii="宋体" w:hAnsi="宋体" w:eastAsia="宋体"/>
                <w:color w:val="auto"/>
                <w:sz w:val="21"/>
                <w:szCs w:val="21"/>
                <w:highlight w:val="none"/>
              </w:rPr>
            </w:pPr>
            <w:r>
              <w:rPr>
                <w:rFonts w:hint="eastAsia" w:ascii="宋体" w:hAnsi="宋体" w:eastAsia="宋体" w:cs="宋体"/>
                <w:color w:val="auto"/>
                <w:sz w:val="21"/>
                <w:szCs w:val="21"/>
                <w:highlight w:val="none"/>
              </w:rPr>
              <w:t>符合第二章“投标人须知”第 1.3.2 项规定</w:t>
            </w:r>
          </w:p>
        </w:tc>
        <w:tc>
          <w:tcPr>
            <w:tcW w:w="1000" w:type="dxa"/>
            <w:noWrap w:val="0"/>
            <w:vAlign w:val="center"/>
          </w:tcPr>
          <w:p w14:paraId="1A01B159">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75E82F3D">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4B01C439">
            <w:pPr>
              <w:tabs>
                <w:tab w:val="left" w:pos="720"/>
              </w:tabs>
              <w:snapToGrid w:val="0"/>
              <w:spacing w:after="0" w:line="400" w:lineRule="exact"/>
              <w:jc w:val="center"/>
              <w:rPr>
                <w:rFonts w:ascii="宋体" w:hAnsi="宋体" w:eastAsia="宋体"/>
                <w:color w:val="auto"/>
                <w:sz w:val="21"/>
                <w:szCs w:val="21"/>
                <w:highlight w:val="none"/>
              </w:rPr>
            </w:pPr>
          </w:p>
        </w:tc>
      </w:tr>
      <w:tr w14:paraId="34F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noWrap w:val="0"/>
            <w:vAlign w:val="center"/>
          </w:tcPr>
          <w:p w14:paraId="75C9FB32">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2268" w:type="dxa"/>
            <w:noWrap w:val="0"/>
            <w:vAlign w:val="center"/>
          </w:tcPr>
          <w:p w14:paraId="039226E8">
            <w:pPr>
              <w:snapToGrid w:val="0"/>
              <w:spacing w:after="0" w:line="400" w:lineRule="exact"/>
              <w:rPr>
                <w:rFonts w:ascii="宋体" w:hAnsi="宋体" w:eastAsia="宋体" w:cs="宋体"/>
                <w:color w:val="auto"/>
                <w:sz w:val="21"/>
                <w:szCs w:val="21"/>
                <w:highlight w:val="none"/>
              </w:rPr>
            </w:pPr>
            <w:r>
              <w:rPr>
                <w:rFonts w:ascii="宋体" w:hAnsi="宋体" w:eastAsia="宋体"/>
                <w:color w:val="auto"/>
                <w:sz w:val="21"/>
                <w:szCs w:val="21"/>
                <w:highlight w:val="none"/>
              </w:rPr>
              <w:t>投标有效期</w:t>
            </w:r>
          </w:p>
        </w:tc>
        <w:tc>
          <w:tcPr>
            <w:tcW w:w="3340" w:type="dxa"/>
            <w:noWrap w:val="0"/>
            <w:vAlign w:val="center"/>
          </w:tcPr>
          <w:p w14:paraId="7F5E4345">
            <w:pPr>
              <w:adjustRightInd w:val="0"/>
              <w:snapToGrid w:val="0"/>
              <w:spacing w:after="0" w:line="400" w:lineRule="exact"/>
              <w:rPr>
                <w:rFonts w:ascii="宋体" w:hAnsi="宋体" w:eastAsia="宋体"/>
                <w:color w:val="auto"/>
                <w:sz w:val="21"/>
                <w:szCs w:val="21"/>
                <w:highlight w:val="none"/>
                <w:lang w:val="en-GB"/>
              </w:rPr>
            </w:pPr>
            <w:r>
              <w:rPr>
                <w:rFonts w:hint="eastAsia" w:ascii="宋体" w:hAnsi="宋体" w:eastAsia="宋体" w:cs="宋体"/>
                <w:color w:val="auto"/>
                <w:sz w:val="21"/>
                <w:szCs w:val="21"/>
                <w:highlight w:val="none"/>
              </w:rPr>
              <w:t>符合第二章“投标人须知”第 3.3.1 项规定</w:t>
            </w:r>
          </w:p>
        </w:tc>
        <w:tc>
          <w:tcPr>
            <w:tcW w:w="1000" w:type="dxa"/>
            <w:noWrap w:val="0"/>
            <w:vAlign w:val="center"/>
          </w:tcPr>
          <w:p w14:paraId="2D4F5006">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6F26FB0C">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30F8E12C">
            <w:pPr>
              <w:tabs>
                <w:tab w:val="left" w:pos="720"/>
              </w:tabs>
              <w:snapToGrid w:val="0"/>
              <w:spacing w:after="0" w:line="400" w:lineRule="exact"/>
              <w:jc w:val="center"/>
              <w:rPr>
                <w:rFonts w:ascii="宋体" w:hAnsi="宋体" w:eastAsia="宋体"/>
                <w:color w:val="auto"/>
                <w:sz w:val="21"/>
                <w:szCs w:val="21"/>
                <w:highlight w:val="none"/>
              </w:rPr>
            </w:pPr>
          </w:p>
        </w:tc>
      </w:tr>
      <w:tr w14:paraId="1F85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noWrap w:val="0"/>
            <w:vAlign w:val="center"/>
          </w:tcPr>
          <w:p w14:paraId="657735B6">
            <w:pPr>
              <w:tabs>
                <w:tab w:val="left" w:pos="720"/>
              </w:tabs>
              <w:snapToGrid w:val="0"/>
              <w:spacing w:after="0"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2268" w:type="dxa"/>
            <w:noWrap w:val="0"/>
            <w:vAlign w:val="center"/>
          </w:tcPr>
          <w:p w14:paraId="11B2F4FA">
            <w:pPr>
              <w:snapToGrid w:val="0"/>
              <w:spacing w:after="0" w:line="40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串通投标情形</w:t>
            </w:r>
          </w:p>
        </w:tc>
        <w:tc>
          <w:tcPr>
            <w:tcW w:w="3340" w:type="dxa"/>
            <w:noWrap w:val="0"/>
            <w:vAlign w:val="top"/>
          </w:tcPr>
          <w:p w14:paraId="206F7919">
            <w:pPr>
              <w:adjustRightInd w:val="0"/>
              <w:snapToGrid w:val="0"/>
              <w:spacing w:after="0" w:line="400" w:lineRule="exact"/>
              <w:rPr>
                <w:rFonts w:ascii="宋体" w:hAnsi="宋体" w:eastAsia="宋体"/>
                <w:color w:val="auto"/>
                <w:sz w:val="21"/>
                <w:szCs w:val="21"/>
                <w:highlight w:val="none"/>
                <w:lang w:val="en-GB"/>
              </w:rPr>
            </w:pPr>
            <w:r>
              <w:rPr>
                <w:rFonts w:hint="eastAsia" w:ascii="宋体" w:hAnsi="宋体" w:eastAsia="宋体"/>
                <w:color w:val="auto"/>
                <w:sz w:val="21"/>
                <w:szCs w:val="21"/>
                <w:highlight w:val="none"/>
                <w:u w:val="single"/>
              </w:rPr>
              <w:t>不存在串通投标情形（串通投标情形以《中华人民共和国招标投标法实施条例》的规定为准）；</w:t>
            </w:r>
          </w:p>
        </w:tc>
        <w:tc>
          <w:tcPr>
            <w:tcW w:w="1000" w:type="dxa"/>
            <w:noWrap w:val="0"/>
            <w:vAlign w:val="center"/>
          </w:tcPr>
          <w:p w14:paraId="44C8736F">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37FE2DA3">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64E2CD35">
            <w:pPr>
              <w:tabs>
                <w:tab w:val="left" w:pos="720"/>
              </w:tabs>
              <w:snapToGrid w:val="0"/>
              <w:spacing w:after="0" w:line="400" w:lineRule="exact"/>
              <w:jc w:val="center"/>
              <w:rPr>
                <w:rFonts w:ascii="宋体" w:hAnsi="宋体" w:eastAsia="宋体"/>
                <w:color w:val="auto"/>
                <w:sz w:val="21"/>
                <w:szCs w:val="21"/>
                <w:highlight w:val="none"/>
              </w:rPr>
            </w:pPr>
          </w:p>
        </w:tc>
      </w:tr>
      <w:tr w14:paraId="00DF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noWrap w:val="0"/>
            <w:vAlign w:val="center"/>
          </w:tcPr>
          <w:p w14:paraId="10CAF2E1">
            <w:pPr>
              <w:tabs>
                <w:tab w:val="left" w:pos="720"/>
              </w:tabs>
              <w:snapToGrid w:val="0"/>
              <w:spacing w:after="0"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结论</w:t>
            </w:r>
          </w:p>
        </w:tc>
        <w:tc>
          <w:tcPr>
            <w:tcW w:w="5608" w:type="dxa"/>
            <w:gridSpan w:val="2"/>
            <w:noWrap w:val="0"/>
            <w:vAlign w:val="center"/>
          </w:tcPr>
          <w:p w14:paraId="38C164BF">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是否通过并进入下一阶段评审</w:t>
            </w:r>
          </w:p>
        </w:tc>
        <w:tc>
          <w:tcPr>
            <w:tcW w:w="1000" w:type="dxa"/>
            <w:noWrap w:val="0"/>
            <w:vAlign w:val="center"/>
          </w:tcPr>
          <w:p w14:paraId="4C66FF1F">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445E83EB">
            <w:pPr>
              <w:tabs>
                <w:tab w:val="left" w:pos="720"/>
              </w:tabs>
              <w:snapToGrid w:val="0"/>
              <w:spacing w:after="0" w:line="400" w:lineRule="exact"/>
              <w:jc w:val="center"/>
              <w:rPr>
                <w:rFonts w:ascii="宋体" w:hAnsi="宋体" w:eastAsia="宋体"/>
                <w:color w:val="auto"/>
                <w:sz w:val="21"/>
                <w:szCs w:val="21"/>
                <w:highlight w:val="none"/>
              </w:rPr>
            </w:pPr>
          </w:p>
        </w:tc>
        <w:tc>
          <w:tcPr>
            <w:tcW w:w="1000" w:type="dxa"/>
            <w:noWrap w:val="0"/>
            <w:vAlign w:val="center"/>
          </w:tcPr>
          <w:p w14:paraId="1B378496">
            <w:pPr>
              <w:tabs>
                <w:tab w:val="left" w:pos="720"/>
              </w:tabs>
              <w:snapToGrid w:val="0"/>
              <w:spacing w:after="0" w:line="400" w:lineRule="exact"/>
              <w:jc w:val="center"/>
              <w:rPr>
                <w:rFonts w:ascii="宋体" w:hAnsi="宋体" w:eastAsia="宋体"/>
                <w:color w:val="auto"/>
                <w:sz w:val="21"/>
                <w:szCs w:val="21"/>
                <w:highlight w:val="none"/>
              </w:rPr>
            </w:pPr>
          </w:p>
        </w:tc>
      </w:tr>
    </w:tbl>
    <w:p w14:paraId="20A28F22">
      <w:pPr>
        <w:tabs>
          <w:tab w:val="left" w:pos="720"/>
        </w:tabs>
        <w:snapToGrid w:val="0"/>
        <w:spacing w:after="0" w:line="400" w:lineRule="exact"/>
        <w:rPr>
          <w:rFonts w:hint="eastAsia" w:ascii="宋体" w:hAnsi="宋体" w:eastAsia="宋体"/>
          <w:color w:val="auto"/>
          <w:sz w:val="18"/>
          <w:szCs w:val="18"/>
          <w:highlight w:val="none"/>
        </w:rPr>
      </w:pPr>
    </w:p>
    <w:p w14:paraId="11E25901">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备注：1、“是否通过并进入下一阶段评审”一栏应写“通过”“不通过”。</w:t>
      </w:r>
    </w:p>
    <w:p w14:paraId="59C7733A">
      <w:pPr>
        <w:tabs>
          <w:tab w:val="left" w:pos="720"/>
        </w:tabs>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b/>
          <w:color w:val="auto"/>
          <w:sz w:val="21"/>
          <w:szCs w:val="21"/>
          <w:highlight w:val="none"/>
        </w:rPr>
        <w:t>符合要求的打“○”，不符合的打“×”。</w:t>
      </w:r>
    </w:p>
    <w:p w14:paraId="4639A34C">
      <w:pPr>
        <w:tabs>
          <w:tab w:val="left" w:pos="720"/>
        </w:tabs>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3、经评标委员会审核后，出现一个“×”的结论为“不通过”，即按废标处理。</w:t>
      </w:r>
    </w:p>
    <w:p w14:paraId="69A3D816">
      <w:pPr>
        <w:tabs>
          <w:tab w:val="left" w:pos="720"/>
        </w:tabs>
        <w:snapToGrid w:val="0"/>
        <w:spacing w:after="0" w:line="4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4、表中全部条件满足为“通过”，同意进入下一阶段评审。</w:t>
      </w:r>
    </w:p>
    <w:p w14:paraId="2E1F972C">
      <w:pPr>
        <w:tabs>
          <w:tab w:val="left" w:pos="720"/>
        </w:tabs>
        <w:snapToGrid w:val="0"/>
        <w:spacing w:after="0"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5、若评委意见不一致时，则按少数服从多数的原则，决定该投标人是否通过符合性审查，进入下一阶段评审。</w:t>
      </w:r>
    </w:p>
    <w:p w14:paraId="513129E9">
      <w:pPr>
        <w:tabs>
          <w:tab w:val="left" w:pos="720"/>
        </w:tabs>
        <w:snapToGrid w:val="0"/>
        <w:spacing w:after="0" w:line="400" w:lineRule="exact"/>
        <w:ind w:firstLine="3960" w:firstLineChars="1800"/>
        <w:rPr>
          <w:rFonts w:ascii="宋体" w:hAnsi="宋体" w:eastAsia="宋体"/>
          <w:color w:val="auto"/>
          <w:szCs w:val="21"/>
          <w:highlight w:val="none"/>
        </w:rPr>
      </w:pPr>
    </w:p>
    <w:p w14:paraId="29D60AE8">
      <w:pPr>
        <w:adjustRightInd w:val="0"/>
        <w:snapToGrid w:val="0"/>
        <w:spacing w:after="0" w:line="400" w:lineRule="exact"/>
        <w:ind w:firstLine="440" w:firstLineChars="200"/>
        <w:rPr>
          <w:rFonts w:hint="eastAsia" w:ascii="宋体" w:hAnsi="宋体" w:eastAsia="宋体" w:cs="宋体"/>
          <w:color w:val="auto"/>
          <w:sz w:val="21"/>
          <w:highlight w:val="none"/>
        </w:rPr>
      </w:pPr>
      <w:r>
        <w:rPr>
          <w:rFonts w:hint="eastAsia" w:ascii="宋体" w:hAnsi="宋体" w:eastAsia="宋体"/>
          <w:color w:val="auto"/>
          <w:szCs w:val="21"/>
          <w:highlight w:val="none"/>
        </w:rPr>
        <w:t>评委签名：                     日期：</w:t>
      </w:r>
      <w:r>
        <w:rPr>
          <w:rFonts w:hint="eastAsia" w:ascii="宋体" w:hAnsi="宋体" w:eastAsia="宋体" w:cs="宋体"/>
          <w:color w:val="auto"/>
          <w:sz w:val="21"/>
          <w:highlight w:val="none"/>
        </w:rPr>
        <w:t xml:space="preserve"> </w:t>
      </w:r>
    </w:p>
    <w:p w14:paraId="1C3A5531">
      <w:pPr>
        <w:pStyle w:val="3"/>
        <w:spacing w:after="1017" w:line="259" w:lineRule="auto"/>
        <w:ind w:left="0" w:right="0" w:firstLine="0"/>
        <w:jc w:val="center"/>
        <w:rPr>
          <w:rFonts w:hint="eastAsia" w:ascii="宋体" w:hAnsi="宋体" w:eastAsia="宋体" w:cs="宋体"/>
          <w:b/>
          <w:color w:val="auto"/>
          <w:sz w:val="44"/>
          <w:highlight w:val="none"/>
        </w:rPr>
      </w:pPr>
      <w:r>
        <w:rPr>
          <w:rFonts w:hint="eastAsia" w:ascii="宋体" w:hAnsi="宋体" w:eastAsia="宋体" w:cs="宋体"/>
          <w:color w:val="auto"/>
          <w:sz w:val="44"/>
          <w:highlight w:val="none"/>
        </w:rPr>
        <w:t>第四章合同条款及格式</w:t>
      </w:r>
      <w:bookmarkEnd w:id="170"/>
      <w:bookmarkEnd w:id="172"/>
      <w:r>
        <w:rPr>
          <w:rFonts w:hint="eastAsia" w:ascii="宋体" w:hAnsi="宋体" w:eastAsia="宋体" w:cs="宋体"/>
          <w:b/>
          <w:color w:val="auto"/>
          <w:sz w:val="44"/>
          <w:highlight w:val="none"/>
        </w:rPr>
        <w:t xml:space="preserve"> </w:t>
      </w:r>
    </w:p>
    <w:p w14:paraId="0D1E49C2">
      <w:pPr>
        <w:jc w:val="center"/>
        <w:rPr>
          <w:rFonts w:hint="eastAsia" w:ascii="宋体" w:hAnsi="宋体" w:eastAsia="宋体" w:cs="宋体"/>
          <w:color w:val="auto"/>
          <w:highlight w:val="none"/>
        </w:rPr>
      </w:pPr>
      <w:r>
        <w:rPr>
          <w:rFonts w:hint="eastAsia" w:ascii="宋体" w:hAnsi="宋体" w:eastAsia="宋体" w:cs="宋体"/>
          <w:color w:val="auto"/>
          <w:highlight w:val="none"/>
        </w:rPr>
        <w:t>（另册）</w:t>
      </w:r>
    </w:p>
    <w:p w14:paraId="2FC29ECF">
      <w:pPr>
        <w:spacing w:line="400" w:lineRule="exact"/>
        <w:rPr>
          <w:rFonts w:hint="eastAsia" w:ascii="宋体" w:hAnsi="宋体" w:eastAsia="宋体" w:cs="宋体"/>
          <w:color w:val="auto"/>
          <w:sz w:val="24"/>
          <w:highlight w:val="none"/>
        </w:rPr>
      </w:pPr>
      <w:bookmarkStart w:id="175" w:name="_Toc526895055"/>
      <w:r>
        <w:rPr>
          <w:rFonts w:hint="eastAsia" w:ascii="宋体" w:hAnsi="宋体" w:eastAsia="宋体" w:cs="宋体"/>
          <w:color w:val="auto"/>
          <w:sz w:val="24"/>
          <w:highlight w:val="none"/>
        </w:rPr>
        <w:t xml:space="preserve">                    </w:t>
      </w:r>
    </w:p>
    <w:p w14:paraId="18BC6E93">
      <w:pPr>
        <w:pStyle w:val="3"/>
        <w:spacing w:after="1017" w:line="259" w:lineRule="auto"/>
        <w:ind w:left="0" w:right="0" w:firstLine="0"/>
        <w:jc w:val="center"/>
        <w:rPr>
          <w:rFonts w:hint="eastAsia" w:ascii="宋体" w:hAnsi="宋体" w:eastAsia="宋体" w:cs="宋体"/>
          <w:color w:val="auto"/>
          <w:sz w:val="44"/>
          <w:szCs w:val="22"/>
          <w:highlight w:val="none"/>
        </w:rPr>
      </w:pPr>
      <w:r>
        <w:rPr>
          <w:rFonts w:hint="eastAsia" w:ascii="宋体" w:hAnsi="宋体" w:eastAsia="宋体" w:cs="宋体"/>
          <w:color w:val="auto"/>
          <w:sz w:val="44"/>
          <w:szCs w:val="22"/>
          <w:highlight w:val="none"/>
        </w:rPr>
        <w:br w:type="page"/>
      </w:r>
      <w:bookmarkStart w:id="176" w:name="_Toc11572"/>
      <w:r>
        <w:rPr>
          <w:rFonts w:hint="eastAsia" w:ascii="宋体" w:hAnsi="宋体" w:eastAsia="宋体" w:cs="宋体"/>
          <w:color w:val="auto"/>
          <w:sz w:val="44"/>
          <w:szCs w:val="22"/>
          <w:highlight w:val="none"/>
        </w:rPr>
        <w:t>第五章</w:t>
      </w:r>
      <w:bookmarkEnd w:id="175"/>
      <w:bookmarkStart w:id="177" w:name="_Toc526895056"/>
      <w:r>
        <w:rPr>
          <w:rFonts w:hint="eastAsia" w:ascii="宋体" w:hAnsi="宋体" w:eastAsia="宋体" w:cs="宋体"/>
          <w:color w:val="auto"/>
          <w:sz w:val="44"/>
          <w:szCs w:val="22"/>
          <w:highlight w:val="none"/>
        </w:rPr>
        <w:t>发包人要求</w:t>
      </w:r>
      <w:bookmarkEnd w:id="176"/>
      <w:bookmarkEnd w:id="177"/>
    </w:p>
    <w:p w14:paraId="2E10D725">
      <w:pPr>
        <w:spacing w:before="240" w:beforeLines="100" w:after="120" w:afterLines="50" w:line="380" w:lineRule="exact"/>
        <w:ind w:left="420"/>
        <w:outlineLvl w:val="1"/>
        <w:rPr>
          <w:rFonts w:hint="eastAsia" w:ascii="宋体" w:hAnsi="宋体" w:eastAsia="宋体" w:cs="宋体"/>
          <w:b/>
          <w:color w:val="auto"/>
          <w:sz w:val="24"/>
          <w:highlight w:val="none"/>
        </w:rPr>
      </w:pPr>
      <w:bookmarkStart w:id="178" w:name="_Toc6870"/>
      <w:r>
        <w:rPr>
          <w:rFonts w:hint="eastAsia" w:ascii="宋体" w:hAnsi="宋体" w:eastAsia="宋体" w:cs="宋体"/>
          <w:b/>
          <w:color w:val="auto"/>
          <w:sz w:val="24"/>
          <w:highlight w:val="none"/>
        </w:rPr>
        <w:t>一、技术标准、规范汇总</w:t>
      </w:r>
      <w:bookmarkEnd w:id="178"/>
    </w:p>
    <w:p w14:paraId="23B8221D">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依据本项目设计文件的要求，本次招标检测技术服务须达到现行主要的中华人民共和国以及省、市或行业的检测技术标准或规范的要求和</w:t>
      </w:r>
      <w:r>
        <w:rPr>
          <w:rFonts w:hint="eastAsia" w:ascii="宋体" w:hAnsi="宋体" w:eastAsia="宋体" w:cs="宋体"/>
          <w:color w:val="auto"/>
          <w:highlight w:val="none"/>
        </w:rPr>
        <w:t>设计方提供的设计文件要求。</w:t>
      </w:r>
    </w:p>
    <w:p w14:paraId="1B025A09">
      <w:pPr>
        <w:spacing w:before="240" w:beforeLines="100" w:after="120" w:afterLines="50" w:line="380" w:lineRule="exact"/>
        <w:ind w:left="420"/>
        <w:outlineLvl w:val="1"/>
        <w:rPr>
          <w:rFonts w:hint="eastAsia" w:ascii="宋体" w:hAnsi="宋体" w:eastAsia="宋体" w:cs="宋体"/>
          <w:b/>
          <w:color w:val="auto"/>
          <w:sz w:val="24"/>
          <w:highlight w:val="none"/>
        </w:rPr>
      </w:pPr>
      <w:bookmarkStart w:id="179" w:name="_Toc18684"/>
      <w:r>
        <w:rPr>
          <w:rFonts w:hint="eastAsia" w:ascii="宋体" w:hAnsi="宋体" w:eastAsia="宋体" w:cs="宋体"/>
          <w:b/>
          <w:color w:val="auto"/>
          <w:sz w:val="24"/>
          <w:highlight w:val="none"/>
        </w:rPr>
        <w:t>二、检测服务项目质量控制要求</w:t>
      </w:r>
      <w:bookmarkEnd w:id="179"/>
    </w:p>
    <w:p w14:paraId="626105DE">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1、投标单位应建立为完成本投标检测投标项目而实施质量管理所需要组织结构，明示组织结构框图，并用文字明示各级人员职责，并提供质量检测工作受外界或领导机构影响的规定。并必须形成质量体系文件协调整个工作机构运转列出有效的、文体化的技术和管理程序，以便以最好的、最实际的方式来指导整个组织的工作人员、设备及信息的协调活动。质量体系文件应包括以下内容：</w:t>
      </w:r>
    </w:p>
    <w:p w14:paraId="25F61B5A">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（1）有效完成本项目的质量方针，包括目标和承诺；</w:t>
      </w:r>
    </w:p>
    <w:p w14:paraId="73C20B6A">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（2）投入本项目的组织结构框图；</w:t>
      </w:r>
    </w:p>
    <w:p w14:paraId="4E515A18">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（3）各检测人员工作岗位及其职责；</w:t>
      </w:r>
    </w:p>
    <w:p w14:paraId="096AB0E7">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（4）样品质量管理程序；</w:t>
      </w:r>
    </w:p>
    <w:p w14:paraId="057BE96D">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（5）检测工作申诉处理程序；</w:t>
      </w:r>
    </w:p>
    <w:p w14:paraId="2CBFE419">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（6）保密和保护所有权程序。</w:t>
      </w:r>
    </w:p>
    <w:p w14:paraId="40F1B0E4">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2、投标单位必须对本投标项目投入足够的检测人员，这些检测人员必须经过必要的与其承担任务相适应的教育、培训、并有相应的技术知识和经验。</w:t>
      </w:r>
    </w:p>
    <w:p w14:paraId="286D67C0">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3、投标单位应配备足够的检测仪器设备。检测仪器设备必须在检定/校准有效期内,并在检定/校准有效期满后应进行检定/校准。各计量检测仪器设备都必须严格按要求有明显的标志。</w:t>
      </w:r>
    </w:p>
    <w:p w14:paraId="1AFE0868">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4、检测投标单位必须有近3年内从事本工程类似检测工程的经验。</w:t>
      </w:r>
    </w:p>
    <w:p w14:paraId="5C8D4C05">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5、检测投标单位必须为配合施工和安全与质量监督编写各项实施的检测项目的《检测工作手册》。</w:t>
      </w:r>
    </w:p>
    <w:p w14:paraId="629E2FD0">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6、检测报告必须严格进行内部三级审核制度。</w:t>
      </w:r>
    </w:p>
    <w:p w14:paraId="3B1B773E">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（a）检测工作人员要熟悉并严格按照检测规程和方法，检测工作，同时做好数据记录；</w:t>
      </w:r>
    </w:p>
    <w:p w14:paraId="1EC7931E">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（b）各检测工作校核者应掌握检测规程和技术，检查数据与原始记录符合，事实符合，严格按照规范进行；</w:t>
      </w:r>
    </w:p>
    <w:p w14:paraId="74CC6874">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（c）报告审核者保证程序合法，报告有效。</w:t>
      </w:r>
    </w:p>
    <w:p w14:paraId="4F34B522">
      <w:pPr>
        <w:spacing w:before="240" w:beforeLines="100" w:after="120" w:afterLines="50" w:line="380" w:lineRule="exact"/>
        <w:ind w:left="420"/>
        <w:outlineLvl w:val="1"/>
        <w:rPr>
          <w:rFonts w:hint="eastAsia" w:ascii="宋体" w:hAnsi="宋体" w:eastAsia="宋体" w:cs="宋体"/>
          <w:b/>
          <w:color w:val="auto"/>
          <w:sz w:val="24"/>
          <w:highlight w:val="none"/>
        </w:rPr>
      </w:pPr>
      <w:bookmarkStart w:id="180" w:name="_Toc31830"/>
      <w:r>
        <w:rPr>
          <w:rFonts w:hint="eastAsia" w:ascii="宋体" w:hAnsi="宋体" w:eastAsia="宋体" w:cs="宋体"/>
          <w:b/>
          <w:color w:val="auto"/>
          <w:sz w:val="24"/>
          <w:highlight w:val="none"/>
        </w:rPr>
        <w:t>三、检测实施要点</w:t>
      </w:r>
      <w:bookmarkEnd w:id="180"/>
    </w:p>
    <w:p w14:paraId="6F6C70E4">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1、本项目检测技术方案必须符合国家及地方现行有关技术规范或规定以及设计单位的技术要求。</w:t>
      </w:r>
    </w:p>
    <w:p w14:paraId="4A3869A6">
      <w:pPr>
        <w:pStyle w:val="103"/>
        <w:ind w:firstLine="480" w:firstLineChars="200"/>
        <w:jc w:val="both"/>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 xml:space="preserve">  2、本项目试验应严格按照设计要求到现场进行检测工作，检测单位须制定现场作业计划报监理单位审批。</w:t>
      </w:r>
    </w:p>
    <w:p w14:paraId="52D6D799">
      <w:pPr>
        <w:pStyle w:val="103"/>
        <w:ind w:firstLine="48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Cs w:val="30"/>
          <w:highlight w:val="none"/>
        </w:rPr>
        <w:t xml:space="preserve">  3、检测单位应在完成现场检测作业后10天日内完成检测报告，并向建设单位提交一式八份成果报告。</w:t>
      </w:r>
    </w:p>
    <w:p w14:paraId="6BA24A22">
      <w:pPr>
        <w:spacing w:after="1050"/>
        <w:jc w:val="center"/>
        <w:rPr>
          <w:rFonts w:hint="eastAsia" w:ascii="宋体" w:hAnsi="宋体" w:eastAsia="宋体" w:cs="宋体"/>
          <w:color w:val="auto"/>
          <w:sz w:val="44"/>
          <w:highlight w:val="none"/>
        </w:rPr>
        <w:sectPr>
          <w:footerReference r:id="rId5" w:type="default"/>
          <w:pgSz w:w="12240" w:h="15840"/>
          <w:pgMar w:top="1134" w:right="1190" w:bottom="1134" w:left="1134" w:header="720" w:footer="720" w:gutter="0"/>
          <w:pgNumType w:start="1"/>
          <w:cols w:space="720" w:num="1"/>
          <w:docGrid w:linePitch="299" w:charSpace="0"/>
        </w:sectPr>
      </w:pPr>
      <w:bookmarkStart w:id="181" w:name="_Toc526895063"/>
    </w:p>
    <w:p w14:paraId="1EB21166">
      <w:pPr>
        <w:spacing w:after="1050"/>
        <w:jc w:val="center"/>
        <w:outlineLvl w:val="0"/>
        <w:rPr>
          <w:rFonts w:hint="eastAsia" w:ascii="宋体" w:hAnsi="宋体" w:eastAsia="宋体" w:cs="宋体"/>
          <w:color w:val="auto"/>
          <w:highlight w:val="none"/>
        </w:rPr>
      </w:pPr>
      <w:bookmarkStart w:id="182" w:name="_Toc20"/>
      <w:r>
        <w:rPr>
          <w:rFonts w:hint="eastAsia" w:ascii="宋体" w:hAnsi="宋体" w:eastAsia="宋体" w:cs="宋体"/>
          <w:color w:val="auto"/>
          <w:sz w:val="44"/>
          <w:highlight w:val="none"/>
        </w:rPr>
        <w:t>第六章投标文件格式</w:t>
      </w:r>
      <w:bookmarkEnd w:id="181"/>
      <w:bookmarkEnd w:id="182"/>
    </w:p>
    <w:p w14:paraId="55F6B72C">
      <w:pPr>
        <w:spacing w:after="137"/>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3381E69">
      <w:pPr>
        <w:spacing w:after="134"/>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4315BE52">
      <w:pPr>
        <w:spacing w:after="76" w:line="272" w:lineRule="auto"/>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0"/>
          <w:highlight w:val="none"/>
        </w:rPr>
        <w:t xml:space="preserve"> </w:t>
      </w:r>
    </w:p>
    <w:p w14:paraId="3180E479">
      <w:pPr>
        <w:spacing w:after="0" w:line="265" w:lineRule="auto"/>
        <w:ind w:left="10" w:hanging="10"/>
        <w:jc w:val="center"/>
        <w:outlineLvl w:val="0"/>
        <w:rPr>
          <w:rFonts w:hint="eastAsia" w:ascii="宋体" w:hAnsi="宋体" w:eastAsia="宋体" w:cs="宋体"/>
          <w:color w:val="auto"/>
          <w:highlight w:val="none"/>
        </w:rPr>
      </w:pPr>
      <w:r>
        <w:rPr>
          <w:rFonts w:hint="eastAsia" w:ascii="宋体" w:hAnsi="宋体" w:eastAsia="宋体" w:cs="宋体"/>
          <w:color w:val="auto"/>
          <w:sz w:val="28"/>
          <w:highlight w:val="none"/>
          <w:u w:val="single" w:color="000000"/>
        </w:rPr>
        <w:t xml:space="preserve">        </w:t>
      </w:r>
      <w:bookmarkStart w:id="183" w:name="_Toc20579_WPSOffice_Level1"/>
      <w:bookmarkStart w:id="184" w:name="_Toc17711_WPSOffice_Level1"/>
      <w:bookmarkStart w:id="185" w:name="_Toc21990"/>
      <w:r>
        <w:rPr>
          <w:rFonts w:hint="eastAsia" w:ascii="宋体" w:hAnsi="宋体" w:eastAsia="宋体" w:cs="宋体"/>
          <w:color w:val="auto"/>
          <w:sz w:val="28"/>
          <w:highlight w:val="none"/>
        </w:rPr>
        <w:t>（项目名称）项目</w:t>
      </w:r>
      <w:bookmarkEnd w:id="183"/>
      <w:bookmarkEnd w:id="184"/>
      <w:bookmarkEnd w:id="185"/>
      <w:r>
        <w:rPr>
          <w:rFonts w:hint="eastAsia" w:ascii="宋体" w:hAnsi="宋体" w:eastAsia="宋体" w:cs="宋体"/>
          <w:color w:val="auto"/>
          <w:sz w:val="28"/>
          <w:highlight w:val="none"/>
        </w:rPr>
        <w:t xml:space="preserve"> </w:t>
      </w:r>
    </w:p>
    <w:p w14:paraId="508C75D5">
      <w:pPr>
        <w:spacing w:after="0"/>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p>
    <w:p w14:paraId="0EBC6031">
      <w:pPr>
        <w:spacing w:after="254"/>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p>
    <w:p w14:paraId="254F7538">
      <w:pPr>
        <w:spacing w:after="0"/>
        <w:jc w:val="center"/>
        <w:outlineLvl w:val="1"/>
        <w:rPr>
          <w:rFonts w:hint="eastAsia" w:ascii="宋体" w:hAnsi="宋体" w:eastAsia="宋体" w:cs="宋体"/>
          <w:color w:val="auto"/>
          <w:highlight w:val="none"/>
        </w:rPr>
      </w:pPr>
      <w:bookmarkStart w:id="186" w:name="_Toc24750_WPSOffice_Level2"/>
      <w:bookmarkStart w:id="187" w:name="_Toc31449_WPSOffice_Level2"/>
      <w:bookmarkStart w:id="188" w:name="_Toc16891"/>
      <w:r>
        <w:rPr>
          <w:rFonts w:hint="eastAsia" w:ascii="宋体" w:hAnsi="宋体" w:eastAsia="宋体" w:cs="宋体"/>
          <w:color w:val="auto"/>
          <w:sz w:val="44"/>
          <w:highlight w:val="none"/>
        </w:rPr>
        <w:t>投 标 文 件</w:t>
      </w:r>
      <w:bookmarkEnd w:id="186"/>
      <w:bookmarkEnd w:id="187"/>
      <w:bookmarkEnd w:id="188"/>
      <w:r>
        <w:rPr>
          <w:rFonts w:hint="eastAsia" w:ascii="宋体" w:hAnsi="宋体" w:eastAsia="宋体" w:cs="宋体"/>
          <w:color w:val="auto"/>
          <w:sz w:val="44"/>
          <w:highlight w:val="none"/>
        </w:rPr>
        <w:t xml:space="preserve"> </w:t>
      </w:r>
    </w:p>
    <w:p w14:paraId="1427245C">
      <w:pPr>
        <w:spacing w:after="0"/>
        <w:jc w:val="center"/>
        <w:rPr>
          <w:rFonts w:hint="eastAsia" w:ascii="宋体" w:hAnsi="宋体" w:eastAsia="宋体" w:cs="宋体"/>
          <w:color w:val="auto"/>
          <w:highlight w:val="none"/>
        </w:rPr>
      </w:pPr>
      <w:r>
        <w:rPr>
          <w:rFonts w:hint="eastAsia" w:ascii="宋体" w:hAnsi="宋体" w:eastAsia="宋体" w:cs="宋体"/>
          <w:color w:val="auto"/>
          <w:sz w:val="44"/>
          <w:highlight w:val="none"/>
        </w:rPr>
        <w:t xml:space="preserve"> </w:t>
      </w:r>
    </w:p>
    <w:p w14:paraId="3F7FA1EF">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6C951882">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7827CA05">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5E80933A">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3553D07E">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27B41B46">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4905E48C">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71A5F4E1">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72E6CD38">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2E72AED6">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5FB9FFD6">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1899311C">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49A5C276">
      <w:pPr>
        <w:spacing w:after="0"/>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77902129">
      <w:pPr>
        <w:spacing w:after="38"/>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27611DFA">
      <w:pPr>
        <w:spacing w:after="0" w:line="379" w:lineRule="auto"/>
        <w:ind w:left="1131" w:leftChars="514" w:firstLine="700" w:firstLineChars="250"/>
        <w:outlineLvl w:val="1"/>
        <w:rPr>
          <w:rFonts w:hint="eastAsia" w:ascii="宋体" w:hAnsi="宋体" w:eastAsia="宋体" w:cs="宋体"/>
          <w:color w:val="auto"/>
          <w:sz w:val="28"/>
          <w:highlight w:val="none"/>
        </w:rPr>
      </w:pPr>
      <w:bookmarkStart w:id="189" w:name="_Toc439_WPSOffice_Level2"/>
      <w:bookmarkStart w:id="190" w:name="_Toc2136_WPSOffice_Level2"/>
      <w:bookmarkStart w:id="191" w:name="_Toc17165"/>
      <w:r>
        <w:rPr>
          <w:rFonts w:hint="eastAsia" w:ascii="宋体" w:hAnsi="宋体" w:eastAsia="宋体" w:cs="宋体"/>
          <w:color w:val="auto"/>
          <w:sz w:val="28"/>
          <w:highlight w:val="none"/>
        </w:rPr>
        <w:t>投标人：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（盖单位章）</w:t>
      </w:r>
      <w:bookmarkEnd w:id="189"/>
      <w:bookmarkEnd w:id="190"/>
      <w:bookmarkEnd w:id="191"/>
    </w:p>
    <w:p w14:paraId="65F23A12">
      <w:pPr>
        <w:spacing w:after="0" w:line="379" w:lineRule="auto"/>
        <w:ind w:left="1131" w:leftChars="514" w:firstLine="700" w:firstLineChars="250"/>
        <w:outlineLvl w:val="1"/>
        <w:rPr>
          <w:rFonts w:hint="eastAsia" w:ascii="宋体" w:hAnsi="宋体" w:eastAsia="宋体" w:cs="宋体"/>
          <w:color w:val="auto"/>
          <w:highlight w:val="none"/>
        </w:rPr>
      </w:pPr>
      <w:bookmarkStart w:id="192" w:name="_Toc23768_WPSOffice_Level2"/>
      <w:bookmarkStart w:id="193" w:name="_Toc1560"/>
      <w:bookmarkStart w:id="194" w:name="_Toc26506_WPSOffice_Level2"/>
      <w:r>
        <w:rPr>
          <w:rFonts w:hint="eastAsia" w:ascii="宋体" w:hAnsi="宋体" w:eastAsia="宋体" w:cs="宋体"/>
          <w:color w:val="auto"/>
          <w:sz w:val="28"/>
          <w:highlight w:val="none"/>
        </w:rPr>
        <w:t>法定代表人或其委托代理人：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（签字）</w:t>
      </w:r>
      <w:bookmarkEnd w:id="192"/>
      <w:bookmarkEnd w:id="193"/>
      <w:bookmarkEnd w:id="194"/>
      <w:r>
        <w:rPr>
          <w:rFonts w:hint="eastAsia" w:ascii="宋体" w:hAnsi="宋体" w:eastAsia="宋体" w:cs="宋体"/>
          <w:color w:val="auto"/>
          <w:sz w:val="28"/>
          <w:highlight w:val="none"/>
        </w:rPr>
        <w:t xml:space="preserve"> </w:t>
      </w:r>
    </w:p>
    <w:p w14:paraId="1E1F0BE8">
      <w:pPr>
        <w:spacing w:after="73"/>
        <w:jc w:val="center"/>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2A72E8FA">
      <w:pPr>
        <w:tabs>
          <w:tab w:val="center" w:pos="4320"/>
          <w:tab w:val="center" w:pos="8723"/>
        </w:tabs>
        <w:spacing w:after="127"/>
        <w:outlineLvl w:val="1"/>
        <w:rPr>
          <w:rFonts w:hint="eastAsia" w:ascii="宋体" w:hAnsi="宋体" w:eastAsia="宋体" w:cs="宋体"/>
          <w:color w:val="auto"/>
          <w:sz w:val="21"/>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sz w:val="21"/>
          <w:highlight w:val="none"/>
          <w:u w:val="single" w:color="000000"/>
        </w:rPr>
        <w:t xml:space="preserve">       </w:t>
      </w:r>
      <w:bookmarkStart w:id="195" w:name="_Toc24383_WPSOffice_Level2"/>
      <w:bookmarkStart w:id="196" w:name="_Toc3852_WPSOffice_Level2"/>
      <w:bookmarkStart w:id="197" w:name="_Toc26534"/>
      <w:r>
        <w:rPr>
          <w:rFonts w:hint="eastAsia" w:ascii="宋体" w:hAnsi="宋体" w:eastAsia="宋体" w:cs="宋体"/>
          <w:color w:val="auto"/>
          <w:sz w:val="28"/>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日</w:t>
      </w:r>
      <w:bookmarkEnd w:id="195"/>
      <w:bookmarkEnd w:id="196"/>
      <w:bookmarkEnd w:id="197"/>
      <w:r>
        <w:rPr>
          <w:rFonts w:hint="eastAsia" w:ascii="宋体" w:hAnsi="宋体" w:eastAsia="宋体" w:cs="宋体"/>
          <w:color w:val="auto"/>
          <w:sz w:val="21"/>
          <w:highlight w:val="none"/>
        </w:rPr>
        <w:t xml:space="preserve"> </w:t>
      </w:r>
    </w:p>
    <w:p w14:paraId="2E16D2F4">
      <w:pPr>
        <w:tabs>
          <w:tab w:val="center" w:pos="4320"/>
          <w:tab w:val="center" w:pos="8723"/>
        </w:tabs>
        <w:spacing w:after="127"/>
        <w:rPr>
          <w:rFonts w:hint="eastAsia" w:ascii="宋体" w:hAnsi="宋体" w:eastAsia="宋体" w:cs="宋体"/>
          <w:color w:val="auto"/>
          <w:highlight w:val="none"/>
        </w:rPr>
      </w:pP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 xml:space="preserve"> </w:t>
      </w:r>
    </w:p>
    <w:p w14:paraId="0ACE2E66">
      <w:pPr>
        <w:rPr>
          <w:rFonts w:hint="eastAsia" w:ascii="宋体" w:hAnsi="宋体" w:eastAsia="宋体" w:cs="宋体"/>
          <w:color w:val="auto"/>
          <w:highlight w:val="none"/>
        </w:rPr>
      </w:pPr>
    </w:p>
    <w:p w14:paraId="17418419">
      <w:pPr>
        <w:pStyle w:val="4"/>
        <w:spacing w:after="645" w:line="267" w:lineRule="auto"/>
        <w:ind w:right="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bookmarkStart w:id="198" w:name="_Toc29381_WPSOffice_Level2"/>
      <w:bookmarkStart w:id="199" w:name="_Toc526895064"/>
      <w:bookmarkStart w:id="200" w:name="_Toc29508_WPSOffice_Level2"/>
    </w:p>
    <w:p w14:paraId="0F5C0353">
      <w:pPr>
        <w:pStyle w:val="4"/>
        <w:spacing w:after="645" w:line="267" w:lineRule="auto"/>
        <w:ind w:right="0"/>
        <w:jc w:val="center"/>
        <w:rPr>
          <w:rFonts w:hint="eastAsia" w:ascii="宋体" w:hAnsi="宋体" w:eastAsia="宋体" w:cs="宋体"/>
          <w:color w:val="auto"/>
          <w:highlight w:val="none"/>
        </w:rPr>
      </w:pPr>
      <w:bookmarkStart w:id="201" w:name="_Toc2720"/>
      <w:r>
        <w:rPr>
          <w:rFonts w:hint="eastAsia" w:ascii="宋体" w:hAnsi="宋体" w:eastAsia="宋体" w:cs="宋体"/>
          <w:color w:val="auto"/>
          <w:sz w:val="32"/>
          <w:highlight w:val="none"/>
        </w:rPr>
        <w:t>目录</w:t>
      </w:r>
      <w:bookmarkEnd w:id="198"/>
      <w:bookmarkEnd w:id="199"/>
      <w:bookmarkEnd w:id="200"/>
      <w:bookmarkEnd w:id="201"/>
    </w:p>
    <w:p w14:paraId="56BD230D">
      <w:pPr>
        <w:spacing w:after="28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7F54BAB">
      <w:pPr>
        <w:spacing w:after="0" w:line="491" w:lineRule="auto"/>
        <w:ind w:left="-5" w:firstLine="572"/>
        <w:outlineLvl w:val="0"/>
        <w:rPr>
          <w:rFonts w:hint="eastAsia" w:ascii="宋体" w:hAnsi="宋体" w:eastAsia="宋体" w:cs="宋体"/>
          <w:color w:val="auto"/>
          <w:sz w:val="21"/>
          <w:highlight w:val="none"/>
        </w:rPr>
      </w:pPr>
      <w:bookmarkStart w:id="202" w:name="_Toc8627_WPSOffice_Level2"/>
      <w:bookmarkStart w:id="203" w:name="_Toc31821_WPSOffice_Level2"/>
      <w:bookmarkStart w:id="204" w:name="_Toc13232"/>
      <w:r>
        <w:rPr>
          <w:rFonts w:hint="eastAsia" w:ascii="宋体" w:hAnsi="宋体" w:eastAsia="宋体" w:cs="宋体"/>
          <w:color w:val="auto"/>
          <w:sz w:val="21"/>
          <w:highlight w:val="none"/>
        </w:rPr>
        <w:t>一、投标函及投标函附录</w:t>
      </w:r>
      <w:bookmarkEnd w:id="202"/>
      <w:bookmarkEnd w:id="203"/>
      <w:bookmarkEnd w:id="204"/>
    </w:p>
    <w:p w14:paraId="00739178">
      <w:pPr>
        <w:spacing w:after="0" w:line="491" w:lineRule="auto"/>
        <w:ind w:left="-5" w:firstLine="572"/>
        <w:outlineLvl w:val="0"/>
        <w:rPr>
          <w:rFonts w:hint="eastAsia" w:ascii="宋体" w:hAnsi="宋体" w:eastAsia="宋体" w:cs="宋体"/>
          <w:color w:val="auto"/>
          <w:sz w:val="21"/>
          <w:highlight w:val="none"/>
        </w:rPr>
      </w:pPr>
      <w:bookmarkStart w:id="205" w:name="_Toc800_WPSOffice_Level2"/>
      <w:bookmarkStart w:id="206" w:name="_Toc5779_WPSOffice_Level2"/>
      <w:bookmarkStart w:id="207" w:name="_Toc1970"/>
      <w:r>
        <w:rPr>
          <w:rFonts w:hint="eastAsia" w:ascii="宋体" w:hAnsi="宋体" w:eastAsia="宋体" w:cs="宋体"/>
          <w:color w:val="auto"/>
          <w:sz w:val="21"/>
          <w:highlight w:val="none"/>
        </w:rPr>
        <w:t>二、法定代表人身份证明（适用于无委托代理人的情况）</w:t>
      </w:r>
      <w:bookmarkEnd w:id="205"/>
      <w:bookmarkEnd w:id="206"/>
      <w:bookmarkEnd w:id="207"/>
    </w:p>
    <w:p w14:paraId="708E8654">
      <w:pPr>
        <w:spacing w:after="0" w:line="491" w:lineRule="auto"/>
        <w:ind w:left="-5" w:firstLine="572"/>
        <w:outlineLvl w:val="0"/>
        <w:rPr>
          <w:rFonts w:hint="eastAsia" w:ascii="宋体" w:hAnsi="宋体" w:eastAsia="宋体" w:cs="宋体"/>
          <w:color w:val="auto"/>
          <w:sz w:val="21"/>
          <w:highlight w:val="none"/>
        </w:rPr>
      </w:pPr>
      <w:bookmarkStart w:id="208" w:name="_Toc25685_WPSOffice_Level2"/>
      <w:bookmarkStart w:id="209" w:name="_Toc21535_WPSOffice_Level2"/>
      <w:bookmarkStart w:id="210" w:name="_Toc20106"/>
      <w:r>
        <w:rPr>
          <w:rFonts w:hint="eastAsia" w:ascii="宋体" w:hAnsi="宋体" w:eastAsia="宋体" w:cs="宋体"/>
          <w:color w:val="auto"/>
          <w:sz w:val="21"/>
          <w:highlight w:val="none"/>
        </w:rPr>
        <w:t>三、授权委托书（适用于有委托代理人的情况）</w:t>
      </w:r>
      <w:bookmarkEnd w:id="208"/>
      <w:bookmarkEnd w:id="209"/>
      <w:bookmarkEnd w:id="210"/>
    </w:p>
    <w:p w14:paraId="607AF406">
      <w:pPr>
        <w:spacing w:after="0" w:line="491" w:lineRule="auto"/>
        <w:ind w:left="-5" w:firstLine="572"/>
        <w:outlineLvl w:val="0"/>
        <w:rPr>
          <w:rFonts w:hint="eastAsia" w:ascii="宋体" w:hAnsi="宋体" w:eastAsia="宋体" w:cs="宋体"/>
          <w:color w:val="auto"/>
          <w:sz w:val="21"/>
          <w:highlight w:val="none"/>
        </w:rPr>
      </w:pPr>
      <w:bookmarkStart w:id="211" w:name="_Toc27598_WPSOffice_Level2"/>
      <w:bookmarkStart w:id="212" w:name="_Toc11517"/>
      <w:bookmarkStart w:id="213" w:name="_Toc16404_WPSOffice_Level2"/>
      <w:r>
        <w:rPr>
          <w:rFonts w:hint="eastAsia" w:ascii="宋体" w:hAnsi="宋体" w:eastAsia="宋体" w:cs="宋体"/>
          <w:color w:val="auto"/>
          <w:sz w:val="21"/>
          <w:highlight w:val="none"/>
        </w:rPr>
        <w:t>四、第三方检测工程量清单</w:t>
      </w:r>
    </w:p>
    <w:p w14:paraId="353B5E00">
      <w:pPr>
        <w:spacing w:after="0" w:line="491" w:lineRule="auto"/>
        <w:ind w:left="-5" w:firstLine="572"/>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五</w:t>
      </w:r>
      <w:r>
        <w:rPr>
          <w:rFonts w:hint="eastAsia" w:ascii="宋体" w:hAnsi="宋体" w:eastAsia="宋体" w:cs="宋体"/>
          <w:color w:val="auto"/>
          <w:sz w:val="21"/>
          <w:highlight w:val="none"/>
        </w:rPr>
        <w:t>、</w:t>
      </w:r>
      <w:bookmarkEnd w:id="211"/>
      <w:bookmarkEnd w:id="212"/>
      <w:bookmarkEnd w:id="213"/>
      <w:r>
        <w:rPr>
          <w:rFonts w:hint="eastAsia" w:ascii="宋体" w:hAnsi="宋体" w:eastAsia="宋体" w:cs="宋体"/>
          <w:color w:val="auto"/>
          <w:sz w:val="21"/>
          <w:highlight w:val="none"/>
        </w:rPr>
        <w:t>资格审查资料</w:t>
      </w:r>
    </w:p>
    <w:p w14:paraId="417E81C1">
      <w:pPr>
        <w:spacing w:after="0" w:line="491" w:lineRule="auto"/>
        <w:ind w:left="-5" w:firstLine="572"/>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六</w:t>
      </w:r>
      <w:r>
        <w:rPr>
          <w:rFonts w:hint="eastAsia" w:ascii="宋体" w:hAnsi="宋体" w:eastAsia="宋体" w:cs="宋体"/>
          <w:color w:val="auto"/>
          <w:sz w:val="21"/>
          <w:highlight w:val="none"/>
        </w:rPr>
        <w:t>、检测纲要</w:t>
      </w:r>
    </w:p>
    <w:p w14:paraId="2BD7657B">
      <w:pPr>
        <w:spacing w:after="0" w:line="491" w:lineRule="auto"/>
        <w:ind w:left="-5" w:firstLine="572"/>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七</w:t>
      </w:r>
      <w:r>
        <w:rPr>
          <w:rFonts w:hint="eastAsia" w:ascii="宋体" w:hAnsi="宋体" w:eastAsia="宋体" w:cs="宋体"/>
          <w:color w:val="auto"/>
          <w:sz w:val="21"/>
          <w:highlight w:val="none"/>
        </w:rPr>
        <w:t>、其它资料</w:t>
      </w:r>
    </w:p>
    <w:p w14:paraId="3724B3C7">
      <w:pPr>
        <w:spacing w:after="0" w:line="491" w:lineRule="auto"/>
        <w:ind w:left="-5" w:firstLine="572"/>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14873A9F">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tab/>
      </w:r>
      <w:r>
        <w:rPr>
          <w:rFonts w:hint="eastAsia" w:ascii="宋体" w:hAnsi="宋体" w:eastAsia="宋体" w:cs="宋体"/>
          <w:color w:val="auto"/>
          <w:sz w:val="20"/>
          <w:highlight w:val="none"/>
        </w:rPr>
        <w:t xml:space="preserve"> </w:t>
      </w:r>
    </w:p>
    <w:p w14:paraId="3E49632D">
      <w:pPr>
        <w:pStyle w:val="4"/>
        <w:spacing w:after="509" w:line="360" w:lineRule="auto"/>
        <w:ind w:right="0"/>
        <w:jc w:val="center"/>
        <w:rPr>
          <w:rFonts w:hint="eastAsia" w:ascii="宋体" w:hAnsi="宋体" w:eastAsia="宋体" w:cs="宋体"/>
          <w:color w:val="auto"/>
          <w:highlight w:val="none"/>
        </w:rPr>
      </w:pPr>
      <w:r>
        <w:rPr>
          <w:rFonts w:hint="eastAsia" w:ascii="宋体" w:hAnsi="宋体" w:eastAsia="宋体" w:cs="宋体"/>
          <w:color w:val="auto"/>
          <w:sz w:val="32"/>
          <w:highlight w:val="none"/>
        </w:rPr>
        <w:br w:type="page"/>
      </w:r>
      <w:bookmarkStart w:id="214" w:name="_Toc12494"/>
      <w:bookmarkStart w:id="215" w:name="_Toc526895065"/>
      <w:bookmarkStart w:id="216" w:name="_Toc18480_WPSOffice_Level1"/>
      <w:r>
        <w:rPr>
          <w:rFonts w:hint="eastAsia" w:ascii="宋体" w:hAnsi="宋体" w:eastAsia="宋体" w:cs="宋体"/>
          <w:color w:val="auto"/>
          <w:sz w:val="32"/>
          <w:highlight w:val="none"/>
        </w:rPr>
        <w:t>一、投标函及投标函附录</w:t>
      </w:r>
      <w:bookmarkEnd w:id="214"/>
      <w:bookmarkEnd w:id="215"/>
      <w:bookmarkEnd w:id="216"/>
      <w:r>
        <w:rPr>
          <w:rFonts w:hint="eastAsia" w:ascii="宋体" w:hAnsi="宋体" w:eastAsia="宋体" w:cs="宋体"/>
          <w:b/>
          <w:color w:val="auto"/>
          <w:sz w:val="32"/>
          <w:highlight w:val="none"/>
        </w:rPr>
        <w:t xml:space="preserve"> </w:t>
      </w:r>
    </w:p>
    <w:p w14:paraId="04D1684D">
      <w:pPr>
        <w:pStyle w:val="6"/>
        <w:spacing w:after="575" w:line="300" w:lineRule="exact"/>
        <w:ind w:left="132" w:right="308" w:rightChars="140" w:firstLine="152"/>
        <w:rPr>
          <w:rFonts w:hint="eastAsia" w:ascii="宋体" w:hAnsi="宋体" w:eastAsia="宋体" w:cs="宋体"/>
          <w:color w:val="auto"/>
          <w:highlight w:val="none"/>
        </w:rPr>
      </w:pPr>
      <w:bookmarkStart w:id="217" w:name="_Toc15619_WPSOffice_Level2"/>
      <w:bookmarkStart w:id="218" w:name="_Toc27996_WPSOffice_Level2"/>
      <w:bookmarkStart w:id="219" w:name="_Toc13647"/>
      <w:bookmarkStart w:id="220" w:name="_Toc526895066"/>
      <w:r>
        <w:rPr>
          <w:rFonts w:hint="eastAsia" w:ascii="宋体" w:hAnsi="宋体" w:eastAsia="宋体" w:cs="宋体"/>
          <w:color w:val="auto"/>
          <w:highlight w:val="none"/>
        </w:rPr>
        <w:t>（一）投标函</w:t>
      </w:r>
      <w:bookmarkEnd w:id="217"/>
      <w:bookmarkEnd w:id="218"/>
      <w:bookmarkEnd w:id="219"/>
      <w:bookmarkEnd w:id="220"/>
      <w:r>
        <w:rPr>
          <w:rFonts w:hint="eastAsia" w:ascii="宋体" w:hAnsi="宋体" w:eastAsia="宋体" w:cs="宋体"/>
          <w:color w:val="auto"/>
          <w:highlight w:val="none"/>
        </w:rPr>
        <w:t xml:space="preserve"> </w:t>
      </w:r>
    </w:p>
    <w:p w14:paraId="51E71F2A">
      <w:pPr>
        <w:spacing w:after="152" w:line="300" w:lineRule="exact"/>
        <w:ind w:left="-5"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（招标人名称）： </w:t>
      </w:r>
    </w:p>
    <w:p w14:paraId="07ECDE72">
      <w:pPr>
        <w:spacing w:after="30" w:line="300" w:lineRule="exact"/>
        <w:ind w:left="-15" w:right="308" w:rightChars="140" w:firstLine="630" w:firstLineChars="300"/>
        <w:jc w:val="both"/>
        <w:rPr>
          <w:rFonts w:hint="eastAsia" w:ascii="宋体" w:hAnsi="宋体" w:eastAsia="宋体" w:cs="宋体"/>
          <w:color w:val="auto"/>
          <w:highlight w:val="none"/>
        </w:rPr>
      </w:pPr>
      <w:r>
        <w:rPr>
          <w:rFonts w:hint="eastAsia" w:ascii="宋体" w:hAnsi="宋体" w:eastAsia="宋体" w:cs="宋体"/>
          <w:color w:val="auto"/>
          <w:sz w:val="21"/>
          <w:highlight w:val="none"/>
        </w:rPr>
        <w:t>1．我方已仔细研究了</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（项目名称）项目招标文件的全部内容，愿意以人民币（大写）</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color="000000"/>
        </w:rPr>
        <w:t xml:space="preserve">               元</w:t>
      </w:r>
      <w:r>
        <w:rPr>
          <w:rFonts w:hint="eastAsia" w:ascii="宋体" w:hAnsi="宋体" w:eastAsia="宋体" w:cs="宋体"/>
          <w:color w:val="auto"/>
          <w:sz w:val="21"/>
          <w:highlight w:val="none"/>
        </w:rPr>
        <w:t>）的投标总报价（其中，增值税税率为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），服务期限：</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，按合同约定完成检测工作。 </w:t>
      </w:r>
    </w:p>
    <w:p w14:paraId="781614B4">
      <w:pPr>
        <w:spacing w:after="123" w:line="300" w:lineRule="exact"/>
        <w:ind w:left="430"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2. 我方的投标文件包括下列内容： </w:t>
      </w:r>
    </w:p>
    <w:p w14:paraId="1B3CB48B">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投标函及投标函附录； </w:t>
      </w:r>
    </w:p>
    <w:p w14:paraId="5976E44A">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法定代表人身份证明； </w:t>
      </w:r>
    </w:p>
    <w:p w14:paraId="0706A052">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授权委托书； </w:t>
      </w:r>
    </w:p>
    <w:p w14:paraId="5CD8EB8D">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第三方检测工程量清单</w:t>
      </w:r>
      <w:r>
        <w:rPr>
          <w:rFonts w:hint="eastAsia" w:ascii="宋体" w:hAnsi="宋体" w:eastAsia="宋体" w:cs="宋体"/>
          <w:color w:val="auto"/>
          <w:sz w:val="21"/>
          <w:highlight w:val="none"/>
          <w:lang w:eastAsia="zh-CN"/>
        </w:rPr>
        <w:t>；</w:t>
      </w:r>
    </w:p>
    <w:p w14:paraId="06846645">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资格审查资料； </w:t>
      </w:r>
    </w:p>
    <w:p w14:paraId="0B937AE3">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检测纲要；</w:t>
      </w:r>
    </w:p>
    <w:p w14:paraId="4B7C345F">
      <w:pPr>
        <w:numPr>
          <w:ilvl w:val="0"/>
          <w:numId w:val="10"/>
        </w:numPr>
        <w:spacing w:after="123" w:line="300" w:lineRule="exact"/>
        <w:ind w:left="932"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其他资料 </w:t>
      </w:r>
    </w:p>
    <w:p w14:paraId="46B0FBD5">
      <w:pPr>
        <w:spacing w:after="172" w:line="300" w:lineRule="exact"/>
        <w:ind w:left="416" w:leftChars="189" w:right="308" w:rightChars="140" w:firstLine="210" w:firstLineChars="1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6C905B4E">
      <w:pPr>
        <w:spacing w:after="162" w:line="300" w:lineRule="exact"/>
        <w:ind w:left="430"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投标文件须含有上述组成部分但不限于以上部分，如存在内容不一致的，以投标函为准。 </w:t>
      </w:r>
    </w:p>
    <w:p w14:paraId="1E424D1A">
      <w:pPr>
        <w:spacing w:after="159" w:line="300" w:lineRule="exact"/>
        <w:ind w:left="430"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3．我方承诺在招标文件规定的投标有效期内不撤销投标文件。 </w:t>
      </w:r>
    </w:p>
    <w:p w14:paraId="4330D7B2">
      <w:pPr>
        <w:spacing w:after="159" w:line="300" w:lineRule="exact"/>
        <w:ind w:left="430"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4．如我方中标，我方承诺： </w:t>
      </w:r>
    </w:p>
    <w:p w14:paraId="6CFBE08C">
      <w:pPr>
        <w:numPr>
          <w:ilvl w:val="1"/>
          <w:numId w:val="10"/>
        </w:numPr>
        <w:spacing w:after="167" w:line="300" w:lineRule="exact"/>
        <w:ind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在收到中标通知书后，在中标通知书规定的期限内与你方签订合同； </w:t>
      </w:r>
    </w:p>
    <w:p w14:paraId="676CDFB0">
      <w:pPr>
        <w:numPr>
          <w:ilvl w:val="1"/>
          <w:numId w:val="10"/>
        </w:numPr>
        <w:spacing w:after="159" w:line="300" w:lineRule="exact"/>
        <w:ind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在签订合同时不向你方提出附加条件； </w:t>
      </w:r>
    </w:p>
    <w:p w14:paraId="4D3B8263">
      <w:pPr>
        <w:numPr>
          <w:ilvl w:val="1"/>
          <w:numId w:val="10"/>
        </w:numPr>
        <w:spacing w:after="162" w:line="300" w:lineRule="exact"/>
        <w:ind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在合同约定的期限内完成合同规定的全部义务。 </w:t>
      </w:r>
    </w:p>
    <w:p w14:paraId="3383B980">
      <w:pPr>
        <w:spacing w:line="300" w:lineRule="exact"/>
        <w:ind w:left="430"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5．我方在此声明，所递交的投标文件及有关资料内容完整、真实和准确，且不存在第二章</w:t>
      </w:r>
    </w:p>
    <w:p w14:paraId="32F16670">
      <w:pPr>
        <w:spacing w:after="159" w:line="300" w:lineRule="exact"/>
        <w:ind w:left="-5"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“投标人须知”第 1.4.3 项规定的任何一种情形。 </w:t>
      </w:r>
    </w:p>
    <w:p w14:paraId="6F6ACAEC">
      <w:pPr>
        <w:spacing w:after="146" w:line="300" w:lineRule="exact"/>
        <w:ind w:left="430" w:right="308" w:rightChars="140" w:firstLine="152"/>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（其他补充说明）。 </w:t>
      </w:r>
    </w:p>
    <w:p w14:paraId="5A773313">
      <w:pPr>
        <w:spacing w:after="146" w:line="300" w:lineRule="exact"/>
        <w:ind w:left="10" w:right="308" w:rightChars="140" w:firstLine="152"/>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 标 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（盖单位章）                         </w:t>
      </w:r>
    </w:p>
    <w:p w14:paraId="25B57497">
      <w:pPr>
        <w:spacing w:after="146" w:line="300" w:lineRule="exact"/>
        <w:ind w:left="10" w:right="308" w:rightChars="140" w:firstLine="152"/>
        <w:jc w:val="right"/>
        <w:rPr>
          <w:rFonts w:hint="eastAsia" w:ascii="宋体" w:hAnsi="宋体" w:eastAsia="宋体" w:cs="宋体"/>
          <w:color w:val="auto"/>
          <w:highlight w:val="none"/>
        </w:rPr>
      </w:pPr>
      <w:r>
        <w:rPr>
          <w:rFonts w:hint="eastAsia" w:ascii="宋体" w:hAnsi="宋体" w:eastAsia="宋体" w:cs="宋体"/>
          <w:color w:val="auto"/>
          <w:sz w:val="21"/>
          <w:highlight w:val="none"/>
        </w:rPr>
        <w:t>法定代表人或其委托代理人：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（签字） </w:t>
      </w:r>
    </w:p>
    <w:p w14:paraId="6D7EE822">
      <w:pPr>
        <w:spacing w:after="1" w:line="300" w:lineRule="exact"/>
        <w:ind w:right="308" w:rightChars="140" w:firstLine="152"/>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地    址：</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p>
    <w:p w14:paraId="025206DD">
      <w:pPr>
        <w:spacing w:after="1" w:line="300" w:lineRule="exact"/>
        <w:ind w:right="308" w:rightChars="140" w:firstLine="152"/>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网    址：</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u w:val="single" w:color="000000"/>
        </w:rPr>
        <w:tab/>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 </w:t>
      </w:r>
    </w:p>
    <w:p w14:paraId="4B9DAEB5">
      <w:pPr>
        <w:spacing w:after="1" w:line="300" w:lineRule="exact"/>
        <w:ind w:right="308" w:rightChars="140" w:firstLine="152"/>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电    话：</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u w:val="single" w:color="000000"/>
        </w:rPr>
        <w:tab/>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u w:val="single" w:color="000000"/>
        </w:rPr>
        <w:tab/>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 </w:t>
      </w:r>
    </w:p>
    <w:p w14:paraId="599A9618">
      <w:pPr>
        <w:spacing w:after="1" w:line="300" w:lineRule="exact"/>
        <w:ind w:right="308" w:rightChars="140" w:firstLine="5775" w:firstLineChars="2750"/>
        <w:rPr>
          <w:rFonts w:hint="eastAsia" w:ascii="宋体" w:hAnsi="宋体" w:eastAsia="宋体" w:cs="宋体"/>
          <w:color w:val="auto"/>
          <w:sz w:val="21"/>
          <w:highlight w:val="none"/>
        </w:rPr>
      </w:pPr>
      <w:r>
        <w:rPr>
          <w:rFonts w:hint="eastAsia" w:ascii="宋体" w:hAnsi="宋体" w:eastAsia="宋体" w:cs="宋体"/>
          <w:color w:val="auto"/>
          <w:sz w:val="21"/>
          <w:highlight w:val="none"/>
        </w:rPr>
        <w:t>传    真：</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u w:val="single" w:color="000000"/>
        </w:rPr>
        <w:tab/>
      </w:r>
      <w:r>
        <w:rPr>
          <w:rFonts w:hint="eastAsia" w:ascii="宋体" w:hAnsi="宋体" w:eastAsia="宋体" w:cs="宋体"/>
          <w:color w:val="auto"/>
          <w:sz w:val="21"/>
          <w:highlight w:val="none"/>
          <w:u w:val="single"/>
        </w:rPr>
        <w:t xml:space="preserve">                                 </w:t>
      </w:r>
    </w:p>
    <w:p w14:paraId="5C36BC30">
      <w:pPr>
        <w:spacing w:after="1" w:line="300" w:lineRule="exact"/>
        <w:ind w:right="308" w:rightChars="140" w:firstLine="152"/>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邮政编码：</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single"/>
        </w:rPr>
        <w:t xml:space="preserve">                                 </w:t>
      </w:r>
    </w:p>
    <w:p w14:paraId="5814F2D3">
      <w:pPr>
        <w:spacing w:after="146" w:line="300" w:lineRule="exact"/>
        <w:ind w:left="10" w:right="308" w:rightChars="140" w:firstLine="152"/>
        <w:jc w:val="right"/>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日 </w:t>
      </w:r>
    </w:p>
    <w:p w14:paraId="6968351A">
      <w:pPr>
        <w:spacing w:after="177"/>
        <w:ind w:right="308" w:rightChars="140" w:firstLine="152"/>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bl>
      <w:tblPr>
        <w:tblStyle w:val="38"/>
        <w:tblpPr w:leftFromText="180" w:rightFromText="180" w:vertAnchor="text" w:horzAnchor="margin" w:tblpX="534" w:tblpY="9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028"/>
        <w:gridCol w:w="3823"/>
      </w:tblGrid>
      <w:tr w14:paraId="29D2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14:paraId="49A48AF9">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5DAF65E2">
            <w:pPr>
              <w:autoSpaceDE w:val="0"/>
              <w:autoSpaceDN w:val="0"/>
              <w:adjustRightInd w:val="0"/>
              <w:jc w:val="center"/>
              <w:rPr>
                <w:rFonts w:hint="eastAsia" w:ascii="宋体" w:hAnsi="宋体" w:eastAsia="宋体" w:cs="宋体"/>
                <w:bCs/>
                <w:color w:val="auto"/>
                <w:sz w:val="24"/>
                <w:szCs w:val="24"/>
                <w:highlight w:val="none"/>
                <w:lang w:val="zh-CN"/>
              </w:rPr>
            </w:pPr>
          </w:p>
        </w:tc>
      </w:tr>
      <w:tr w14:paraId="4CD3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single" w:color="auto" w:sz="4" w:space="0"/>
              <w:left w:val="single" w:color="auto" w:sz="4" w:space="0"/>
              <w:bottom w:val="single" w:color="auto" w:sz="4" w:space="0"/>
              <w:right w:val="single" w:color="auto" w:sz="4" w:space="0"/>
            </w:tcBorders>
            <w:noWrap w:val="0"/>
            <w:vAlign w:val="center"/>
          </w:tcPr>
          <w:p w14:paraId="4C0FF3DB">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投标总报价（元）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14:paraId="023D4918">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p>
        </w:tc>
      </w:tr>
      <w:tr w14:paraId="4E12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8" w:type="dxa"/>
            <w:vMerge w:val="continue"/>
            <w:tcBorders>
              <w:top w:val="single" w:color="auto" w:sz="4" w:space="0"/>
              <w:left w:val="single" w:color="auto" w:sz="4" w:space="0"/>
              <w:bottom w:val="single" w:color="auto" w:sz="4" w:space="0"/>
              <w:right w:val="single" w:color="auto" w:sz="4" w:space="0"/>
            </w:tcBorders>
            <w:noWrap w:val="0"/>
            <w:vAlign w:val="center"/>
          </w:tcPr>
          <w:p w14:paraId="6B98202F">
            <w:pPr>
              <w:jc w:val="center"/>
              <w:rPr>
                <w:rFonts w:hint="eastAsia" w:ascii="宋体" w:hAnsi="宋体" w:eastAsia="宋体" w:cs="宋体"/>
                <w:bCs/>
                <w:color w:val="auto"/>
                <w:sz w:val="24"/>
                <w:szCs w:val="24"/>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14:paraId="435DCB9F">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p>
        </w:tc>
      </w:tr>
      <w:tr w14:paraId="0388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14:paraId="7F453FF5">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技术服务期</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08DC9D6C">
            <w:pPr>
              <w:autoSpaceDE w:val="0"/>
              <w:autoSpaceDN w:val="0"/>
              <w:adjustRightInd w:val="0"/>
              <w:jc w:val="center"/>
              <w:rPr>
                <w:rFonts w:hint="eastAsia" w:ascii="宋体" w:hAnsi="宋体" w:eastAsia="宋体" w:cs="宋体"/>
                <w:bCs/>
                <w:color w:val="auto"/>
                <w:sz w:val="24"/>
                <w:szCs w:val="24"/>
                <w:highlight w:val="none"/>
                <w:lang w:val="zh-CN"/>
              </w:rPr>
            </w:pPr>
          </w:p>
        </w:tc>
      </w:tr>
      <w:tr w14:paraId="54A9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14:paraId="533D81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CMA计量认证合格证书号</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61303821">
            <w:pPr>
              <w:autoSpaceDE w:val="0"/>
              <w:autoSpaceDN w:val="0"/>
              <w:adjustRightInd w:val="0"/>
              <w:jc w:val="center"/>
              <w:rPr>
                <w:rFonts w:hint="eastAsia" w:ascii="宋体" w:hAnsi="宋体" w:eastAsia="宋体" w:cs="宋体"/>
                <w:bCs/>
                <w:color w:val="auto"/>
                <w:sz w:val="24"/>
                <w:szCs w:val="24"/>
                <w:highlight w:val="none"/>
                <w:lang w:val="zh-CN"/>
              </w:rPr>
            </w:pPr>
          </w:p>
        </w:tc>
      </w:tr>
      <w:tr w14:paraId="0E31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noWrap w:val="0"/>
            <w:vAlign w:val="center"/>
          </w:tcPr>
          <w:p w14:paraId="5B332469">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驻 场 机 构人 数（人）</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07A48BBF">
            <w:pPr>
              <w:autoSpaceDE w:val="0"/>
              <w:autoSpaceDN w:val="0"/>
              <w:adjustRightInd w:val="0"/>
              <w:jc w:val="center"/>
              <w:rPr>
                <w:rFonts w:hint="eastAsia" w:ascii="宋体" w:hAnsi="宋体" w:eastAsia="宋体" w:cs="宋体"/>
                <w:bCs/>
                <w:color w:val="auto"/>
                <w:sz w:val="24"/>
                <w:szCs w:val="24"/>
                <w:highlight w:val="none"/>
                <w:lang w:val="zh-CN"/>
              </w:rPr>
            </w:pPr>
          </w:p>
        </w:tc>
      </w:tr>
      <w:tr w14:paraId="54B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528" w:type="dxa"/>
            <w:vMerge w:val="restart"/>
            <w:tcBorders>
              <w:top w:val="single" w:color="auto" w:sz="4" w:space="0"/>
              <w:left w:val="single" w:color="auto" w:sz="4" w:space="0"/>
              <w:bottom w:val="single" w:color="auto" w:sz="4" w:space="0"/>
              <w:right w:val="single" w:color="auto" w:sz="4" w:space="0"/>
            </w:tcBorders>
            <w:noWrap w:val="0"/>
            <w:vAlign w:val="center"/>
          </w:tcPr>
          <w:p w14:paraId="516CDCD2">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委派的项目负责人</w:t>
            </w:r>
          </w:p>
        </w:tc>
        <w:tc>
          <w:tcPr>
            <w:tcW w:w="2028" w:type="dxa"/>
            <w:tcBorders>
              <w:top w:val="single" w:color="auto" w:sz="4" w:space="0"/>
              <w:left w:val="single" w:color="auto" w:sz="4" w:space="0"/>
              <w:bottom w:val="single" w:color="auto" w:sz="4" w:space="0"/>
              <w:right w:val="single" w:color="auto" w:sz="4" w:space="0"/>
            </w:tcBorders>
            <w:noWrap w:val="0"/>
            <w:vAlign w:val="center"/>
          </w:tcPr>
          <w:p w14:paraId="61CF9F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14:paraId="20391CBC">
            <w:pPr>
              <w:autoSpaceDE w:val="0"/>
              <w:autoSpaceDN w:val="0"/>
              <w:adjustRightInd w:val="0"/>
              <w:jc w:val="center"/>
              <w:rPr>
                <w:rFonts w:hint="eastAsia" w:ascii="宋体" w:hAnsi="宋体" w:eastAsia="宋体" w:cs="宋体"/>
                <w:b/>
                <w:bCs/>
                <w:color w:val="auto"/>
                <w:sz w:val="24"/>
                <w:szCs w:val="24"/>
                <w:highlight w:val="none"/>
                <w:lang w:val="zh-CN"/>
              </w:rPr>
            </w:pPr>
          </w:p>
        </w:tc>
      </w:tr>
      <w:tr w14:paraId="5F30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28" w:type="dxa"/>
            <w:vMerge w:val="continue"/>
            <w:tcBorders>
              <w:top w:val="single" w:color="auto" w:sz="4" w:space="0"/>
              <w:left w:val="single" w:color="auto" w:sz="4" w:space="0"/>
              <w:bottom w:val="single" w:color="auto" w:sz="4" w:space="0"/>
              <w:right w:val="single" w:color="auto" w:sz="4" w:space="0"/>
            </w:tcBorders>
            <w:noWrap w:val="0"/>
            <w:vAlign w:val="center"/>
          </w:tcPr>
          <w:p w14:paraId="32907F8A">
            <w:pPr>
              <w:jc w:val="center"/>
              <w:rPr>
                <w:rFonts w:hint="eastAsia" w:ascii="宋体" w:hAnsi="宋体" w:eastAsia="宋体" w:cs="宋体"/>
                <w:bCs/>
                <w:color w:val="auto"/>
                <w:sz w:val="24"/>
                <w:szCs w:val="24"/>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14:paraId="6F137B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技术职称、技术证书编号</w:t>
            </w:r>
          </w:p>
        </w:tc>
        <w:tc>
          <w:tcPr>
            <w:tcW w:w="3823" w:type="dxa"/>
            <w:tcBorders>
              <w:top w:val="single" w:color="auto" w:sz="4" w:space="0"/>
              <w:left w:val="single" w:color="auto" w:sz="4" w:space="0"/>
              <w:bottom w:val="single" w:color="auto" w:sz="4" w:space="0"/>
              <w:right w:val="single" w:color="auto" w:sz="4" w:space="0"/>
            </w:tcBorders>
            <w:noWrap w:val="0"/>
            <w:vAlign w:val="top"/>
          </w:tcPr>
          <w:p w14:paraId="663736E8">
            <w:pPr>
              <w:autoSpaceDE w:val="0"/>
              <w:autoSpaceDN w:val="0"/>
              <w:adjustRightInd w:val="0"/>
              <w:jc w:val="center"/>
              <w:rPr>
                <w:rFonts w:hint="eastAsia" w:ascii="宋体" w:hAnsi="宋体" w:eastAsia="宋体" w:cs="宋体"/>
                <w:b/>
                <w:bCs/>
                <w:color w:val="auto"/>
                <w:sz w:val="24"/>
                <w:szCs w:val="24"/>
                <w:highlight w:val="none"/>
                <w:lang w:val="zh-CN"/>
              </w:rPr>
            </w:pPr>
          </w:p>
        </w:tc>
      </w:tr>
      <w:tr w14:paraId="7F77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528" w:type="dxa"/>
            <w:tcBorders>
              <w:top w:val="single" w:color="auto" w:sz="4" w:space="0"/>
              <w:left w:val="single" w:color="auto" w:sz="4" w:space="0"/>
              <w:bottom w:val="single" w:color="auto" w:sz="4" w:space="0"/>
              <w:right w:val="single" w:color="auto" w:sz="4" w:space="0"/>
            </w:tcBorders>
            <w:noWrap w:val="0"/>
            <w:vAlign w:val="top"/>
          </w:tcPr>
          <w:p w14:paraId="6F45B483">
            <w:pPr>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 标 单 位</w:t>
            </w:r>
          </w:p>
          <w:p w14:paraId="6A0ED4AF">
            <w:pPr>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（盖章）</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045655A8">
            <w:pPr>
              <w:jc w:val="center"/>
              <w:rPr>
                <w:rFonts w:hint="eastAsia" w:ascii="宋体" w:hAnsi="宋体" w:eastAsia="宋体" w:cs="宋体"/>
                <w:b/>
                <w:bCs/>
                <w:color w:val="auto"/>
                <w:sz w:val="24"/>
                <w:szCs w:val="24"/>
                <w:highlight w:val="none"/>
                <w:lang w:val="zh-CN"/>
              </w:rPr>
            </w:pPr>
          </w:p>
        </w:tc>
      </w:tr>
      <w:tr w14:paraId="39B6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528" w:type="dxa"/>
            <w:tcBorders>
              <w:top w:val="single" w:color="auto" w:sz="4" w:space="0"/>
              <w:left w:val="single" w:color="auto" w:sz="4" w:space="0"/>
              <w:bottom w:val="single" w:color="auto" w:sz="4" w:space="0"/>
              <w:right w:val="single" w:color="auto" w:sz="4" w:space="0"/>
            </w:tcBorders>
            <w:noWrap w:val="0"/>
            <w:vAlign w:val="top"/>
          </w:tcPr>
          <w:p w14:paraId="57EAFBAB">
            <w:pPr>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投标单位法定代表人</w:t>
            </w:r>
          </w:p>
          <w:p w14:paraId="78D3AA35">
            <w:pPr>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（签名或盖章）</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3C227155">
            <w:pPr>
              <w:jc w:val="center"/>
              <w:rPr>
                <w:rFonts w:hint="eastAsia" w:ascii="宋体" w:hAnsi="宋体" w:eastAsia="宋体" w:cs="宋体"/>
                <w:b/>
                <w:bCs/>
                <w:color w:val="auto"/>
                <w:sz w:val="24"/>
                <w:szCs w:val="24"/>
                <w:highlight w:val="none"/>
                <w:lang w:val="zh-CN"/>
              </w:rPr>
            </w:pPr>
          </w:p>
          <w:p w14:paraId="16FCA7A1">
            <w:pPr>
              <w:jc w:val="center"/>
              <w:rPr>
                <w:rFonts w:hint="eastAsia" w:ascii="宋体" w:hAnsi="宋体" w:eastAsia="宋体" w:cs="宋体"/>
                <w:b/>
                <w:bCs/>
                <w:color w:val="auto"/>
                <w:sz w:val="24"/>
                <w:szCs w:val="24"/>
                <w:highlight w:val="none"/>
                <w:lang w:val="zh-CN"/>
              </w:rPr>
            </w:pPr>
          </w:p>
        </w:tc>
      </w:tr>
      <w:tr w14:paraId="159E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28" w:type="dxa"/>
            <w:tcBorders>
              <w:top w:val="single" w:color="auto" w:sz="4" w:space="0"/>
              <w:left w:val="single" w:color="auto" w:sz="4" w:space="0"/>
              <w:bottom w:val="single" w:color="auto" w:sz="4" w:space="0"/>
              <w:right w:val="single" w:color="auto" w:sz="4" w:space="0"/>
            </w:tcBorders>
            <w:noWrap w:val="0"/>
            <w:vAlign w:val="top"/>
          </w:tcPr>
          <w:p w14:paraId="19F4CA40">
            <w:pPr>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授权委托人（签名或盖章）</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14:paraId="5D56987C">
            <w:pPr>
              <w:jc w:val="center"/>
              <w:rPr>
                <w:rFonts w:hint="eastAsia" w:ascii="宋体" w:hAnsi="宋体" w:eastAsia="宋体" w:cs="宋体"/>
                <w:b/>
                <w:bCs/>
                <w:color w:val="auto"/>
                <w:sz w:val="24"/>
                <w:szCs w:val="24"/>
                <w:highlight w:val="none"/>
                <w:lang w:val="zh-CN"/>
              </w:rPr>
            </w:pPr>
          </w:p>
        </w:tc>
      </w:tr>
    </w:tbl>
    <w:p w14:paraId="64BF7012">
      <w:pPr>
        <w:pStyle w:val="6"/>
        <w:ind w:left="0" w:right="0" w:firstLine="282" w:firstLineChars="101"/>
        <w:rPr>
          <w:rFonts w:hint="eastAsia" w:ascii="宋体" w:hAnsi="宋体" w:eastAsia="宋体" w:cs="宋体"/>
          <w:color w:val="auto"/>
          <w:highlight w:val="none"/>
        </w:rPr>
      </w:pPr>
      <w:bookmarkStart w:id="221" w:name="_Toc28180_WPSOffice_Level2"/>
      <w:bookmarkStart w:id="222" w:name="_Toc9026_WPSOffice_Level2"/>
      <w:bookmarkStart w:id="223" w:name="_Toc26031"/>
      <w:bookmarkStart w:id="224" w:name="_Toc526895067"/>
      <w:r>
        <w:rPr>
          <w:rFonts w:hint="eastAsia" w:ascii="宋体" w:hAnsi="宋体" w:eastAsia="宋体" w:cs="宋体"/>
          <w:color w:val="auto"/>
          <w:highlight w:val="none"/>
        </w:rPr>
        <w:t>（二）投标函附录</w:t>
      </w:r>
      <w:bookmarkEnd w:id="221"/>
      <w:bookmarkEnd w:id="222"/>
      <w:bookmarkEnd w:id="223"/>
      <w:bookmarkEnd w:id="224"/>
      <w:r>
        <w:rPr>
          <w:rFonts w:hint="eastAsia" w:ascii="宋体" w:hAnsi="宋体" w:eastAsia="宋体" w:cs="宋体"/>
          <w:color w:val="auto"/>
          <w:highlight w:val="none"/>
        </w:rPr>
        <w:t xml:space="preserve"> </w:t>
      </w:r>
    </w:p>
    <w:p w14:paraId="2AF331DB">
      <w:pPr>
        <w:spacing w:after="177"/>
        <w:jc w:val="right"/>
        <w:rPr>
          <w:rFonts w:hint="eastAsia" w:ascii="宋体" w:hAnsi="宋体" w:eastAsia="宋体" w:cs="宋体"/>
          <w:color w:val="auto"/>
          <w:sz w:val="21"/>
          <w:highlight w:val="none"/>
        </w:rPr>
      </w:pPr>
    </w:p>
    <w:p w14:paraId="1BB898FF">
      <w:pPr>
        <w:spacing w:after="177"/>
        <w:jc w:val="right"/>
        <w:rPr>
          <w:rFonts w:hint="eastAsia" w:ascii="宋体" w:hAnsi="宋体" w:eastAsia="宋体" w:cs="宋体"/>
          <w:color w:val="auto"/>
          <w:sz w:val="21"/>
          <w:highlight w:val="none"/>
        </w:rPr>
      </w:pPr>
    </w:p>
    <w:p w14:paraId="79488FA2">
      <w:pPr>
        <w:spacing w:after="177"/>
        <w:jc w:val="right"/>
        <w:rPr>
          <w:rFonts w:hint="eastAsia" w:ascii="宋体" w:hAnsi="宋体" w:eastAsia="宋体" w:cs="宋体"/>
          <w:color w:val="auto"/>
          <w:sz w:val="21"/>
          <w:highlight w:val="none"/>
        </w:rPr>
      </w:pPr>
    </w:p>
    <w:p w14:paraId="130E8646">
      <w:pPr>
        <w:spacing w:after="177"/>
        <w:jc w:val="right"/>
        <w:rPr>
          <w:rFonts w:hint="eastAsia" w:ascii="宋体" w:hAnsi="宋体" w:eastAsia="宋体" w:cs="宋体"/>
          <w:color w:val="auto"/>
          <w:sz w:val="21"/>
          <w:highlight w:val="none"/>
        </w:rPr>
      </w:pPr>
    </w:p>
    <w:p w14:paraId="6E8F6C9E">
      <w:pPr>
        <w:spacing w:after="177"/>
        <w:jc w:val="right"/>
        <w:rPr>
          <w:rFonts w:hint="eastAsia" w:ascii="宋体" w:hAnsi="宋体" w:eastAsia="宋体" w:cs="宋体"/>
          <w:color w:val="auto"/>
          <w:sz w:val="21"/>
          <w:highlight w:val="none"/>
        </w:rPr>
      </w:pPr>
    </w:p>
    <w:p w14:paraId="3D6E1B0A">
      <w:pPr>
        <w:spacing w:after="177"/>
        <w:jc w:val="right"/>
        <w:rPr>
          <w:rFonts w:hint="eastAsia" w:ascii="宋体" w:hAnsi="宋体" w:eastAsia="宋体" w:cs="宋体"/>
          <w:color w:val="auto"/>
          <w:sz w:val="21"/>
          <w:highlight w:val="none"/>
        </w:rPr>
      </w:pPr>
    </w:p>
    <w:p w14:paraId="157DE5B3">
      <w:pPr>
        <w:spacing w:after="177"/>
        <w:jc w:val="right"/>
        <w:rPr>
          <w:rFonts w:hint="eastAsia" w:ascii="宋体" w:hAnsi="宋体" w:eastAsia="宋体" w:cs="宋体"/>
          <w:color w:val="auto"/>
          <w:sz w:val="21"/>
          <w:highlight w:val="none"/>
        </w:rPr>
      </w:pPr>
    </w:p>
    <w:p w14:paraId="008938F1">
      <w:pPr>
        <w:spacing w:after="177"/>
        <w:jc w:val="right"/>
        <w:rPr>
          <w:rFonts w:hint="eastAsia" w:ascii="宋体" w:hAnsi="宋体" w:eastAsia="宋体" w:cs="宋体"/>
          <w:color w:val="auto"/>
          <w:sz w:val="21"/>
          <w:highlight w:val="none"/>
        </w:rPr>
      </w:pPr>
    </w:p>
    <w:p w14:paraId="2B71E623">
      <w:pPr>
        <w:spacing w:after="177"/>
        <w:jc w:val="right"/>
        <w:rPr>
          <w:rFonts w:hint="eastAsia" w:ascii="宋体" w:hAnsi="宋体" w:eastAsia="宋体" w:cs="宋体"/>
          <w:color w:val="auto"/>
          <w:sz w:val="21"/>
          <w:highlight w:val="none"/>
        </w:rPr>
      </w:pPr>
    </w:p>
    <w:p w14:paraId="07AD07B9">
      <w:pPr>
        <w:pStyle w:val="4"/>
        <w:spacing w:after="573"/>
        <w:ind w:left="0" w:right="0" w:firstLine="0"/>
        <w:jc w:val="center"/>
        <w:rPr>
          <w:rFonts w:hint="eastAsia" w:ascii="宋体" w:hAnsi="宋体" w:eastAsia="宋体" w:cs="宋体"/>
          <w:color w:val="auto"/>
          <w:sz w:val="32"/>
          <w:highlight w:val="none"/>
        </w:rPr>
        <w:sectPr>
          <w:pgSz w:w="12240" w:h="15840"/>
          <w:pgMar w:top="720" w:right="1190" w:bottom="720" w:left="720" w:header="720" w:footer="720" w:gutter="0"/>
          <w:cols w:space="720" w:num="1"/>
          <w:docGrid w:linePitch="299" w:charSpace="0"/>
        </w:sectPr>
      </w:pPr>
      <w:bookmarkStart w:id="225" w:name="_Toc526895068"/>
    </w:p>
    <w:bookmarkEnd w:id="225"/>
    <w:p w14:paraId="4B68A275">
      <w:pPr>
        <w:pStyle w:val="4"/>
        <w:spacing w:after="573"/>
        <w:ind w:left="0" w:right="0" w:firstLine="0"/>
        <w:jc w:val="center"/>
        <w:rPr>
          <w:rFonts w:hint="eastAsia" w:ascii="宋体" w:hAnsi="宋体" w:eastAsia="宋体" w:cs="宋体"/>
          <w:color w:val="auto"/>
          <w:highlight w:val="none"/>
        </w:rPr>
      </w:pPr>
      <w:bookmarkStart w:id="226" w:name="_Toc3607"/>
      <w:r>
        <w:rPr>
          <w:rFonts w:hint="eastAsia" w:ascii="宋体" w:hAnsi="宋体" w:eastAsia="宋体" w:cs="宋体"/>
          <w:color w:val="auto"/>
          <w:sz w:val="32"/>
          <w:highlight w:val="none"/>
        </w:rPr>
        <w:t>二、法定代表人身份证明</w:t>
      </w:r>
      <w:bookmarkEnd w:id="226"/>
    </w:p>
    <w:p w14:paraId="33B05AB3">
      <w:pPr>
        <w:spacing w:after="0" w:line="433" w:lineRule="auto"/>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r>
        <w:rPr>
          <w:rFonts w:hint="eastAsia" w:ascii="宋体" w:hAnsi="宋体" w:eastAsia="宋体" w:cs="宋体"/>
          <w:color w:val="auto"/>
          <w:sz w:val="21"/>
          <w:highlight w:val="none"/>
        </w:rPr>
        <w:t xml:space="preserve"> </w:t>
      </w:r>
    </w:p>
    <w:p w14:paraId="077AFE6A">
      <w:pPr>
        <w:spacing w:line="400" w:lineRule="exact"/>
        <w:ind w:left="565" w:leftChars="257" w:right="308" w:rightChars="140"/>
        <w:rPr>
          <w:rFonts w:hint="eastAsia" w:ascii="宋体" w:hAnsi="宋体" w:eastAsia="宋体" w:cs="宋体"/>
          <w:color w:val="auto"/>
          <w:szCs w:val="21"/>
          <w:highlight w:val="none"/>
        </w:rPr>
      </w:pPr>
      <w:bookmarkStart w:id="227" w:name="_Toc221952014"/>
      <w:r>
        <w:rPr>
          <w:rFonts w:hint="eastAsia" w:ascii="宋体" w:hAnsi="宋体" w:eastAsia="宋体" w:cs="宋体"/>
          <w:color w:val="auto"/>
          <w:szCs w:val="21"/>
          <w:highlight w:val="none"/>
        </w:rPr>
        <w:t>投标人名称：</w:t>
      </w:r>
      <w:bookmarkEnd w:id="227"/>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758E05E">
      <w:pPr>
        <w:spacing w:line="400" w:lineRule="exact"/>
        <w:ind w:left="565" w:leftChars="257" w:right="308" w:rightChars="140"/>
        <w:rPr>
          <w:rFonts w:hint="eastAsia" w:ascii="宋体" w:hAnsi="宋体" w:eastAsia="宋体" w:cs="宋体"/>
          <w:color w:val="auto"/>
          <w:szCs w:val="21"/>
          <w:highlight w:val="none"/>
        </w:rPr>
      </w:pPr>
      <w:bookmarkStart w:id="228" w:name="_Toc221952015"/>
      <w:r>
        <w:rPr>
          <w:rFonts w:hint="eastAsia" w:ascii="宋体" w:hAnsi="宋体" w:eastAsia="宋体" w:cs="宋体"/>
          <w:color w:val="auto"/>
          <w:szCs w:val="21"/>
          <w:highlight w:val="none"/>
        </w:rPr>
        <w:t>单位性质：</w:t>
      </w:r>
      <w:bookmarkEnd w:id="228"/>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7AD677F">
      <w:pPr>
        <w:spacing w:line="400" w:lineRule="exact"/>
        <w:ind w:left="565" w:leftChars="257" w:right="308" w:rightChars="140"/>
        <w:rPr>
          <w:rFonts w:hint="eastAsia" w:ascii="宋体" w:hAnsi="宋体" w:eastAsia="宋体" w:cs="宋体"/>
          <w:color w:val="auto"/>
          <w:szCs w:val="21"/>
          <w:highlight w:val="none"/>
        </w:rPr>
      </w:pPr>
      <w:bookmarkStart w:id="229" w:name="_Toc221952016"/>
      <w:r>
        <w:rPr>
          <w:rFonts w:hint="eastAsia" w:ascii="宋体" w:hAnsi="宋体" w:eastAsia="宋体" w:cs="宋体"/>
          <w:color w:val="auto"/>
          <w:szCs w:val="21"/>
          <w:highlight w:val="none"/>
        </w:rPr>
        <w:t>地址：</w:t>
      </w:r>
      <w:bookmarkEnd w:id="229"/>
      <w:r>
        <w:rPr>
          <w:rFonts w:hint="eastAsia" w:ascii="宋体" w:hAnsi="宋体" w:eastAsia="宋体" w:cs="宋体"/>
          <w:color w:val="auto"/>
          <w:szCs w:val="21"/>
          <w:highlight w:val="none"/>
          <w:u w:val="single"/>
        </w:rPr>
        <w:t xml:space="preserve">                                   </w:t>
      </w:r>
    </w:p>
    <w:p w14:paraId="24EB3B75">
      <w:pPr>
        <w:spacing w:line="400" w:lineRule="exact"/>
        <w:ind w:left="565" w:leftChars="257" w:right="308" w:rightChars="140"/>
        <w:rPr>
          <w:rFonts w:hint="eastAsia" w:ascii="宋体" w:hAnsi="宋体" w:eastAsia="宋体" w:cs="宋体"/>
          <w:color w:val="auto"/>
          <w:szCs w:val="21"/>
          <w:highlight w:val="none"/>
        </w:rPr>
      </w:pPr>
      <w:bookmarkStart w:id="230" w:name="_Toc221952017"/>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bookmarkEnd w:id="230"/>
    </w:p>
    <w:p w14:paraId="2D71B0ED">
      <w:pPr>
        <w:spacing w:line="400" w:lineRule="exact"/>
        <w:ind w:left="565" w:leftChars="257" w:right="308" w:rightChars="140"/>
        <w:rPr>
          <w:rFonts w:hint="eastAsia" w:ascii="宋体" w:hAnsi="宋体" w:eastAsia="宋体" w:cs="宋体"/>
          <w:color w:val="auto"/>
          <w:szCs w:val="21"/>
          <w:highlight w:val="none"/>
        </w:rPr>
      </w:pPr>
      <w:bookmarkStart w:id="231" w:name="_Toc221952018"/>
      <w:r>
        <w:rPr>
          <w:rFonts w:hint="eastAsia" w:ascii="宋体" w:hAnsi="宋体" w:eastAsia="宋体" w:cs="宋体"/>
          <w:color w:val="auto"/>
          <w:szCs w:val="21"/>
          <w:highlight w:val="none"/>
        </w:rPr>
        <w:t>经营期限：</w:t>
      </w:r>
      <w:bookmarkEnd w:id="231"/>
      <w:r>
        <w:rPr>
          <w:rFonts w:hint="eastAsia" w:ascii="宋体" w:hAnsi="宋体" w:eastAsia="宋体" w:cs="宋体"/>
          <w:color w:val="auto"/>
          <w:szCs w:val="21"/>
          <w:highlight w:val="none"/>
          <w:u w:val="single"/>
        </w:rPr>
        <w:t xml:space="preserve">                               </w:t>
      </w:r>
    </w:p>
    <w:p w14:paraId="3F47A835">
      <w:pPr>
        <w:spacing w:line="400" w:lineRule="exact"/>
        <w:ind w:left="565" w:leftChars="257" w:right="308" w:rightChars="140"/>
        <w:rPr>
          <w:rFonts w:hint="eastAsia" w:ascii="宋体" w:hAnsi="宋体" w:eastAsia="宋体" w:cs="宋体"/>
          <w:color w:val="auto"/>
          <w:szCs w:val="21"/>
          <w:highlight w:val="none"/>
        </w:rPr>
      </w:pPr>
      <w:bookmarkStart w:id="232" w:name="_Toc221952019"/>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bookmarkEnd w:id="232"/>
      <w:r>
        <w:rPr>
          <w:rFonts w:hint="eastAsia" w:ascii="宋体" w:hAnsi="宋体" w:eastAsia="宋体" w:cs="宋体"/>
          <w:color w:val="auto"/>
          <w:szCs w:val="21"/>
          <w:highlight w:val="none"/>
          <w:u w:val="single"/>
        </w:rPr>
        <w:t xml:space="preserve">             </w:t>
      </w:r>
      <w:bookmarkStart w:id="233" w:name="_Toc221952020"/>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bookmarkEnd w:id="233"/>
    </w:p>
    <w:p w14:paraId="097C94E6">
      <w:pPr>
        <w:spacing w:after="152" w:line="265" w:lineRule="auto"/>
        <w:ind w:left="565" w:leftChars="257" w:right="308" w:rightChars="140"/>
        <w:rPr>
          <w:rFonts w:hint="eastAsia" w:ascii="宋体" w:hAnsi="宋体" w:eastAsia="宋体" w:cs="宋体"/>
          <w:color w:val="auto"/>
          <w:highlight w:val="none"/>
        </w:rPr>
      </w:pPr>
      <w:r>
        <w:rPr>
          <w:rFonts w:hint="eastAsia" w:ascii="宋体" w:hAnsi="宋体" w:eastAsia="宋体" w:cs="宋体"/>
          <w:color w:val="auto"/>
          <w:sz w:val="21"/>
          <w:highlight w:val="none"/>
        </w:rPr>
        <w:t>特此证明。</w:t>
      </w:r>
    </w:p>
    <w:p w14:paraId="41420C28">
      <w:pPr>
        <w:spacing w:after="184"/>
        <w:ind w:left="565" w:leftChars="257" w:right="308" w:rightChars="140"/>
        <w:rPr>
          <w:rFonts w:hint="eastAsia" w:ascii="宋体" w:hAnsi="宋体" w:eastAsia="宋体" w:cs="宋体"/>
          <w:color w:val="auto"/>
          <w:highlight w:val="none"/>
        </w:rPr>
      </w:pPr>
    </w:p>
    <w:p w14:paraId="72131AC9">
      <w:pPr>
        <w:spacing w:after="153" w:line="265" w:lineRule="auto"/>
        <w:ind w:left="565" w:leftChars="257" w:right="308" w:rightChars="140"/>
        <w:rPr>
          <w:rFonts w:hint="eastAsia" w:ascii="宋体" w:hAnsi="宋体" w:eastAsia="宋体" w:cs="宋体"/>
          <w:b/>
          <w:color w:val="auto"/>
          <w:highlight w:val="none"/>
        </w:rPr>
      </w:pPr>
      <w:bookmarkStart w:id="234" w:name="_Toc32270_WPSOffice_Level2"/>
      <w:bookmarkStart w:id="235" w:name="_Toc14313_WPSOffice_Level2"/>
      <w:r>
        <w:rPr>
          <w:rFonts w:hint="eastAsia" w:ascii="宋体" w:hAnsi="宋体" w:eastAsia="宋体" w:cs="宋体"/>
          <w:b/>
          <w:color w:val="auto"/>
          <w:sz w:val="21"/>
          <w:highlight w:val="none"/>
        </w:rPr>
        <w:t>附：法定代表人身份证复印件。</w:t>
      </w:r>
      <w:bookmarkEnd w:id="234"/>
      <w:bookmarkEnd w:id="235"/>
    </w:p>
    <w:p w14:paraId="1473042A">
      <w:pPr>
        <w:spacing w:after="182"/>
        <w:ind w:left="565" w:leftChars="257" w:right="308" w:rightChars="140"/>
        <w:rPr>
          <w:rFonts w:hint="eastAsia" w:ascii="宋体" w:hAnsi="宋体" w:eastAsia="宋体" w:cs="宋体"/>
          <w:color w:val="auto"/>
          <w:highlight w:val="none"/>
        </w:rPr>
      </w:pPr>
    </w:p>
    <w:p w14:paraId="1D64432D">
      <w:pP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5F2AFC75">
      <w:pPr>
        <w:spacing w:after="175"/>
        <w:ind w:left="565" w:leftChars="257" w:right="308" w:rightChars="140"/>
        <w:rPr>
          <w:rFonts w:hint="eastAsia" w:ascii="宋体" w:hAnsi="宋体" w:eastAsia="宋体" w:cs="宋体"/>
          <w:color w:val="auto"/>
          <w:highlight w:val="none"/>
        </w:rPr>
      </w:pPr>
    </w:p>
    <w:p w14:paraId="15498011">
      <w:pPr>
        <w:spacing w:after="177"/>
        <w:ind w:left="565" w:leftChars="257" w:right="308" w:rightChars="14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7917684C">
      <w:pPr>
        <w:tabs>
          <w:tab w:val="center" w:pos="2956"/>
          <w:tab w:val="center" w:pos="7052"/>
        </w:tabs>
        <w:spacing w:after="146" w:line="265" w:lineRule="auto"/>
        <w:ind w:left="565" w:leftChars="257" w:right="308" w:rightChars="14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sz w:val="21"/>
          <w:highlight w:val="none"/>
        </w:rPr>
        <w:t xml:space="preserve">                              投标人：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u w:val="single" w:color="000000"/>
        </w:rPr>
        <w:tab/>
      </w:r>
      <w:r>
        <w:rPr>
          <w:rFonts w:hint="eastAsia" w:ascii="宋体" w:hAnsi="宋体" w:eastAsia="宋体" w:cs="宋体"/>
          <w:color w:val="auto"/>
          <w:sz w:val="21"/>
          <w:highlight w:val="none"/>
        </w:rPr>
        <w:t xml:space="preserve">（盖单位章） </w:t>
      </w:r>
    </w:p>
    <w:p w14:paraId="4DFCE431">
      <w:pPr>
        <w:spacing w:after="177"/>
        <w:ind w:left="565" w:leftChars="257" w:right="308" w:rightChars="14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37CDE00F">
      <w:pPr>
        <w:spacing w:after="146" w:line="265" w:lineRule="auto"/>
        <w:ind w:left="565" w:leftChars="257" w:right="308" w:rightChars="140"/>
        <w:jc w:val="right"/>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日 </w:t>
      </w:r>
    </w:p>
    <w:p w14:paraId="0EC773EF">
      <w:pPr>
        <w:spacing w:after="192"/>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p>
    <w:p w14:paraId="42DA987B">
      <w:pPr>
        <w:spacing w:after="0"/>
        <w:jc w:val="right"/>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t xml:space="preserve"> </w:t>
      </w:r>
    </w:p>
    <w:p w14:paraId="437F29F7">
      <w:pPr>
        <w:pStyle w:val="4"/>
        <w:spacing w:after="573"/>
        <w:ind w:right="0"/>
        <w:jc w:val="center"/>
        <w:rPr>
          <w:rFonts w:hint="eastAsia" w:ascii="宋体" w:hAnsi="宋体" w:eastAsia="宋体" w:cs="宋体"/>
          <w:color w:val="auto"/>
          <w:sz w:val="32"/>
          <w:highlight w:val="none"/>
        </w:rPr>
      </w:pPr>
    </w:p>
    <w:p w14:paraId="6530C174">
      <w:pPr>
        <w:pStyle w:val="83"/>
        <w:spacing w:line="240" w:lineRule="auto"/>
        <w:ind w:firstLine="430"/>
        <w:rPr>
          <w:rFonts w:hint="eastAsia" w:ascii="宋体" w:hAnsi="宋体" w:eastAsia="宋体" w:cs="宋体"/>
          <w:b/>
          <w:bCs/>
          <w:color w:val="auto"/>
          <w:sz w:val="21"/>
          <w:szCs w:val="21"/>
          <w:highlight w:val="none"/>
        </w:rPr>
      </w:pPr>
      <w:r>
        <w:rPr>
          <w:rFonts w:hint="eastAsia" w:ascii="宋体" w:hAnsi="宋体" w:eastAsia="宋体" w:cs="宋体"/>
          <w:b/>
          <w:bCs/>
          <w:color w:val="auto"/>
          <w:sz w:val="21"/>
          <w:highlight w:val="none"/>
        </w:rPr>
        <w:t>注：</w:t>
      </w:r>
      <w:r>
        <w:rPr>
          <w:rFonts w:hint="eastAsia" w:ascii="宋体" w:hAnsi="宋体" w:eastAsia="宋体" w:cs="宋体"/>
          <w:b/>
          <w:bCs/>
          <w:color w:val="auto"/>
          <w:sz w:val="21"/>
          <w:szCs w:val="21"/>
          <w:highlight w:val="none"/>
        </w:rPr>
        <w:t>按提供的该格式填写，或使用从工商管理部门购买的表格填写。</w:t>
      </w:r>
    </w:p>
    <w:p w14:paraId="2F2C30B7">
      <w:pPr>
        <w:adjustRightInd w:val="0"/>
        <w:snapToGrid w:val="0"/>
        <w:spacing w:line="240" w:lineRule="auto"/>
        <w:ind w:firstLine="883" w:firstLineChars="400"/>
        <w:rPr>
          <w:rFonts w:hint="eastAsia" w:ascii="宋体" w:hAnsi="宋体" w:eastAsia="宋体" w:cs="宋体"/>
          <w:b/>
          <w:bCs/>
          <w:color w:val="auto"/>
          <w:kern w:val="0"/>
          <w:szCs w:val="21"/>
          <w:highlight w:val="none"/>
        </w:rPr>
      </w:pPr>
    </w:p>
    <w:p w14:paraId="7A803105">
      <w:pPr>
        <w:pStyle w:val="4"/>
        <w:spacing w:after="573"/>
        <w:ind w:right="0"/>
        <w:jc w:val="center"/>
        <w:rPr>
          <w:rFonts w:hint="eastAsia" w:ascii="宋体" w:hAnsi="宋体" w:eastAsia="宋体" w:cs="宋体"/>
          <w:color w:val="auto"/>
          <w:highlight w:val="none"/>
        </w:rPr>
      </w:pPr>
      <w:r>
        <w:rPr>
          <w:rFonts w:hint="eastAsia" w:ascii="宋体" w:hAnsi="宋体" w:eastAsia="宋体" w:cs="宋体"/>
          <w:color w:val="auto"/>
          <w:sz w:val="32"/>
          <w:highlight w:val="none"/>
        </w:rPr>
        <w:br w:type="page"/>
      </w:r>
      <w:bookmarkStart w:id="236" w:name="_Toc15641_WPSOffice_Level1"/>
      <w:bookmarkStart w:id="237" w:name="_Toc20154"/>
      <w:bookmarkStart w:id="238" w:name="_Toc526895069"/>
      <w:r>
        <w:rPr>
          <w:rFonts w:hint="eastAsia" w:ascii="宋体" w:hAnsi="宋体" w:eastAsia="宋体" w:cs="宋体"/>
          <w:color w:val="auto"/>
          <w:sz w:val="32"/>
          <w:highlight w:val="none"/>
        </w:rPr>
        <w:t>三、授权委托书</w:t>
      </w:r>
      <w:bookmarkEnd w:id="236"/>
      <w:bookmarkEnd w:id="237"/>
      <w:bookmarkEnd w:id="238"/>
      <w:r>
        <w:rPr>
          <w:rFonts w:hint="eastAsia" w:ascii="宋体" w:hAnsi="宋体" w:eastAsia="宋体" w:cs="宋体"/>
          <w:b/>
          <w:color w:val="auto"/>
          <w:sz w:val="32"/>
          <w:highlight w:val="none"/>
        </w:rPr>
        <w:t xml:space="preserve"> </w:t>
      </w:r>
    </w:p>
    <w:p w14:paraId="7F5E4EFC">
      <w:pPr>
        <w:spacing w:after="181"/>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180A4B51">
      <w:pPr>
        <w:spacing w:after="30" w:line="369" w:lineRule="auto"/>
        <w:ind w:left="-15" w:firstLine="630" w:firstLineChars="300"/>
        <w:jc w:val="both"/>
        <w:rPr>
          <w:rFonts w:hint="eastAsia" w:ascii="宋体" w:hAnsi="宋体" w:eastAsia="宋体" w:cs="宋体"/>
          <w:color w:val="auto"/>
          <w:highlight w:val="none"/>
        </w:rPr>
      </w:pPr>
      <w:r>
        <w:rPr>
          <w:rFonts w:hint="eastAsia" w:ascii="宋体" w:hAnsi="宋体" w:eastAsia="宋体" w:cs="宋体"/>
          <w:color w:val="auto"/>
          <w:sz w:val="21"/>
          <w:highlight w:val="none"/>
        </w:rPr>
        <w:t>本人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（姓名）系</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（投标人名称）的法定代表人，现委托</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（姓名）为我方代理人。代理人根据授权，以我方名义签署、澄清确认、递交、撤回、修改</w:t>
      </w:r>
      <w:r>
        <w:rPr>
          <w:rFonts w:hint="eastAsia" w:ascii="宋体" w:hAnsi="宋体" w:eastAsia="宋体" w:cs="宋体"/>
          <w:color w:val="auto"/>
          <w:sz w:val="21"/>
          <w:highlight w:val="none"/>
          <w:u w:val="single"/>
        </w:rPr>
        <w:t xml:space="preserve">           （项目名称）</w:t>
      </w:r>
      <w:r>
        <w:rPr>
          <w:rFonts w:hint="eastAsia" w:ascii="宋体" w:hAnsi="宋体" w:eastAsia="宋体" w:cs="宋体"/>
          <w:color w:val="auto"/>
          <w:sz w:val="21"/>
          <w:highlight w:val="none"/>
        </w:rPr>
        <w:t xml:space="preserve">项目投标文件、签订合同和处理有关事宜，其法律后果由我方承担。 </w:t>
      </w:r>
    </w:p>
    <w:p w14:paraId="189A480B">
      <w:pPr>
        <w:spacing w:after="149" w:line="265"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委托期限：</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 </w:t>
      </w:r>
    </w:p>
    <w:p w14:paraId="52E23FEC">
      <w:pPr>
        <w:spacing w:after="153" w:line="265" w:lineRule="auto"/>
        <w:ind w:left="430" w:hanging="1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代理人无转委托权。 </w:t>
      </w:r>
    </w:p>
    <w:p w14:paraId="0528AB3E">
      <w:pPr>
        <w:spacing w:after="184"/>
        <w:ind w:left="42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3F194BB4">
      <w:pPr>
        <w:spacing w:after="153" w:line="265" w:lineRule="auto"/>
        <w:ind w:left="-5" w:hanging="10"/>
        <w:rPr>
          <w:rFonts w:hint="eastAsia" w:ascii="宋体" w:hAnsi="宋体" w:eastAsia="宋体" w:cs="宋体"/>
          <w:b/>
          <w:color w:val="auto"/>
          <w:highlight w:val="none"/>
        </w:rPr>
      </w:pPr>
      <w:bookmarkStart w:id="239" w:name="_Toc12848_WPSOffice_Level2"/>
      <w:bookmarkStart w:id="240" w:name="_Toc14943_WPSOffice_Level2"/>
      <w:r>
        <w:rPr>
          <w:rFonts w:hint="eastAsia" w:ascii="宋体" w:hAnsi="宋体" w:eastAsia="宋体" w:cs="宋体"/>
          <w:b/>
          <w:color w:val="auto"/>
          <w:sz w:val="21"/>
          <w:highlight w:val="none"/>
        </w:rPr>
        <w:t>附：法定代表人身份证复印件及委托代理人身份证复印件</w:t>
      </w:r>
      <w:bookmarkEnd w:id="239"/>
      <w:bookmarkEnd w:id="240"/>
      <w:r>
        <w:rPr>
          <w:rFonts w:hint="eastAsia" w:ascii="宋体" w:hAnsi="宋体" w:eastAsia="宋体" w:cs="宋体"/>
          <w:b/>
          <w:color w:val="auto"/>
          <w:sz w:val="21"/>
          <w:highlight w:val="none"/>
        </w:rPr>
        <w:t xml:space="preserve"> </w:t>
      </w:r>
    </w:p>
    <w:p w14:paraId="1D6C2B0C">
      <w:pPr>
        <w:spacing w:after="182"/>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p>
    <w:p w14:paraId="2E340644">
      <w:pPr>
        <w:pStyle w:val="37"/>
        <w:ind w:left="440"/>
        <w:rPr>
          <w:rFonts w:hint="eastAsia" w:ascii="宋体" w:hAnsi="宋体" w:eastAsia="宋体" w:cs="宋体"/>
          <w:color w:val="auto"/>
          <w:sz w:val="21"/>
          <w:highlight w:val="none"/>
        </w:rPr>
      </w:pPr>
    </w:p>
    <w:p w14:paraId="6F75C70C">
      <w:pPr>
        <w:pStyle w:val="37"/>
        <w:ind w:left="440"/>
        <w:rPr>
          <w:rFonts w:hint="eastAsia" w:ascii="宋体" w:hAnsi="宋体" w:eastAsia="宋体" w:cs="宋体"/>
          <w:color w:val="auto"/>
          <w:sz w:val="21"/>
          <w:highlight w:val="none"/>
        </w:rPr>
      </w:pPr>
    </w:p>
    <w:p w14:paraId="4D3731C4">
      <w:pPr>
        <w:wordWrap w:val="0"/>
        <w:spacing w:after="146" w:line="265" w:lineRule="auto"/>
        <w:ind w:left="11" w:leftChars="5" w:firstLine="1995" w:firstLineChars="950"/>
        <w:rPr>
          <w:rFonts w:hint="eastAsia" w:ascii="宋体" w:hAnsi="宋体" w:eastAsia="宋体" w:cs="宋体"/>
          <w:color w:val="auto"/>
          <w:sz w:val="21"/>
          <w:highlight w:val="none"/>
          <w:u w:val="single" w:color="000000"/>
        </w:rPr>
      </w:pPr>
      <w:r>
        <w:rPr>
          <w:rFonts w:hint="eastAsia" w:ascii="宋体" w:hAnsi="宋体" w:eastAsia="宋体" w:cs="宋体"/>
          <w:color w:val="auto"/>
          <w:sz w:val="21"/>
          <w:highlight w:val="none"/>
          <w:u w:val="single" w:color="000000"/>
        </w:rPr>
        <w:t>投 标 人：                                     （该单位章）</w:t>
      </w:r>
    </w:p>
    <w:p w14:paraId="10956A6E">
      <w:pPr>
        <w:spacing w:after="146" w:line="265" w:lineRule="auto"/>
        <w:ind w:left="10" w:hanging="10"/>
        <w:rPr>
          <w:rFonts w:hint="eastAsia" w:ascii="宋体" w:hAnsi="宋体" w:eastAsia="宋体" w:cs="宋体"/>
          <w:color w:val="auto"/>
          <w:sz w:val="21"/>
          <w:highlight w:val="none"/>
          <w:u w:val="single" w:color="000000"/>
        </w:rPr>
      </w:pPr>
    </w:p>
    <w:p w14:paraId="5E4CFE65">
      <w:pPr>
        <w:wordWrap w:val="0"/>
        <w:spacing w:after="146" w:line="265" w:lineRule="auto"/>
        <w:ind w:left="11" w:leftChars="5" w:firstLine="1890" w:firstLineChars="900"/>
        <w:rPr>
          <w:rFonts w:hint="eastAsia" w:ascii="宋体" w:hAnsi="宋体" w:eastAsia="宋体" w:cs="宋体"/>
          <w:color w:val="auto"/>
          <w:sz w:val="21"/>
          <w:highlight w:val="none"/>
          <w:u w:val="single" w:color="000000"/>
        </w:rPr>
      </w:pPr>
      <w:r>
        <w:rPr>
          <w:rFonts w:hint="eastAsia" w:ascii="宋体" w:hAnsi="宋体" w:eastAsia="宋体" w:cs="宋体"/>
          <w:color w:val="auto"/>
          <w:sz w:val="21"/>
          <w:highlight w:val="none"/>
          <w:u w:val="single" w:color="000000"/>
        </w:rPr>
        <w:t>法定代表人：                                  （签字或签章）</w:t>
      </w:r>
    </w:p>
    <w:p w14:paraId="360671FE">
      <w:pPr>
        <w:spacing w:after="146" w:line="265" w:lineRule="auto"/>
        <w:ind w:left="10" w:hanging="10"/>
        <w:rPr>
          <w:rFonts w:hint="eastAsia" w:ascii="宋体" w:hAnsi="宋体" w:eastAsia="宋体" w:cs="宋体"/>
          <w:color w:val="auto"/>
          <w:sz w:val="21"/>
          <w:highlight w:val="none"/>
          <w:u w:val="single" w:color="000000"/>
        </w:rPr>
      </w:pPr>
    </w:p>
    <w:p w14:paraId="61C87310">
      <w:pPr>
        <w:wordWrap w:val="0"/>
        <w:spacing w:after="146" w:line="265" w:lineRule="auto"/>
        <w:ind w:left="11" w:leftChars="5" w:firstLine="1890" w:firstLineChars="900"/>
        <w:rPr>
          <w:rFonts w:hint="eastAsia" w:ascii="宋体" w:hAnsi="宋体" w:eastAsia="宋体" w:cs="宋体"/>
          <w:color w:val="auto"/>
          <w:sz w:val="21"/>
          <w:highlight w:val="none"/>
          <w:u w:val="single" w:color="000000"/>
        </w:rPr>
      </w:pPr>
      <w:r>
        <w:rPr>
          <w:rFonts w:hint="eastAsia" w:ascii="宋体" w:hAnsi="宋体" w:eastAsia="宋体" w:cs="宋体"/>
          <w:color w:val="auto"/>
          <w:sz w:val="21"/>
          <w:highlight w:val="none"/>
          <w:u w:val="single" w:color="000000"/>
        </w:rPr>
        <w:t xml:space="preserve">身份证号码：                                               </w:t>
      </w:r>
    </w:p>
    <w:p w14:paraId="3B2F22F3">
      <w:pPr>
        <w:spacing w:after="146" w:line="265" w:lineRule="auto"/>
        <w:ind w:left="10" w:hanging="10"/>
        <w:rPr>
          <w:rFonts w:hint="eastAsia" w:ascii="宋体" w:hAnsi="宋体" w:eastAsia="宋体" w:cs="宋体"/>
          <w:color w:val="auto"/>
          <w:sz w:val="21"/>
          <w:highlight w:val="none"/>
          <w:u w:val="single" w:color="000000"/>
        </w:rPr>
      </w:pPr>
    </w:p>
    <w:p w14:paraId="5937E03E">
      <w:pPr>
        <w:wordWrap w:val="0"/>
        <w:spacing w:after="146" w:line="265" w:lineRule="auto"/>
        <w:ind w:left="11" w:leftChars="5" w:firstLine="1890" w:firstLineChars="900"/>
        <w:rPr>
          <w:rFonts w:hint="eastAsia" w:ascii="宋体" w:hAnsi="宋体" w:eastAsia="宋体" w:cs="宋体"/>
          <w:color w:val="auto"/>
          <w:sz w:val="21"/>
          <w:highlight w:val="none"/>
          <w:u w:val="single" w:color="000000"/>
        </w:rPr>
      </w:pPr>
      <w:r>
        <w:rPr>
          <w:rFonts w:hint="eastAsia" w:ascii="宋体" w:hAnsi="宋体" w:eastAsia="宋体" w:cs="宋体"/>
          <w:color w:val="auto"/>
          <w:sz w:val="21"/>
          <w:highlight w:val="none"/>
          <w:u w:val="single" w:color="000000"/>
        </w:rPr>
        <w:t>委托代理人 ：                                       （签字）</w:t>
      </w:r>
    </w:p>
    <w:p w14:paraId="78783E04">
      <w:pPr>
        <w:spacing w:after="146" w:line="265" w:lineRule="auto"/>
        <w:ind w:left="10" w:hanging="10"/>
        <w:rPr>
          <w:rFonts w:hint="eastAsia" w:ascii="宋体" w:hAnsi="宋体" w:eastAsia="宋体" w:cs="宋体"/>
          <w:color w:val="auto"/>
          <w:sz w:val="21"/>
          <w:highlight w:val="none"/>
          <w:u w:val="single" w:color="000000"/>
        </w:rPr>
      </w:pPr>
    </w:p>
    <w:p w14:paraId="513F9490">
      <w:pPr>
        <w:wordWrap w:val="0"/>
        <w:spacing w:after="146" w:line="265" w:lineRule="auto"/>
        <w:ind w:left="11" w:leftChars="5" w:firstLine="1890" w:firstLineChars="900"/>
        <w:rPr>
          <w:rFonts w:hint="eastAsia" w:ascii="宋体" w:hAnsi="宋体" w:eastAsia="宋体" w:cs="宋体"/>
          <w:color w:val="auto"/>
          <w:sz w:val="21"/>
          <w:highlight w:val="none"/>
          <w:u w:val="single" w:color="000000"/>
        </w:rPr>
      </w:pPr>
      <w:r>
        <w:rPr>
          <w:rFonts w:hint="eastAsia" w:ascii="宋体" w:hAnsi="宋体" w:eastAsia="宋体" w:cs="宋体"/>
          <w:color w:val="auto"/>
          <w:sz w:val="21"/>
          <w:highlight w:val="none"/>
          <w:u w:val="single" w:color="000000"/>
        </w:rPr>
        <w:t xml:space="preserve">身份证号码：                                              </w:t>
      </w:r>
    </w:p>
    <w:p w14:paraId="4B908C58">
      <w:pPr>
        <w:wordWrap w:val="0"/>
        <w:spacing w:after="146" w:line="265" w:lineRule="auto"/>
        <w:ind w:left="11" w:leftChars="5" w:firstLine="1890" w:firstLineChars="900"/>
        <w:rPr>
          <w:rFonts w:hint="eastAsia" w:ascii="宋体" w:hAnsi="宋体" w:eastAsia="宋体" w:cs="宋体"/>
          <w:color w:val="auto"/>
          <w:sz w:val="21"/>
          <w:highlight w:val="none"/>
          <w:u w:val="single" w:color="000000"/>
        </w:rPr>
      </w:pPr>
    </w:p>
    <w:p w14:paraId="7D2B1DF9">
      <w:pPr>
        <w:spacing w:after="0" w:line="265" w:lineRule="auto"/>
        <w:ind w:left="-5" w:hanging="10"/>
        <w:rPr>
          <w:rFonts w:hint="eastAsia" w:ascii="宋体" w:hAnsi="宋体" w:eastAsia="宋体" w:cs="宋体"/>
          <w:color w:val="auto"/>
          <w:highlight w:val="none"/>
        </w:rPr>
      </w:pPr>
    </w:p>
    <w:p w14:paraId="61D85151">
      <w:pPr>
        <w:spacing w:after="146" w:line="265" w:lineRule="auto"/>
        <w:ind w:left="10" w:hanging="10"/>
        <w:jc w:val="right"/>
        <w:rPr>
          <w:rFonts w:hint="eastAsia" w:ascii="宋体" w:hAnsi="宋体" w:eastAsia="宋体" w:cs="宋体"/>
          <w:color w:val="auto"/>
          <w:highlight w:val="none"/>
        </w:r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rPr>
        <w:t xml:space="preserve">日 </w:t>
      </w:r>
    </w:p>
    <w:p w14:paraId="11721726">
      <w:pPr>
        <w:pStyle w:val="83"/>
        <w:spacing w:line="240" w:lineRule="auto"/>
        <w:ind w:firstLine="430"/>
        <w:rPr>
          <w:rFonts w:hint="eastAsia" w:ascii="宋体" w:hAnsi="宋体" w:eastAsia="宋体" w:cs="宋体"/>
          <w:b/>
          <w:bCs/>
          <w:color w:val="auto"/>
          <w:sz w:val="21"/>
          <w:highlight w:val="none"/>
        </w:rPr>
      </w:pPr>
    </w:p>
    <w:p w14:paraId="02A385E0">
      <w:pPr>
        <w:pStyle w:val="83"/>
        <w:spacing w:line="240" w:lineRule="auto"/>
        <w:ind w:firstLine="430"/>
        <w:rPr>
          <w:rFonts w:hint="eastAsia" w:ascii="宋体" w:hAnsi="宋体" w:eastAsia="宋体" w:cs="宋体"/>
          <w:b/>
          <w:bCs/>
          <w:color w:val="auto"/>
          <w:sz w:val="21"/>
          <w:szCs w:val="21"/>
          <w:highlight w:val="none"/>
        </w:rPr>
      </w:pPr>
      <w:r>
        <w:rPr>
          <w:rFonts w:hint="eastAsia" w:ascii="宋体" w:hAnsi="宋体" w:eastAsia="宋体" w:cs="宋体"/>
          <w:b/>
          <w:bCs/>
          <w:color w:val="auto"/>
          <w:sz w:val="21"/>
          <w:highlight w:val="none"/>
        </w:rPr>
        <w:t>注：</w:t>
      </w:r>
      <w:r>
        <w:rPr>
          <w:rFonts w:hint="eastAsia" w:ascii="宋体" w:hAnsi="宋体" w:eastAsia="宋体" w:cs="宋体"/>
          <w:b/>
          <w:bCs/>
          <w:color w:val="auto"/>
          <w:sz w:val="21"/>
          <w:szCs w:val="21"/>
          <w:highlight w:val="none"/>
        </w:rPr>
        <w:t>按提供的该格式填写，或使用从工商管理部门购买的表格填写。</w:t>
      </w:r>
    </w:p>
    <w:p w14:paraId="01486803">
      <w:pPr>
        <w:pStyle w:val="83"/>
        <w:spacing w:line="240" w:lineRule="auto"/>
        <w:ind w:firstLine="490"/>
        <w:rPr>
          <w:rFonts w:hint="eastAsia" w:ascii="宋体" w:hAnsi="宋体" w:eastAsia="宋体" w:cs="宋体"/>
          <w:b/>
          <w:bCs/>
          <w:color w:val="auto"/>
          <w:kern w:val="0"/>
          <w:szCs w:val="21"/>
          <w:highlight w:val="none"/>
        </w:rPr>
      </w:pPr>
    </w:p>
    <w:p w14:paraId="1F8AD7FA">
      <w:pPr>
        <w:spacing w:after="0"/>
        <w:rPr>
          <w:rFonts w:hint="eastAsia" w:ascii="宋体" w:hAnsi="宋体" w:eastAsia="宋体" w:cs="宋体"/>
          <w:color w:val="auto"/>
          <w:highlight w:val="none"/>
        </w:rPr>
      </w:pPr>
    </w:p>
    <w:p w14:paraId="0EB19932">
      <w:pPr>
        <w:pStyle w:val="4"/>
        <w:spacing w:after="573"/>
        <w:ind w:right="0"/>
        <w:jc w:val="center"/>
        <w:rPr>
          <w:rFonts w:hint="eastAsia" w:ascii="宋体" w:hAnsi="宋体" w:eastAsia="宋体" w:cs="宋体"/>
          <w:color w:val="auto"/>
          <w:sz w:val="32"/>
          <w:highlight w:val="none"/>
        </w:rPr>
      </w:pPr>
      <w:bookmarkStart w:id="241" w:name="_Toc4329"/>
      <w:bookmarkStart w:id="242" w:name="_Toc526895071"/>
      <w:bookmarkStart w:id="243" w:name="_Toc22665_WPSOffice_Level1"/>
      <w:r>
        <w:rPr>
          <w:rFonts w:hint="eastAsia" w:ascii="宋体" w:hAnsi="宋体" w:eastAsia="宋体" w:cs="宋体"/>
          <w:color w:val="auto"/>
          <w:sz w:val="32"/>
          <w:highlight w:val="none"/>
        </w:rPr>
        <w:br w:type="page"/>
      </w:r>
      <w:r>
        <w:rPr>
          <w:rFonts w:hint="eastAsia" w:ascii="宋体" w:hAnsi="宋体" w:eastAsia="宋体" w:cs="宋体"/>
          <w:color w:val="auto"/>
          <w:sz w:val="32"/>
          <w:highlight w:val="none"/>
        </w:rPr>
        <w:t>四、第三方检测工程量清单</w:t>
      </w:r>
    </w:p>
    <w:p w14:paraId="5D484833">
      <w:pPr>
        <w:jc w:val="center"/>
        <w:rPr>
          <w:rFonts w:hint="eastAsia" w:ascii="宋体" w:hAnsi="宋体" w:eastAsia="宋体" w:cs="宋体"/>
          <w:color w:val="auto"/>
          <w:highlight w:val="none"/>
        </w:rPr>
      </w:pPr>
      <w:r>
        <w:rPr>
          <w:rFonts w:hint="eastAsia" w:ascii="宋体" w:hAnsi="宋体" w:eastAsia="宋体" w:cs="宋体"/>
          <w:color w:val="auto"/>
          <w:highlight w:val="none"/>
        </w:rPr>
        <w:t>另册</w:t>
      </w:r>
    </w:p>
    <w:p w14:paraId="3B420874">
      <w:pPr>
        <w:pStyle w:val="4"/>
        <w:spacing w:after="269"/>
        <w:ind w:right="0"/>
        <w:jc w:val="center"/>
        <w:rPr>
          <w:rFonts w:hint="eastAsia" w:ascii="宋体" w:hAnsi="宋体" w:eastAsia="宋体" w:cs="宋体"/>
          <w:color w:val="auto"/>
          <w:highlight w:val="none"/>
        </w:rPr>
      </w:pPr>
      <w:r>
        <w:rPr>
          <w:rFonts w:hint="eastAsia" w:ascii="宋体" w:hAnsi="宋体" w:eastAsia="宋体" w:cs="宋体"/>
          <w:color w:val="auto"/>
          <w:sz w:val="32"/>
          <w:highlight w:val="none"/>
        </w:rPr>
        <w:br w:type="page"/>
      </w:r>
      <w:r>
        <w:rPr>
          <w:rFonts w:hint="eastAsia" w:ascii="宋体" w:hAnsi="宋体" w:eastAsia="宋体" w:cs="宋体"/>
          <w:color w:val="auto"/>
          <w:sz w:val="32"/>
          <w:highlight w:val="none"/>
          <w:lang w:eastAsia="zh-CN"/>
        </w:rPr>
        <w:t>五</w:t>
      </w:r>
      <w:r>
        <w:rPr>
          <w:rFonts w:hint="eastAsia" w:ascii="宋体" w:hAnsi="宋体" w:eastAsia="宋体" w:cs="宋体"/>
          <w:color w:val="auto"/>
          <w:sz w:val="32"/>
          <w:highlight w:val="none"/>
        </w:rPr>
        <w:t>、资格审查资料</w:t>
      </w:r>
      <w:bookmarkEnd w:id="241"/>
      <w:bookmarkEnd w:id="242"/>
      <w:bookmarkEnd w:id="243"/>
      <w:r>
        <w:rPr>
          <w:rFonts w:hint="eastAsia" w:ascii="宋体" w:hAnsi="宋体" w:eastAsia="宋体" w:cs="宋体"/>
          <w:b/>
          <w:color w:val="auto"/>
          <w:sz w:val="32"/>
          <w:highlight w:val="none"/>
        </w:rPr>
        <w:t xml:space="preserve"> </w:t>
      </w:r>
    </w:p>
    <w:p w14:paraId="0D887459">
      <w:pPr>
        <w:pStyle w:val="6"/>
        <w:spacing w:after="0"/>
        <w:ind w:left="132" w:leftChars="60" w:right="0" w:firstLine="560" w:firstLineChars="200"/>
        <w:rPr>
          <w:rFonts w:hint="eastAsia" w:ascii="宋体" w:hAnsi="宋体" w:eastAsia="宋体" w:cs="宋体"/>
          <w:color w:val="auto"/>
          <w:highlight w:val="none"/>
        </w:rPr>
      </w:pPr>
      <w:bookmarkStart w:id="244" w:name="_Toc7778"/>
      <w:bookmarkStart w:id="245" w:name="_Toc19293_WPSOffice_Level2"/>
      <w:bookmarkStart w:id="246" w:name="_Toc526895072"/>
      <w:bookmarkStart w:id="247" w:name="_Toc7009_WPSOffice_Level2"/>
      <w:r>
        <w:rPr>
          <w:rFonts w:hint="eastAsia" w:ascii="宋体" w:hAnsi="宋体" w:eastAsia="宋体" w:cs="宋体"/>
          <w:color w:val="auto"/>
          <w:highlight w:val="none"/>
        </w:rPr>
        <w:t>（一）基本情况表</w:t>
      </w:r>
      <w:bookmarkEnd w:id="244"/>
      <w:bookmarkEnd w:id="245"/>
      <w:bookmarkEnd w:id="246"/>
      <w:bookmarkEnd w:id="247"/>
      <w:r>
        <w:rPr>
          <w:rFonts w:hint="eastAsia" w:ascii="宋体" w:hAnsi="宋体" w:eastAsia="宋体" w:cs="宋体"/>
          <w:color w:val="auto"/>
          <w:highlight w:val="none"/>
        </w:rPr>
        <w:t xml:space="preserve"> </w:t>
      </w:r>
    </w:p>
    <w:tbl>
      <w:tblPr>
        <w:tblStyle w:val="38"/>
        <w:tblW w:w="0" w:type="auto"/>
        <w:tblInd w:w="961" w:type="dxa"/>
        <w:tblLayout w:type="fixed"/>
        <w:tblCellMar>
          <w:top w:w="0" w:type="dxa"/>
          <w:left w:w="108" w:type="dxa"/>
          <w:bottom w:w="46" w:type="dxa"/>
          <w:right w:w="43" w:type="dxa"/>
        </w:tblCellMar>
      </w:tblPr>
      <w:tblGrid>
        <w:gridCol w:w="2045"/>
        <w:gridCol w:w="898"/>
        <w:gridCol w:w="1027"/>
        <w:gridCol w:w="1287"/>
        <w:gridCol w:w="415"/>
        <w:gridCol w:w="871"/>
        <w:gridCol w:w="828"/>
        <w:gridCol w:w="286"/>
        <w:gridCol w:w="1229"/>
      </w:tblGrid>
      <w:tr w14:paraId="6CCEDEC0">
        <w:tblPrEx>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5D88ECB8">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投标人名称 </w:t>
            </w:r>
          </w:p>
        </w:tc>
        <w:tc>
          <w:tcPr>
            <w:tcW w:w="898" w:type="dxa"/>
            <w:tcBorders>
              <w:top w:val="single" w:color="000000" w:sz="4" w:space="0"/>
              <w:left w:val="single" w:color="000000" w:sz="4" w:space="0"/>
              <w:bottom w:val="single" w:color="000000" w:sz="4" w:space="0"/>
              <w:right w:val="nil"/>
            </w:tcBorders>
            <w:noWrap w:val="0"/>
            <w:vAlign w:val="top"/>
          </w:tcPr>
          <w:p w14:paraId="18898EEC">
            <w:pPr>
              <w:rPr>
                <w:rFonts w:hint="eastAsia" w:ascii="宋体" w:hAnsi="宋体" w:eastAsia="宋体" w:cs="宋体"/>
                <w:color w:val="auto"/>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34EA7864">
            <w:pPr>
              <w:spacing w:after="0"/>
              <w:ind w:left="241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45C91A80">
        <w:tblPrEx>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16DCFE3B">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注册地址 </w:t>
            </w:r>
          </w:p>
        </w:tc>
        <w:tc>
          <w:tcPr>
            <w:tcW w:w="898" w:type="dxa"/>
            <w:tcBorders>
              <w:top w:val="single" w:color="000000" w:sz="4" w:space="0"/>
              <w:left w:val="single" w:color="000000" w:sz="4" w:space="0"/>
              <w:bottom w:val="single" w:color="000000" w:sz="4" w:space="0"/>
              <w:right w:val="nil"/>
            </w:tcBorders>
            <w:noWrap w:val="0"/>
            <w:vAlign w:val="top"/>
          </w:tcPr>
          <w:p w14:paraId="3557750D">
            <w:pPr>
              <w:rPr>
                <w:rFonts w:hint="eastAsia" w:ascii="宋体" w:hAnsi="宋体" w:eastAsia="宋体" w:cs="宋体"/>
                <w:color w:val="auto"/>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57FCA9EE">
            <w:pPr>
              <w:spacing w:after="0"/>
              <w:ind w:left="6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41CE4C89">
            <w:pPr>
              <w:spacing w:after="0"/>
              <w:ind w:left="11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邮政编码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25380113">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60232BEE">
        <w:tblPrEx>
          <w:tblCellMar>
            <w:top w:w="0" w:type="dxa"/>
            <w:left w:w="108" w:type="dxa"/>
            <w:bottom w:w="46" w:type="dxa"/>
            <w:right w:w="43" w:type="dxa"/>
          </w:tblCellMar>
        </w:tblPrEx>
        <w:trPr>
          <w:trHeight w:val="451" w:hRule="atLeast"/>
        </w:trPr>
        <w:tc>
          <w:tcPr>
            <w:tcW w:w="2045" w:type="dxa"/>
            <w:vMerge w:val="restart"/>
            <w:tcBorders>
              <w:top w:val="single" w:color="000000" w:sz="4" w:space="0"/>
              <w:left w:val="single" w:color="000000" w:sz="4" w:space="0"/>
              <w:bottom w:val="single" w:color="000000" w:sz="4" w:space="0"/>
              <w:right w:val="single" w:color="000000" w:sz="4" w:space="0"/>
            </w:tcBorders>
            <w:noWrap w:val="0"/>
            <w:vAlign w:val="bottom"/>
          </w:tcPr>
          <w:p w14:paraId="1B8A5D8B">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联系方式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3591EA7E">
            <w:pPr>
              <w:spacing w:after="0"/>
              <w:ind w:left="24"/>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联系人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06DB4856">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41E63837">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电 话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527861A0">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5AEDEFBB">
        <w:tblPrEx>
          <w:tblCellMar>
            <w:top w:w="0" w:type="dxa"/>
            <w:left w:w="108" w:type="dxa"/>
            <w:bottom w:w="46" w:type="dxa"/>
            <w:right w:w="43" w:type="dxa"/>
          </w:tblCellMar>
        </w:tblPrEx>
        <w:trPr>
          <w:trHeight w:val="449" w:hRule="atLeast"/>
        </w:trPr>
        <w:tc>
          <w:tcPr>
            <w:tcW w:w="2045" w:type="dxa"/>
            <w:vMerge w:val="continue"/>
            <w:tcBorders>
              <w:top w:val="nil"/>
              <w:left w:val="single" w:color="000000" w:sz="4" w:space="0"/>
              <w:bottom w:val="single" w:color="000000" w:sz="4" w:space="0"/>
              <w:right w:val="single" w:color="000000" w:sz="4" w:space="0"/>
            </w:tcBorders>
            <w:noWrap w:val="0"/>
            <w:vAlign w:val="top"/>
          </w:tcPr>
          <w:p w14:paraId="3D083755">
            <w:pPr>
              <w:rPr>
                <w:rFonts w:hint="eastAsia"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33E9F8E4">
            <w:pPr>
              <w:spacing w:after="0"/>
              <w:ind w:left="24"/>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传  真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1162AC78">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73C38AB">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网 址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670B680E">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7D6C58F1">
        <w:tblPrEx>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582EA007">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法定代表人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4996AED0">
            <w:pPr>
              <w:spacing w:after="0"/>
              <w:ind w:left="13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姓名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22C08A03">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5CEA9F49">
            <w:pPr>
              <w:spacing w:after="0"/>
              <w:ind w:left="11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技术职称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2B68EC8A">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03E6A1C8">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电话 </w:t>
            </w:r>
          </w:p>
        </w:tc>
        <w:tc>
          <w:tcPr>
            <w:tcW w:w="1229" w:type="dxa"/>
            <w:tcBorders>
              <w:top w:val="single" w:color="000000" w:sz="4" w:space="0"/>
              <w:left w:val="single" w:color="000000" w:sz="4" w:space="0"/>
              <w:bottom w:val="single" w:color="000000" w:sz="4" w:space="0"/>
              <w:right w:val="single" w:color="000000" w:sz="4" w:space="0"/>
            </w:tcBorders>
            <w:noWrap w:val="0"/>
            <w:vAlign w:val="bottom"/>
          </w:tcPr>
          <w:p w14:paraId="47B5547E">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15E7C2C">
        <w:tblPrEx>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38EBE94">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技术负责人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7DA2A361">
            <w:pPr>
              <w:spacing w:after="0"/>
              <w:ind w:left="13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姓名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40A70F61">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54060134">
            <w:pPr>
              <w:spacing w:after="0"/>
              <w:ind w:left="11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技术职称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6316C1B">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53DA925B">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电话 </w:t>
            </w:r>
          </w:p>
        </w:tc>
        <w:tc>
          <w:tcPr>
            <w:tcW w:w="1229" w:type="dxa"/>
            <w:tcBorders>
              <w:top w:val="single" w:color="000000" w:sz="4" w:space="0"/>
              <w:left w:val="single" w:color="000000" w:sz="4" w:space="0"/>
              <w:bottom w:val="single" w:color="000000" w:sz="4" w:space="0"/>
              <w:right w:val="single" w:color="000000" w:sz="4" w:space="0"/>
            </w:tcBorders>
            <w:noWrap w:val="0"/>
            <w:vAlign w:val="bottom"/>
          </w:tcPr>
          <w:p w14:paraId="662AA3F6">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ED958BA">
        <w:tblPrEx>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2F250C91">
            <w:pPr>
              <w:spacing w:after="0"/>
              <w:ind w:left="74"/>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企业资质证书 </w:t>
            </w:r>
          </w:p>
        </w:tc>
        <w:tc>
          <w:tcPr>
            <w:tcW w:w="898" w:type="dxa"/>
            <w:tcBorders>
              <w:top w:val="single" w:color="000000" w:sz="4" w:space="0"/>
              <w:left w:val="single" w:color="000000" w:sz="4" w:space="0"/>
              <w:bottom w:val="single" w:color="000000" w:sz="4" w:space="0"/>
              <w:right w:val="nil"/>
            </w:tcBorders>
            <w:noWrap w:val="0"/>
            <w:vAlign w:val="top"/>
          </w:tcPr>
          <w:p w14:paraId="20E71678">
            <w:pPr>
              <w:rPr>
                <w:rFonts w:hint="eastAsia" w:ascii="宋体" w:hAnsi="宋体" w:eastAsia="宋体" w:cs="宋体"/>
                <w:color w:val="auto"/>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0B480F54">
            <w:pPr>
              <w:spacing w:after="0"/>
              <w:ind w:left="5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类型：                    等级：      证书号： </w:t>
            </w:r>
          </w:p>
        </w:tc>
      </w:tr>
      <w:tr w14:paraId="36BC47CD">
        <w:tblPrEx>
          <w:tblCellMar>
            <w:top w:w="0" w:type="dxa"/>
            <w:left w:w="108" w:type="dxa"/>
            <w:bottom w:w="46" w:type="dxa"/>
            <w:right w:w="43" w:type="dxa"/>
          </w:tblCellMar>
        </w:tblPrEx>
        <w:trPr>
          <w:trHeight w:val="890"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76FB168B">
            <w:pPr>
              <w:spacing w:after="149"/>
              <w:ind w:left="74"/>
              <w:jc w:val="both"/>
              <w:rPr>
                <w:rFonts w:hint="eastAsia" w:ascii="宋体" w:hAnsi="宋体" w:eastAsia="宋体" w:cs="宋体"/>
                <w:color w:val="auto"/>
                <w:highlight w:val="none"/>
              </w:rPr>
            </w:pPr>
            <w:r>
              <w:rPr>
                <w:rFonts w:hint="eastAsia" w:ascii="宋体" w:hAnsi="宋体" w:eastAsia="宋体" w:cs="宋体"/>
                <w:color w:val="auto"/>
                <w:sz w:val="21"/>
                <w:highlight w:val="none"/>
              </w:rPr>
              <w:t>质量管理体系证书</w:t>
            </w:r>
          </w:p>
          <w:p w14:paraId="0B060555">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（如有） </w:t>
            </w:r>
          </w:p>
        </w:tc>
        <w:tc>
          <w:tcPr>
            <w:tcW w:w="898" w:type="dxa"/>
            <w:tcBorders>
              <w:top w:val="single" w:color="000000" w:sz="4" w:space="0"/>
              <w:left w:val="single" w:color="000000" w:sz="4" w:space="0"/>
              <w:bottom w:val="single" w:color="000000" w:sz="4" w:space="0"/>
              <w:right w:val="nil"/>
            </w:tcBorders>
            <w:noWrap w:val="0"/>
            <w:vAlign w:val="top"/>
          </w:tcPr>
          <w:p w14:paraId="4F7FA1D2">
            <w:pPr>
              <w:rPr>
                <w:rFonts w:hint="eastAsia" w:ascii="宋体" w:hAnsi="宋体" w:eastAsia="宋体" w:cs="宋体"/>
                <w:color w:val="auto"/>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204E949E">
            <w:pPr>
              <w:spacing w:after="0"/>
              <w:ind w:left="5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类型：                    等级：      证书号： </w:t>
            </w:r>
          </w:p>
        </w:tc>
      </w:tr>
      <w:tr w14:paraId="32D1EFE3">
        <w:tblPrEx>
          <w:tblCellMar>
            <w:top w:w="0" w:type="dxa"/>
            <w:left w:w="108" w:type="dxa"/>
            <w:bottom w:w="46" w:type="dxa"/>
            <w:right w:w="43" w:type="dxa"/>
          </w:tblCellMar>
        </w:tblPrEx>
        <w:trPr>
          <w:trHeight w:val="856"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49BB3EC2">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事业单位法人证书号或营业执照号 </w:t>
            </w:r>
          </w:p>
        </w:tc>
        <w:tc>
          <w:tcPr>
            <w:tcW w:w="898" w:type="dxa"/>
            <w:tcBorders>
              <w:top w:val="single" w:color="000000" w:sz="4" w:space="0"/>
              <w:left w:val="single" w:color="000000" w:sz="4" w:space="0"/>
              <w:bottom w:val="single" w:color="000000" w:sz="4" w:space="0"/>
              <w:right w:val="nil"/>
            </w:tcBorders>
            <w:noWrap w:val="0"/>
            <w:vAlign w:val="top"/>
          </w:tcPr>
          <w:p w14:paraId="02440369">
            <w:pPr>
              <w:rPr>
                <w:rFonts w:hint="eastAsia" w:ascii="宋体" w:hAnsi="宋体" w:eastAsia="宋体" w:cs="宋体"/>
                <w:color w:val="auto"/>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4B8D6244">
            <w:pPr>
              <w:spacing w:after="0"/>
              <w:ind w:left="6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3629" w:type="dxa"/>
            <w:gridSpan w:val="5"/>
            <w:tcBorders>
              <w:top w:val="single" w:color="000000" w:sz="4" w:space="0"/>
              <w:left w:val="single" w:color="000000" w:sz="4" w:space="0"/>
              <w:bottom w:val="single" w:color="000000" w:sz="4" w:space="0"/>
              <w:right w:val="single" w:color="000000" w:sz="4" w:space="0"/>
            </w:tcBorders>
            <w:noWrap w:val="0"/>
            <w:vAlign w:val="bottom"/>
          </w:tcPr>
          <w:p w14:paraId="7D3F113E">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员工总人数： </w:t>
            </w:r>
          </w:p>
        </w:tc>
      </w:tr>
      <w:tr w14:paraId="7F0D25D4">
        <w:tblPrEx>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7DC55FA">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注册资本 </w:t>
            </w:r>
          </w:p>
        </w:tc>
        <w:tc>
          <w:tcPr>
            <w:tcW w:w="898" w:type="dxa"/>
            <w:tcBorders>
              <w:top w:val="single" w:color="000000" w:sz="4" w:space="0"/>
              <w:left w:val="single" w:color="000000" w:sz="4" w:space="0"/>
              <w:bottom w:val="single" w:color="000000" w:sz="4" w:space="0"/>
              <w:right w:val="nil"/>
            </w:tcBorders>
            <w:noWrap w:val="0"/>
            <w:vAlign w:val="top"/>
          </w:tcPr>
          <w:p w14:paraId="6D75D94B">
            <w:pPr>
              <w:rPr>
                <w:rFonts w:hint="eastAsia" w:ascii="宋体" w:hAnsi="宋体" w:eastAsia="宋体" w:cs="宋体"/>
                <w:color w:val="auto"/>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03A61BD5">
            <w:pPr>
              <w:spacing w:after="0"/>
              <w:ind w:left="6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bottom"/>
          </w:tcPr>
          <w:p w14:paraId="7CAA8727">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其中 </w:t>
            </w: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312CE7B7">
            <w:pPr>
              <w:spacing w:after="0"/>
              <w:ind w:left="11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高级职称人员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0D29423F">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7BAB0F38">
        <w:tblPrEx>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4F8146A0">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成立日期 </w:t>
            </w:r>
          </w:p>
        </w:tc>
        <w:tc>
          <w:tcPr>
            <w:tcW w:w="898" w:type="dxa"/>
            <w:tcBorders>
              <w:top w:val="single" w:color="000000" w:sz="4" w:space="0"/>
              <w:left w:val="single" w:color="000000" w:sz="4" w:space="0"/>
              <w:bottom w:val="single" w:color="000000" w:sz="4" w:space="0"/>
              <w:right w:val="nil"/>
            </w:tcBorders>
            <w:noWrap w:val="0"/>
            <w:vAlign w:val="top"/>
          </w:tcPr>
          <w:p w14:paraId="5B4B2938">
            <w:pPr>
              <w:rPr>
                <w:rFonts w:hint="eastAsia" w:ascii="宋体" w:hAnsi="宋体" w:eastAsia="宋体" w:cs="宋体"/>
                <w:color w:val="auto"/>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0968D6FD">
            <w:pPr>
              <w:spacing w:after="0"/>
              <w:ind w:left="6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415" w:type="dxa"/>
            <w:vMerge w:val="continue"/>
            <w:tcBorders>
              <w:top w:val="nil"/>
              <w:left w:val="single" w:color="000000" w:sz="4" w:space="0"/>
              <w:bottom w:val="nil"/>
              <w:right w:val="single" w:color="000000" w:sz="4" w:space="0"/>
            </w:tcBorders>
            <w:noWrap w:val="0"/>
            <w:vAlign w:val="top"/>
          </w:tcPr>
          <w:p w14:paraId="55164F1E">
            <w:pPr>
              <w:rPr>
                <w:rFonts w:hint="eastAsia" w:ascii="宋体" w:hAnsi="宋体" w:eastAsia="宋体" w:cs="宋体"/>
                <w:color w:val="auto"/>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7B59FFA0">
            <w:pPr>
              <w:spacing w:after="0"/>
              <w:ind w:left="11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中级职称人员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2D7B6B42">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596084DE">
        <w:tblPrEx>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1F173FED">
            <w:pPr>
              <w:spacing w:after="0"/>
              <w:ind w:left="74"/>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基本账户开户银行 </w:t>
            </w:r>
          </w:p>
        </w:tc>
        <w:tc>
          <w:tcPr>
            <w:tcW w:w="898" w:type="dxa"/>
            <w:tcBorders>
              <w:top w:val="single" w:color="000000" w:sz="4" w:space="0"/>
              <w:left w:val="single" w:color="000000" w:sz="4" w:space="0"/>
              <w:bottom w:val="single" w:color="000000" w:sz="4" w:space="0"/>
              <w:right w:val="nil"/>
            </w:tcBorders>
            <w:noWrap w:val="0"/>
            <w:vAlign w:val="top"/>
          </w:tcPr>
          <w:p w14:paraId="1D62BF4E">
            <w:pPr>
              <w:rPr>
                <w:rFonts w:hint="eastAsia" w:ascii="宋体" w:hAnsi="宋体" w:eastAsia="宋体" w:cs="宋体"/>
                <w:color w:val="auto"/>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6126754E">
            <w:pPr>
              <w:spacing w:after="0"/>
              <w:ind w:left="6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415" w:type="dxa"/>
            <w:vMerge w:val="continue"/>
            <w:tcBorders>
              <w:top w:val="nil"/>
              <w:left w:val="single" w:color="000000" w:sz="4" w:space="0"/>
              <w:bottom w:val="nil"/>
              <w:right w:val="single" w:color="000000" w:sz="4" w:space="0"/>
            </w:tcBorders>
            <w:noWrap w:val="0"/>
            <w:vAlign w:val="top"/>
          </w:tcPr>
          <w:p w14:paraId="3E3ADCC2">
            <w:pPr>
              <w:rPr>
                <w:rFonts w:hint="eastAsia" w:ascii="宋体" w:hAnsi="宋体" w:eastAsia="宋体" w:cs="宋体"/>
                <w:color w:val="auto"/>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2064CFAE">
            <w:pPr>
              <w:spacing w:after="0"/>
              <w:ind w:left="11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技术人员数量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08B133F8">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7988C9D6">
        <w:tblPrEx>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0A6B2B88">
            <w:pPr>
              <w:spacing w:after="0"/>
              <w:ind w:left="74"/>
              <w:jc w:val="both"/>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基本账户银行账号 </w:t>
            </w:r>
          </w:p>
        </w:tc>
        <w:tc>
          <w:tcPr>
            <w:tcW w:w="898" w:type="dxa"/>
            <w:tcBorders>
              <w:top w:val="single" w:color="000000" w:sz="4" w:space="0"/>
              <w:left w:val="single" w:color="000000" w:sz="4" w:space="0"/>
              <w:bottom w:val="single" w:color="000000" w:sz="4" w:space="0"/>
              <w:right w:val="nil"/>
            </w:tcBorders>
            <w:noWrap w:val="0"/>
            <w:vAlign w:val="top"/>
          </w:tcPr>
          <w:p w14:paraId="325BB6FD">
            <w:pPr>
              <w:rPr>
                <w:rFonts w:hint="eastAsia" w:ascii="宋体" w:hAnsi="宋体" w:eastAsia="宋体" w:cs="宋体"/>
                <w:color w:val="auto"/>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6A5611A6">
            <w:pPr>
              <w:spacing w:after="0"/>
              <w:ind w:left="60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c>
          <w:tcPr>
            <w:tcW w:w="415" w:type="dxa"/>
            <w:vMerge w:val="continue"/>
            <w:tcBorders>
              <w:top w:val="nil"/>
              <w:left w:val="single" w:color="000000" w:sz="4" w:space="0"/>
              <w:bottom w:val="single" w:color="000000" w:sz="4" w:space="0"/>
              <w:right w:val="single" w:color="000000" w:sz="4" w:space="0"/>
            </w:tcBorders>
            <w:noWrap w:val="0"/>
            <w:vAlign w:val="top"/>
          </w:tcPr>
          <w:p w14:paraId="51DCAD7E">
            <w:pPr>
              <w:rPr>
                <w:rFonts w:hint="eastAsia" w:ascii="宋体" w:hAnsi="宋体" w:eastAsia="宋体" w:cs="宋体"/>
                <w:color w:val="auto"/>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79119D9D">
            <w:pPr>
              <w:spacing w:after="0"/>
              <w:ind w:left="113"/>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各类注册人员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444B07A5">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5ADD3156">
        <w:tblPrEx>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36BD973D">
            <w:pPr>
              <w:spacing w:after="0"/>
              <w:ind w:left="149"/>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经营范围 </w:t>
            </w:r>
          </w:p>
        </w:tc>
        <w:tc>
          <w:tcPr>
            <w:tcW w:w="898" w:type="dxa"/>
            <w:tcBorders>
              <w:top w:val="single" w:color="000000" w:sz="4" w:space="0"/>
              <w:left w:val="single" w:color="000000" w:sz="4" w:space="0"/>
              <w:bottom w:val="single" w:color="000000" w:sz="4" w:space="0"/>
              <w:right w:val="nil"/>
            </w:tcBorders>
            <w:noWrap w:val="0"/>
            <w:vAlign w:val="top"/>
          </w:tcPr>
          <w:p w14:paraId="25E94B09">
            <w:pPr>
              <w:rPr>
                <w:rFonts w:hint="eastAsia" w:ascii="宋体" w:hAnsi="宋体" w:eastAsia="宋体" w:cs="宋体"/>
                <w:color w:val="auto"/>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1C20FB85">
            <w:pPr>
              <w:spacing w:after="0"/>
              <w:ind w:left="241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r w14:paraId="093ED4D3">
        <w:tblPrEx>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noWrap w:val="0"/>
            <w:vAlign w:val="bottom"/>
          </w:tcPr>
          <w:p w14:paraId="1AAA25F6">
            <w:pPr>
              <w:spacing w:after="0"/>
              <w:jc w:val="cente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备注 </w:t>
            </w:r>
          </w:p>
        </w:tc>
        <w:tc>
          <w:tcPr>
            <w:tcW w:w="898" w:type="dxa"/>
            <w:tcBorders>
              <w:top w:val="single" w:color="000000" w:sz="4" w:space="0"/>
              <w:left w:val="single" w:color="000000" w:sz="4" w:space="0"/>
              <w:bottom w:val="single" w:color="000000" w:sz="4" w:space="0"/>
              <w:right w:val="nil"/>
            </w:tcBorders>
            <w:noWrap w:val="0"/>
            <w:vAlign w:val="top"/>
          </w:tcPr>
          <w:p w14:paraId="1BF0AFC7">
            <w:pPr>
              <w:rPr>
                <w:rFonts w:hint="eastAsia" w:ascii="宋体" w:hAnsi="宋体" w:eastAsia="宋体" w:cs="宋体"/>
                <w:color w:val="auto"/>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1A176B9A">
            <w:pPr>
              <w:spacing w:after="0"/>
              <w:ind w:left="2415"/>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tc>
      </w:tr>
    </w:tbl>
    <w:p w14:paraId="1054AD20">
      <w:pPr>
        <w:spacing w:after="22" w:line="374" w:lineRule="auto"/>
        <w:ind w:left="-5" w:hanging="10"/>
        <w:rPr>
          <w:rFonts w:hint="eastAsia" w:ascii="宋体" w:hAnsi="宋体" w:eastAsia="宋体" w:cs="宋体"/>
          <w:color w:val="auto"/>
          <w:highlight w:val="none"/>
        </w:rPr>
      </w:pPr>
      <w:r>
        <w:rPr>
          <w:rFonts w:hint="eastAsia" w:ascii="宋体" w:hAnsi="宋体" w:eastAsia="宋体" w:cs="宋体"/>
          <w:color w:val="auto"/>
          <w:sz w:val="21"/>
          <w:highlight w:val="none"/>
        </w:rPr>
        <w:t>注：投标人应根据投标人须知第 3.5.1 项的要求在本表后附相关证明材料。</w:t>
      </w:r>
    </w:p>
    <w:p w14:paraId="1911D372">
      <w:pPr>
        <w:spacing w:after="0"/>
        <w:rPr>
          <w:rFonts w:hint="eastAsia" w:ascii="宋体" w:hAnsi="宋体" w:eastAsia="宋体" w:cs="宋体"/>
          <w:color w:val="auto"/>
          <w:highlight w:val="none"/>
        </w:rPr>
      </w:pPr>
      <w:r>
        <w:rPr>
          <w:rFonts w:hint="eastAsia" w:ascii="宋体" w:hAnsi="宋体" w:eastAsia="宋体" w:cs="宋体"/>
          <w:color w:val="auto"/>
          <w:sz w:val="21"/>
          <w:highlight w:val="none"/>
        </w:rPr>
        <w:t xml:space="preserve"> </w:t>
      </w:r>
    </w:p>
    <w:p w14:paraId="77383FF2">
      <w:pPr>
        <w:pStyle w:val="6"/>
        <w:spacing w:after="578"/>
        <w:ind w:left="0" w:right="0" w:firstLine="0"/>
        <w:rPr>
          <w:rFonts w:hint="eastAsia" w:ascii="宋体" w:hAnsi="宋体" w:eastAsia="宋体" w:cs="宋体"/>
          <w:color w:val="auto"/>
          <w:highlight w:val="none"/>
        </w:rPr>
      </w:pPr>
    </w:p>
    <w:p w14:paraId="28D3E64C">
      <w:pPr>
        <w:spacing w:after="0"/>
        <w:rPr>
          <w:rFonts w:hint="eastAsia" w:ascii="宋体" w:hAnsi="宋体" w:eastAsia="宋体" w:cs="宋体"/>
          <w:strike/>
          <w:color w:val="auto"/>
          <w:highlight w:val="none"/>
        </w:rPr>
      </w:pPr>
    </w:p>
    <w:p w14:paraId="2021E83B">
      <w:pPr>
        <w:pStyle w:val="6"/>
        <w:ind w:right="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page"/>
      </w:r>
      <w:r>
        <w:rPr>
          <w:rFonts w:hint="eastAsia" w:ascii="宋体" w:hAnsi="宋体" w:eastAsia="宋体" w:cs="宋体"/>
          <w:color w:val="auto"/>
          <w:sz w:val="21"/>
          <w:highlight w:val="none"/>
        </w:rPr>
        <w:tab/>
      </w:r>
      <w:bookmarkStart w:id="248" w:name="_Toc30343_WPSOffice_Level2"/>
      <w:bookmarkStart w:id="249" w:name="_Toc516843134"/>
      <w:bookmarkStart w:id="250" w:name="_Toc526895073"/>
      <w:bookmarkStart w:id="251" w:name="_Toc514259569"/>
      <w:bookmarkStart w:id="252" w:name="_Toc514056434"/>
      <w:bookmarkStart w:id="253" w:name="_Toc27173"/>
      <w:bookmarkStart w:id="254" w:name="_Toc516832138"/>
      <w:bookmarkStart w:id="255" w:name="_Toc516832571"/>
      <w:bookmarkStart w:id="256" w:name="_Toc516830836"/>
      <w:bookmarkStart w:id="257" w:name="_Toc514055423"/>
      <w:bookmarkStart w:id="258" w:name="_Toc516830947"/>
      <w:bookmarkStart w:id="259" w:name="_Toc514259842"/>
      <w:bookmarkStart w:id="260" w:name="_Toc11561_WPSOffice_Level2"/>
      <w:r>
        <w:rPr>
          <w:rFonts w:hint="eastAsia" w:ascii="宋体" w:hAnsi="宋体" w:eastAsia="宋体" w:cs="宋体"/>
          <w:color w:val="auto"/>
          <w:highlight w:val="none"/>
        </w:rPr>
        <w:t>（二）</w:t>
      </w:r>
      <w:r>
        <w:rPr>
          <w:rFonts w:hint="eastAsia" w:ascii="宋体" w:hAnsi="宋体" w:eastAsia="宋体" w:cs="宋体"/>
          <w:color w:val="auto"/>
          <w:highlight w:val="none"/>
        </w:rPr>
        <w:tab/>
      </w:r>
      <w:r>
        <w:rPr>
          <w:rFonts w:hint="eastAsia" w:ascii="宋体" w:hAnsi="宋体" w:eastAsia="宋体" w:cs="宋体"/>
          <w:bCs/>
          <w:color w:val="auto"/>
          <w:highlight w:val="none"/>
        </w:rPr>
        <w:t>投标申请人声明</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2E8F1BA6">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（格式见招标公告）</w:t>
      </w:r>
    </w:p>
    <w:p w14:paraId="5BC2EA9C">
      <w:pPr>
        <w:pStyle w:val="6"/>
        <w:ind w:right="0"/>
        <w:rPr>
          <w:rFonts w:hint="eastAsia" w:ascii="宋体" w:hAnsi="宋体" w:eastAsia="宋体" w:cs="宋体"/>
          <w:color w:val="auto"/>
          <w:highlight w:val="none"/>
        </w:rPr>
      </w:pPr>
      <w:bookmarkStart w:id="261" w:name="_Toc11782"/>
      <w:bookmarkStart w:id="262" w:name="_Toc526895075"/>
      <w:r>
        <w:rPr>
          <w:rFonts w:hint="eastAsia" w:ascii="宋体" w:hAnsi="宋体" w:eastAsia="宋体" w:cs="宋体"/>
          <w:color w:val="auto"/>
          <w:sz w:val="32"/>
          <w:highlight w:val="none"/>
        </w:rPr>
        <w:br w:type="page"/>
      </w:r>
      <w:bookmarkEnd w:id="261"/>
      <w:bookmarkStart w:id="263" w:name="_Toc10542"/>
      <w:r>
        <w:rPr>
          <w:rFonts w:hint="eastAsia" w:ascii="宋体" w:hAnsi="宋体" w:eastAsia="宋体" w:cs="宋体"/>
          <w:color w:val="auto"/>
          <w:highlight w:val="none"/>
        </w:rPr>
        <w:t>（三）</w:t>
      </w:r>
      <w:r>
        <w:rPr>
          <w:rFonts w:hint="eastAsia" w:ascii="宋体" w:hAnsi="宋体" w:eastAsia="宋体" w:cs="宋体"/>
          <w:color w:val="auto"/>
          <w:highlight w:val="none"/>
        </w:rPr>
        <w:tab/>
      </w:r>
      <w:r>
        <w:rPr>
          <w:rFonts w:hint="eastAsia" w:ascii="宋体" w:hAnsi="宋体" w:eastAsia="宋体" w:cs="宋体"/>
          <w:color w:val="auto"/>
          <w:highlight w:val="none"/>
        </w:rPr>
        <w:t>投标人廉洁承诺书</w:t>
      </w:r>
    </w:p>
    <w:p w14:paraId="7B251AC5">
      <w:pPr>
        <w:spacing w:after="0" w:line="400" w:lineRule="exact"/>
        <w:ind w:right="554" w:rightChars="252"/>
        <w:jc w:val="center"/>
        <w:rPr>
          <w:rFonts w:hint="eastAsia" w:ascii="宋体" w:hAnsi="宋体" w:eastAsia="宋体" w:cs="宋体"/>
          <w:color w:val="auto"/>
          <w:sz w:val="28"/>
          <w:szCs w:val="28"/>
          <w:highlight w:val="none"/>
        </w:rPr>
      </w:pPr>
      <w:bookmarkStart w:id="264" w:name="_Toc15263_WPSOffice_Level2"/>
      <w:bookmarkStart w:id="265" w:name="_Toc11945_WPSOffice_Level2"/>
      <w:r>
        <w:rPr>
          <w:rFonts w:hint="eastAsia" w:ascii="宋体" w:hAnsi="宋体" w:eastAsia="宋体" w:cs="宋体"/>
          <w:color w:val="auto"/>
          <w:sz w:val="28"/>
          <w:szCs w:val="28"/>
          <w:highlight w:val="none"/>
        </w:rPr>
        <w:t>投标人廉洁承诺书</w:t>
      </w:r>
      <w:bookmarkEnd w:id="264"/>
      <w:bookmarkEnd w:id="265"/>
      <w:bookmarkStart w:id="266" w:name="_Toc513825431"/>
    </w:p>
    <w:p w14:paraId="1A440E94">
      <w:pPr>
        <w:spacing w:after="0" w:line="400" w:lineRule="exact"/>
        <w:ind w:right="554" w:rightChars="252"/>
        <w:jc w:val="center"/>
        <w:rPr>
          <w:rFonts w:hint="eastAsia" w:ascii="宋体" w:hAnsi="宋体" w:eastAsia="宋体" w:cs="宋体"/>
          <w:color w:val="auto"/>
          <w:sz w:val="21"/>
          <w:szCs w:val="21"/>
          <w:highlight w:val="none"/>
        </w:rPr>
      </w:pPr>
    </w:p>
    <w:p w14:paraId="76EEDEE2">
      <w:pPr>
        <w:spacing w:after="0" w:line="400" w:lineRule="exact"/>
        <w:ind w:right="554" w:rightChars="2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bookmarkEnd w:id="266"/>
    </w:p>
    <w:p w14:paraId="2642A20E">
      <w:pPr>
        <w:spacing w:after="0" w:line="400" w:lineRule="exact"/>
        <w:ind w:right="554" w:rightChars="252"/>
        <w:rPr>
          <w:rFonts w:hint="eastAsia" w:ascii="宋体" w:hAnsi="宋体" w:eastAsia="宋体" w:cs="宋体"/>
          <w:color w:val="auto"/>
          <w:sz w:val="21"/>
          <w:szCs w:val="21"/>
          <w:highlight w:val="none"/>
        </w:rPr>
      </w:pPr>
    </w:p>
    <w:p w14:paraId="55BB7454">
      <w:pPr>
        <w:pStyle w:val="130"/>
        <w:spacing w:before="0" w:after="0" w:line="400" w:lineRule="exact"/>
        <w:ind w:right="554" w:rightChars="252" w:firstLine="525" w:firstLineChars="250"/>
        <w:rPr>
          <w:rFonts w:hint="eastAsia" w:eastAsia="宋体"/>
          <w:color w:val="auto"/>
          <w:sz w:val="21"/>
          <w:szCs w:val="21"/>
          <w:highlight w:val="none"/>
        </w:rPr>
      </w:pPr>
      <w:bookmarkStart w:id="267" w:name="_Toc513825432"/>
      <w:r>
        <w:rPr>
          <w:rFonts w:hint="eastAsia" w:eastAsia="宋体"/>
          <w:color w:val="auto"/>
          <w:sz w:val="21"/>
          <w:szCs w:val="21"/>
          <w:highlight w:val="none"/>
        </w:rPr>
        <w:t>本公司参加了</w:t>
      </w:r>
      <w:r>
        <w:rPr>
          <w:rFonts w:hint="eastAsia" w:eastAsia="宋体"/>
          <w:color w:val="auto"/>
          <w:sz w:val="21"/>
          <w:szCs w:val="21"/>
          <w:highlight w:val="none"/>
          <w:u w:val="single"/>
        </w:rPr>
        <w:t xml:space="preserve">   （项目名称/标段名称）   </w:t>
      </w:r>
      <w:r>
        <w:rPr>
          <w:rFonts w:hint="eastAsia" w:eastAsia="宋体"/>
          <w:color w:val="auto"/>
          <w:sz w:val="21"/>
          <w:szCs w:val="21"/>
          <w:highlight w:val="none"/>
        </w:rPr>
        <w:t xml:space="preserve"> 投标， 为确保招标工作的公平、公正、公开、有序进行，我们保证遵守《中华人民共和国招标投标法》、《中华人民共和国招标投标法实施条例》、《广东省实施&lt;中华人民共和国招标投标法&gt;办法》等法律法规，特承诺如下事项：</w:t>
      </w:r>
      <w:bookmarkEnd w:id="267"/>
    </w:p>
    <w:p w14:paraId="4C028E0C">
      <w:pPr>
        <w:pStyle w:val="130"/>
        <w:spacing w:before="0" w:after="0" w:line="400" w:lineRule="exact"/>
        <w:ind w:right="554" w:rightChars="252" w:firstLine="525" w:firstLineChars="250"/>
        <w:rPr>
          <w:rFonts w:hint="eastAsia" w:eastAsia="宋体"/>
          <w:color w:val="auto"/>
          <w:sz w:val="21"/>
          <w:szCs w:val="21"/>
          <w:highlight w:val="none"/>
        </w:rPr>
      </w:pPr>
      <w:bookmarkStart w:id="268" w:name="_Toc513825433"/>
      <w:r>
        <w:rPr>
          <w:rFonts w:hint="eastAsia" w:eastAsia="宋体"/>
          <w:color w:val="auto"/>
          <w:sz w:val="21"/>
          <w:szCs w:val="21"/>
          <w:highlight w:val="none"/>
        </w:rPr>
        <w:t>一、自觉遵守国家有关法律法规及廉洁规定。</w:t>
      </w:r>
      <w:bookmarkEnd w:id="268"/>
    </w:p>
    <w:p w14:paraId="00C3ECAE">
      <w:pPr>
        <w:pStyle w:val="130"/>
        <w:spacing w:before="0" w:after="0" w:line="400" w:lineRule="exact"/>
        <w:ind w:right="554" w:rightChars="252" w:firstLine="525" w:firstLineChars="250"/>
        <w:rPr>
          <w:rFonts w:hint="eastAsia" w:eastAsia="宋体"/>
          <w:color w:val="auto"/>
          <w:sz w:val="21"/>
          <w:szCs w:val="21"/>
          <w:highlight w:val="none"/>
        </w:rPr>
      </w:pPr>
      <w:bookmarkStart w:id="269" w:name="_Toc513825434"/>
      <w:r>
        <w:rPr>
          <w:rFonts w:hint="eastAsia" w:eastAsia="宋体"/>
          <w:color w:val="auto"/>
          <w:sz w:val="21"/>
          <w:szCs w:val="21"/>
          <w:highlight w:val="none"/>
        </w:rPr>
        <w:t>二、不与招标单位工作人员串通投标，损害国家利益、企业利益以及他人的合法利益；</w:t>
      </w:r>
      <w:bookmarkEnd w:id="269"/>
    </w:p>
    <w:p w14:paraId="4903DA35">
      <w:pPr>
        <w:pStyle w:val="130"/>
        <w:spacing w:before="0" w:after="0" w:line="400" w:lineRule="exact"/>
        <w:ind w:right="554" w:rightChars="252" w:firstLine="525" w:firstLineChars="250"/>
        <w:rPr>
          <w:rFonts w:hint="eastAsia" w:eastAsia="宋体"/>
          <w:color w:val="auto"/>
          <w:sz w:val="21"/>
          <w:szCs w:val="21"/>
          <w:highlight w:val="none"/>
        </w:rPr>
      </w:pPr>
      <w:bookmarkStart w:id="270" w:name="_Toc513825435"/>
      <w:r>
        <w:rPr>
          <w:rFonts w:hint="eastAsia" w:eastAsia="宋体"/>
          <w:color w:val="auto"/>
          <w:sz w:val="21"/>
          <w:szCs w:val="21"/>
          <w:highlight w:val="none"/>
        </w:rPr>
        <w:t>三、不与其他单位围标、串标，不出让投标资格，不向招标人或评标委员会成员行贿。</w:t>
      </w:r>
      <w:bookmarkEnd w:id="270"/>
    </w:p>
    <w:p w14:paraId="486417D8">
      <w:pPr>
        <w:pStyle w:val="130"/>
        <w:spacing w:before="0" w:after="0" w:line="400" w:lineRule="exact"/>
        <w:ind w:right="554" w:rightChars="252" w:firstLine="525" w:firstLineChars="250"/>
        <w:rPr>
          <w:rFonts w:hint="eastAsia" w:eastAsia="宋体"/>
          <w:color w:val="auto"/>
          <w:sz w:val="21"/>
          <w:szCs w:val="21"/>
          <w:highlight w:val="none"/>
        </w:rPr>
      </w:pPr>
      <w:bookmarkStart w:id="271" w:name="_Toc513825436"/>
      <w:r>
        <w:rPr>
          <w:rFonts w:hint="eastAsia" w:eastAsia="宋体"/>
          <w:color w:val="auto"/>
          <w:sz w:val="21"/>
          <w:szCs w:val="21"/>
          <w:highlight w:val="none"/>
        </w:rPr>
        <w:t>四、不以任何名义向参与招标、评标工作的有关人员提供高消费宴请及娱乐活动和赠送回扣、红包、礼金、购物卡、有价证券、贵重物品和好处费、感谢费等；</w:t>
      </w:r>
      <w:bookmarkEnd w:id="271"/>
      <w:r>
        <w:rPr>
          <w:rFonts w:hint="eastAsia" w:eastAsia="宋体"/>
          <w:color w:val="auto"/>
          <w:sz w:val="21"/>
          <w:szCs w:val="21"/>
          <w:highlight w:val="none"/>
        </w:rPr>
        <w:t xml:space="preserve"> </w:t>
      </w:r>
    </w:p>
    <w:p w14:paraId="472B95E9">
      <w:pPr>
        <w:pStyle w:val="130"/>
        <w:spacing w:before="0" w:after="0" w:line="400" w:lineRule="exact"/>
        <w:ind w:right="554" w:rightChars="252" w:firstLine="525" w:firstLineChars="250"/>
        <w:rPr>
          <w:rFonts w:hint="eastAsia" w:eastAsia="宋体"/>
          <w:color w:val="auto"/>
          <w:sz w:val="21"/>
          <w:szCs w:val="21"/>
          <w:highlight w:val="none"/>
        </w:rPr>
      </w:pPr>
      <w:bookmarkStart w:id="272" w:name="_Toc513825437"/>
      <w:r>
        <w:rPr>
          <w:rFonts w:hint="eastAsia" w:eastAsia="宋体"/>
          <w:color w:val="auto"/>
          <w:sz w:val="21"/>
          <w:szCs w:val="21"/>
          <w:highlight w:val="none"/>
        </w:rPr>
        <w:t>五、不以任何名义为参与招标、评标工作的有关人员装修住房、婚丧嫁取、配偶子女的工作安排以及境内外旅游等提供方便；</w:t>
      </w:r>
      <w:bookmarkEnd w:id="272"/>
    </w:p>
    <w:p w14:paraId="4C9F9C53">
      <w:pPr>
        <w:pStyle w:val="130"/>
        <w:spacing w:before="0" w:after="0" w:line="400" w:lineRule="exact"/>
        <w:ind w:right="554" w:rightChars="252" w:firstLine="525" w:firstLineChars="250"/>
        <w:rPr>
          <w:rFonts w:hint="eastAsia" w:eastAsia="宋体"/>
          <w:color w:val="auto"/>
          <w:sz w:val="21"/>
          <w:szCs w:val="21"/>
          <w:highlight w:val="none"/>
        </w:rPr>
      </w:pPr>
      <w:bookmarkStart w:id="273" w:name="_Toc513825438"/>
      <w:r>
        <w:rPr>
          <w:rFonts w:hint="eastAsia" w:eastAsia="宋体"/>
          <w:color w:val="auto"/>
          <w:sz w:val="21"/>
          <w:szCs w:val="21"/>
          <w:highlight w:val="none"/>
        </w:rPr>
        <w:t>六、不以谋取非正当利益为目的，擅自与参与招标、评标工作的有关人员就业务问题进行私下商谈或者达成利益默契；</w:t>
      </w:r>
      <w:bookmarkEnd w:id="273"/>
    </w:p>
    <w:p w14:paraId="2450BF46">
      <w:pPr>
        <w:pStyle w:val="130"/>
        <w:spacing w:before="0" w:after="0" w:line="400" w:lineRule="exact"/>
        <w:ind w:right="554" w:rightChars="252" w:firstLine="525" w:firstLineChars="250"/>
        <w:rPr>
          <w:rFonts w:hint="eastAsia" w:eastAsia="宋体"/>
          <w:color w:val="auto"/>
          <w:sz w:val="21"/>
          <w:szCs w:val="21"/>
          <w:highlight w:val="none"/>
        </w:rPr>
      </w:pPr>
      <w:bookmarkStart w:id="274" w:name="_Toc513825439"/>
      <w:r>
        <w:rPr>
          <w:rFonts w:hint="eastAsia" w:eastAsia="宋体"/>
          <w:color w:val="auto"/>
          <w:sz w:val="21"/>
          <w:szCs w:val="21"/>
          <w:highlight w:val="none"/>
        </w:rPr>
        <w:t>本公司违反上述承诺，或本承诺陈述与事实不符，经查实，本公司愿意接受公开通报，承担由此带来的法律后果，并自愿停止参加广州市行政辖区内的招标投标活动三个月。</w:t>
      </w:r>
      <w:bookmarkEnd w:id="274"/>
    </w:p>
    <w:p w14:paraId="1EBE4E46">
      <w:pPr>
        <w:pStyle w:val="130"/>
        <w:spacing w:before="0" w:after="0" w:line="400" w:lineRule="exact"/>
        <w:ind w:right="554" w:rightChars="252" w:firstLine="525" w:firstLineChars="250"/>
        <w:rPr>
          <w:rFonts w:hint="eastAsia" w:eastAsia="宋体"/>
          <w:color w:val="auto"/>
          <w:sz w:val="21"/>
          <w:szCs w:val="21"/>
          <w:highlight w:val="none"/>
        </w:rPr>
      </w:pPr>
      <w:bookmarkStart w:id="275" w:name="_Toc513825440"/>
    </w:p>
    <w:p w14:paraId="315E3636">
      <w:pPr>
        <w:pStyle w:val="130"/>
        <w:spacing w:before="0" w:after="0" w:line="400" w:lineRule="exact"/>
        <w:ind w:right="554" w:rightChars="252" w:firstLine="525" w:firstLineChars="250"/>
        <w:rPr>
          <w:rFonts w:hint="eastAsia" w:eastAsia="宋体"/>
          <w:color w:val="auto"/>
          <w:sz w:val="21"/>
          <w:szCs w:val="21"/>
          <w:highlight w:val="none"/>
        </w:rPr>
      </w:pPr>
      <w:r>
        <w:rPr>
          <w:rFonts w:hint="eastAsia" w:eastAsia="宋体"/>
          <w:color w:val="auto"/>
          <w:sz w:val="21"/>
          <w:szCs w:val="21"/>
          <w:highlight w:val="none"/>
        </w:rPr>
        <w:t>特此承诺</w:t>
      </w:r>
      <w:bookmarkEnd w:id="275"/>
      <w:r>
        <w:rPr>
          <w:rFonts w:hint="eastAsia" w:eastAsia="宋体"/>
          <w:color w:val="auto"/>
          <w:sz w:val="21"/>
          <w:szCs w:val="21"/>
          <w:highlight w:val="none"/>
        </w:rPr>
        <w:t xml:space="preserve">                                          </w:t>
      </w:r>
    </w:p>
    <w:p w14:paraId="31652B95">
      <w:pPr>
        <w:pStyle w:val="130"/>
        <w:spacing w:before="0" w:after="0" w:line="400" w:lineRule="exact"/>
        <w:ind w:right="554" w:rightChars="252"/>
        <w:rPr>
          <w:rFonts w:hint="eastAsia" w:eastAsia="宋体"/>
          <w:color w:val="auto"/>
          <w:sz w:val="21"/>
          <w:szCs w:val="21"/>
          <w:highlight w:val="none"/>
        </w:rPr>
      </w:pPr>
    </w:p>
    <w:p w14:paraId="26FD285A">
      <w:pPr>
        <w:pStyle w:val="130"/>
        <w:spacing w:before="0" w:after="0" w:line="400" w:lineRule="exact"/>
        <w:ind w:right="554" w:rightChars="252"/>
        <w:jc w:val="right"/>
        <w:rPr>
          <w:rFonts w:hint="eastAsia" w:eastAsia="宋体"/>
          <w:color w:val="auto"/>
          <w:sz w:val="21"/>
          <w:szCs w:val="21"/>
          <w:highlight w:val="none"/>
        </w:rPr>
      </w:pPr>
      <w:bookmarkStart w:id="276" w:name="_Toc513825441"/>
      <w:r>
        <w:rPr>
          <w:rFonts w:hint="eastAsia" w:eastAsia="宋体"/>
          <w:color w:val="auto"/>
          <w:sz w:val="21"/>
          <w:szCs w:val="21"/>
          <w:highlight w:val="none"/>
        </w:rPr>
        <w:t>承诺企业：</w:t>
      </w:r>
      <w:bookmarkEnd w:id="276"/>
      <w:r>
        <w:rPr>
          <w:rFonts w:hint="eastAsia" w:eastAsia="宋体"/>
          <w:color w:val="auto"/>
          <w:sz w:val="21"/>
          <w:szCs w:val="21"/>
          <w:highlight w:val="none"/>
        </w:rPr>
        <w:t xml:space="preserve">      </w:t>
      </w:r>
    </w:p>
    <w:p w14:paraId="553BFB95">
      <w:pPr>
        <w:pStyle w:val="130"/>
        <w:spacing w:before="0" w:after="0" w:line="400" w:lineRule="exact"/>
        <w:ind w:right="554" w:rightChars="252"/>
        <w:jc w:val="right"/>
        <w:rPr>
          <w:rFonts w:hint="eastAsia" w:eastAsia="宋体"/>
          <w:color w:val="auto"/>
          <w:sz w:val="21"/>
          <w:szCs w:val="21"/>
          <w:highlight w:val="none"/>
        </w:rPr>
      </w:pPr>
      <w:bookmarkStart w:id="277" w:name="_Toc513825442"/>
      <w:r>
        <w:rPr>
          <w:rFonts w:hint="eastAsia" w:eastAsia="宋体"/>
          <w:color w:val="auto"/>
          <w:sz w:val="21"/>
          <w:szCs w:val="21"/>
          <w:highlight w:val="none"/>
        </w:rPr>
        <w:t>年   月   日</w:t>
      </w:r>
      <w:bookmarkEnd w:id="277"/>
    </w:p>
    <w:p w14:paraId="22E64277">
      <w:pPr>
        <w:pStyle w:val="130"/>
        <w:spacing w:before="0" w:after="0" w:line="400" w:lineRule="exact"/>
        <w:ind w:right="554" w:rightChars="252"/>
        <w:jc w:val="right"/>
        <w:rPr>
          <w:rFonts w:hint="eastAsia" w:eastAsia="宋体"/>
          <w:color w:val="auto"/>
          <w:sz w:val="21"/>
          <w:szCs w:val="21"/>
          <w:highlight w:val="none"/>
        </w:rPr>
      </w:pPr>
    </w:p>
    <w:p w14:paraId="54AFFAC2">
      <w:pPr>
        <w:pStyle w:val="130"/>
        <w:spacing w:before="0" w:after="0" w:line="400" w:lineRule="exact"/>
        <w:ind w:right="554" w:rightChars="252"/>
        <w:jc w:val="right"/>
        <w:rPr>
          <w:rFonts w:hint="eastAsia" w:eastAsia="宋体"/>
          <w:color w:val="auto"/>
          <w:sz w:val="21"/>
          <w:szCs w:val="21"/>
          <w:highlight w:val="none"/>
        </w:rPr>
      </w:pPr>
    </w:p>
    <w:p w14:paraId="278E613B">
      <w:pPr>
        <w:pStyle w:val="130"/>
        <w:spacing w:before="0" w:after="0" w:line="400" w:lineRule="exact"/>
        <w:ind w:right="554" w:rightChars="252"/>
        <w:jc w:val="right"/>
        <w:rPr>
          <w:rFonts w:hint="eastAsia" w:eastAsia="宋体"/>
          <w:color w:val="auto"/>
          <w:sz w:val="21"/>
          <w:szCs w:val="21"/>
          <w:highlight w:val="none"/>
        </w:rPr>
      </w:pPr>
      <w:bookmarkStart w:id="278" w:name="_Toc513825443"/>
      <w:r>
        <w:rPr>
          <w:rFonts w:hint="eastAsia" w:eastAsia="宋体"/>
          <w:color w:val="auto"/>
          <w:sz w:val="21"/>
          <w:szCs w:val="21"/>
          <w:highlight w:val="none"/>
        </w:rPr>
        <w:t>法定代表人签字：</w:t>
      </w:r>
      <w:bookmarkEnd w:id="278"/>
      <w:r>
        <w:rPr>
          <w:rFonts w:hint="eastAsia" w:eastAsia="宋体"/>
          <w:color w:val="auto"/>
          <w:sz w:val="21"/>
          <w:szCs w:val="21"/>
          <w:highlight w:val="none"/>
        </w:rPr>
        <w:t xml:space="preserve">                  </w:t>
      </w:r>
    </w:p>
    <w:p w14:paraId="5972D584">
      <w:pPr>
        <w:pStyle w:val="130"/>
        <w:spacing w:before="0" w:after="0" w:line="400" w:lineRule="exact"/>
        <w:ind w:right="554" w:rightChars="252"/>
        <w:jc w:val="right"/>
        <w:rPr>
          <w:rFonts w:hint="eastAsia" w:eastAsia="宋体"/>
          <w:color w:val="auto"/>
          <w:sz w:val="21"/>
          <w:szCs w:val="21"/>
          <w:highlight w:val="none"/>
        </w:rPr>
      </w:pPr>
      <w:bookmarkStart w:id="279" w:name="_Toc513825444"/>
      <w:r>
        <w:rPr>
          <w:rFonts w:hint="eastAsia" w:eastAsia="宋体"/>
          <w:color w:val="auto"/>
          <w:sz w:val="21"/>
          <w:szCs w:val="21"/>
          <w:highlight w:val="none"/>
        </w:rPr>
        <w:t>(企业公章)</w:t>
      </w:r>
      <w:bookmarkEnd w:id="279"/>
    </w:p>
    <w:p w14:paraId="2A1B812D">
      <w:pPr>
        <w:pStyle w:val="4"/>
        <w:spacing w:after="176"/>
        <w:ind w:right="0"/>
        <w:jc w:val="center"/>
        <w:rPr>
          <w:rFonts w:hint="eastAsia" w:ascii="宋体" w:hAnsi="宋体" w:eastAsia="宋体" w:cs="宋体"/>
          <w:color w:val="auto"/>
          <w:sz w:val="32"/>
          <w:highlight w:val="none"/>
        </w:rPr>
      </w:pPr>
    </w:p>
    <w:p w14:paraId="519D592B">
      <w:pPr>
        <w:pStyle w:val="4"/>
        <w:spacing w:after="176"/>
        <w:ind w:right="0"/>
        <w:jc w:val="center"/>
        <w:rPr>
          <w:rFonts w:hint="eastAsia" w:ascii="宋体" w:hAnsi="宋体" w:eastAsia="宋体" w:cs="宋体"/>
          <w:color w:val="auto"/>
          <w:sz w:val="32"/>
          <w:highlight w:val="none"/>
        </w:rPr>
      </w:pPr>
    </w:p>
    <w:p w14:paraId="1907EEDC">
      <w:pPr>
        <w:pStyle w:val="4"/>
        <w:spacing w:after="176"/>
        <w:ind w:left="0" w:right="0" w:firstLine="0"/>
        <w:jc w:val="center"/>
        <w:rPr>
          <w:rFonts w:hint="eastAsia" w:ascii="宋体" w:hAnsi="宋体" w:eastAsia="宋体" w:cs="宋体"/>
          <w:color w:val="auto"/>
          <w:highlight w:val="none"/>
        </w:rPr>
      </w:pPr>
      <w:r>
        <w:rPr>
          <w:rFonts w:hint="eastAsia" w:ascii="宋体" w:hAnsi="宋体" w:eastAsia="宋体" w:cs="宋体"/>
          <w:color w:val="auto"/>
          <w:sz w:val="32"/>
          <w:highlight w:val="none"/>
        </w:rPr>
        <w:br w:type="page"/>
      </w:r>
      <w:r>
        <w:rPr>
          <w:rFonts w:hint="eastAsia" w:ascii="宋体" w:hAnsi="宋体" w:eastAsia="宋体" w:cs="宋体"/>
          <w:color w:val="auto"/>
          <w:sz w:val="32"/>
          <w:highlight w:val="none"/>
          <w:lang w:eastAsia="zh-CN"/>
        </w:rPr>
        <w:t>六</w:t>
      </w:r>
      <w:r>
        <w:rPr>
          <w:rFonts w:hint="eastAsia" w:ascii="宋体" w:hAnsi="宋体" w:eastAsia="宋体" w:cs="宋体"/>
          <w:color w:val="auto"/>
          <w:sz w:val="32"/>
          <w:highlight w:val="none"/>
        </w:rPr>
        <w:t>、检测</w:t>
      </w:r>
      <w:bookmarkEnd w:id="262"/>
      <w:bookmarkEnd w:id="263"/>
      <w:r>
        <w:rPr>
          <w:rFonts w:hint="eastAsia" w:ascii="宋体" w:hAnsi="宋体" w:eastAsia="宋体" w:cs="宋体"/>
          <w:color w:val="auto"/>
          <w:sz w:val="32"/>
          <w:highlight w:val="none"/>
        </w:rPr>
        <w:t>纲要</w:t>
      </w:r>
    </w:p>
    <w:p w14:paraId="02C2B3BB">
      <w:pPr>
        <w:spacing w:after="0" w:line="376" w:lineRule="auto"/>
        <w:ind w:left="485" w:hanging="10"/>
        <w:rPr>
          <w:rFonts w:hint="eastAsia" w:ascii="宋体" w:hAnsi="宋体" w:eastAsia="宋体" w:cs="宋体"/>
          <w:color w:val="auto"/>
          <w:sz w:val="21"/>
          <w:highlight w:val="none"/>
        </w:rPr>
      </w:pPr>
      <w:r>
        <w:rPr>
          <w:rFonts w:hint="eastAsia" w:ascii="宋体" w:hAnsi="宋体" w:eastAsia="宋体" w:cs="宋体"/>
          <w:color w:val="auto"/>
          <w:sz w:val="21"/>
          <w:highlight w:val="none"/>
        </w:rPr>
        <w:t>检测纲要应包括（但不限于）下列内容：</w:t>
      </w:r>
    </w:p>
    <w:p w14:paraId="5285428B">
      <w:pPr>
        <w:spacing w:after="0" w:line="376" w:lineRule="auto"/>
        <w:ind w:left="485" w:hanging="10"/>
        <w:outlineLvl w:val="0"/>
        <w:rPr>
          <w:rFonts w:hint="eastAsia" w:ascii="宋体" w:hAnsi="宋体" w:eastAsia="宋体" w:cs="宋体"/>
          <w:color w:val="auto"/>
          <w:highlight w:val="none"/>
        </w:rPr>
      </w:pPr>
      <w:bookmarkStart w:id="280" w:name="_Toc18232"/>
      <w:r>
        <w:rPr>
          <w:rFonts w:hint="eastAsia" w:ascii="宋体" w:hAnsi="宋体" w:eastAsia="宋体" w:cs="宋体"/>
          <w:color w:val="auto"/>
          <w:sz w:val="21"/>
          <w:highlight w:val="none"/>
        </w:rPr>
        <w:t>一、检测工程概况；</w:t>
      </w:r>
      <w:bookmarkEnd w:id="280"/>
      <w:r>
        <w:rPr>
          <w:rFonts w:hint="eastAsia" w:ascii="宋体" w:hAnsi="宋体" w:eastAsia="宋体" w:cs="宋体"/>
          <w:color w:val="auto"/>
          <w:sz w:val="21"/>
          <w:highlight w:val="none"/>
        </w:rPr>
        <w:t xml:space="preserve"> </w:t>
      </w:r>
    </w:p>
    <w:p w14:paraId="38802C99">
      <w:pPr>
        <w:numPr>
          <w:ilvl w:val="0"/>
          <w:numId w:val="11"/>
        </w:numPr>
        <w:spacing w:after="123" w:line="265" w:lineRule="auto"/>
        <w:ind w:left="897" w:hanging="422"/>
        <w:outlineLvl w:val="0"/>
        <w:rPr>
          <w:rFonts w:hint="eastAsia" w:ascii="宋体" w:hAnsi="宋体" w:eastAsia="宋体" w:cs="宋体"/>
          <w:color w:val="auto"/>
          <w:highlight w:val="none"/>
        </w:rPr>
      </w:pPr>
      <w:bookmarkStart w:id="281" w:name="_Toc31658"/>
      <w:r>
        <w:rPr>
          <w:rFonts w:hint="eastAsia" w:ascii="宋体" w:hAnsi="宋体" w:eastAsia="宋体" w:cs="宋体"/>
          <w:color w:val="auto"/>
          <w:sz w:val="21"/>
          <w:highlight w:val="none"/>
        </w:rPr>
        <w:t>检测范围、内容；</w:t>
      </w:r>
      <w:bookmarkEnd w:id="281"/>
      <w:r>
        <w:rPr>
          <w:rFonts w:hint="eastAsia" w:ascii="宋体" w:hAnsi="宋体" w:eastAsia="宋体" w:cs="宋体"/>
          <w:color w:val="auto"/>
          <w:sz w:val="21"/>
          <w:highlight w:val="none"/>
        </w:rPr>
        <w:t xml:space="preserve"> </w:t>
      </w:r>
    </w:p>
    <w:p w14:paraId="0404657F">
      <w:pPr>
        <w:numPr>
          <w:ilvl w:val="0"/>
          <w:numId w:val="11"/>
        </w:numPr>
        <w:spacing w:after="123" w:line="265" w:lineRule="auto"/>
        <w:ind w:left="897" w:hanging="422"/>
        <w:outlineLvl w:val="0"/>
        <w:rPr>
          <w:rFonts w:hint="eastAsia" w:ascii="宋体" w:hAnsi="宋体" w:eastAsia="宋体" w:cs="宋体"/>
          <w:color w:val="auto"/>
          <w:highlight w:val="none"/>
        </w:rPr>
      </w:pPr>
      <w:bookmarkStart w:id="282" w:name="_Toc29333"/>
      <w:r>
        <w:rPr>
          <w:rFonts w:hint="eastAsia" w:ascii="宋体" w:hAnsi="宋体" w:eastAsia="宋体" w:cs="宋体"/>
          <w:color w:val="auto"/>
          <w:sz w:val="21"/>
          <w:highlight w:val="none"/>
        </w:rPr>
        <w:t>检测依据、工作目标；</w:t>
      </w:r>
      <w:bookmarkEnd w:id="282"/>
      <w:r>
        <w:rPr>
          <w:rFonts w:hint="eastAsia" w:ascii="宋体" w:hAnsi="宋体" w:eastAsia="宋体" w:cs="宋体"/>
          <w:color w:val="auto"/>
          <w:sz w:val="21"/>
          <w:highlight w:val="none"/>
        </w:rPr>
        <w:t xml:space="preserve"> </w:t>
      </w:r>
    </w:p>
    <w:p w14:paraId="6DE4B845">
      <w:pPr>
        <w:numPr>
          <w:ilvl w:val="0"/>
          <w:numId w:val="11"/>
        </w:numPr>
        <w:spacing w:after="1" w:line="376" w:lineRule="auto"/>
        <w:ind w:left="897" w:hanging="422"/>
        <w:outlineLvl w:val="0"/>
        <w:rPr>
          <w:rFonts w:hint="eastAsia" w:ascii="宋体" w:hAnsi="宋体" w:eastAsia="宋体" w:cs="宋体"/>
          <w:color w:val="auto"/>
          <w:highlight w:val="none"/>
        </w:rPr>
      </w:pPr>
      <w:bookmarkStart w:id="283" w:name="_Toc20799"/>
      <w:r>
        <w:rPr>
          <w:rFonts w:hint="eastAsia" w:ascii="宋体" w:hAnsi="宋体" w:eastAsia="宋体" w:cs="宋体"/>
          <w:color w:val="auto"/>
          <w:sz w:val="21"/>
          <w:highlight w:val="none"/>
        </w:rPr>
        <w:t>检测机构设置（框图）、岗位职责；</w:t>
      </w:r>
      <w:bookmarkEnd w:id="283"/>
    </w:p>
    <w:p w14:paraId="72871935">
      <w:pPr>
        <w:spacing w:after="1" w:line="376" w:lineRule="auto"/>
        <w:ind w:left="475"/>
        <w:outlineLvl w:val="0"/>
        <w:rPr>
          <w:rFonts w:hint="eastAsia" w:ascii="宋体" w:hAnsi="宋体" w:eastAsia="宋体" w:cs="宋体"/>
          <w:color w:val="auto"/>
          <w:highlight w:val="none"/>
        </w:rPr>
      </w:pPr>
      <w:bookmarkStart w:id="284" w:name="_Toc10868"/>
      <w:r>
        <w:rPr>
          <w:rFonts w:hint="eastAsia" w:ascii="宋体" w:hAnsi="宋体" w:eastAsia="宋体" w:cs="宋体"/>
          <w:color w:val="auto"/>
          <w:sz w:val="21"/>
          <w:highlight w:val="none"/>
        </w:rPr>
        <w:t>五、检测说明和检测方案；</w:t>
      </w:r>
      <w:bookmarkEnd w:id="284"/>
      <w:r>
        <w:rPr>
          <w:rFonts w:hint="eastAsia" w:ascii="宋体" w:hAnsi="宋体" w:eastAsia="宋体" w:cs="宋体"/>
          <w:color w:val="auto"/>
          <w:sz w:val="21"/>
          <w:highlight w:val="none"/>
        </w:rPr>
        <w:t xml:space="preserve"> </w:t>
      </w:r>
    </w:p>
    <w:p w14:paraId="2EA8CA2B">
      <w:pPr>
        <w:numPr>
          <w:ilvl w:val="0"/>
          <w:numId w:val="12"/>
        </w:numPr>
        <w:spacing w:after="123" w:line="265" w:lineRule="auto"/>
        <w:ind w:left="897" w:hanging="422"/>
        <w:outlineLvl w:val="0"/>
        <w:rPr>
          <w:rFonts w:hint="eastAsia" w:ascii="宋体" w:hAnsi="宋体" w:eastAsia="宋体" w:cs="宋体"/>
          <w:color w:val="auto"/>
          <w:highlight w:val="none"/>
        </w:rPr>
      </w:pPr>
      <w:bookmarkStart w:id="285" w:name="_Toc16615"/>
      <w:r>
        <w:rPr>
          <w:rFonts w:hint="eastAsia" w:ascii="宋体" w:hAnsi="宋体" w:eastAsia="宋体" w:cs="宋体"/>
          <w:color w:val="auto"/>
          <w:sz w:val="21"/>
          <w:highlight w:val="none"/>
        </w:rPr>
        <w:t>拟投入的人员、设备；</w:t>
      </w:r>
      <w:bookmarkEnd w:id="285"/>
      <w:r>
        <w:rPr>
          <w:rFonts w:hint="eastAsia" w:ascii="宋体" w:hAnsi="宋体" w:eastAsia="宋体" w:cs="宋体"/>
          <w:color w:val="auto"/>
          <w:sz w:val="21"/>
          <w:highlight w:val="none"/>
        </w:rPr>
        <w:t xml:space="preserve"> </w:t>
      </w:r>
    </w:p>
    <w:p w14:paraId="2BFD1BAE">
      <w:pPr>
        <w:numPr>
          <w:ilvl w:val="0"/>
          <w:numId w:val="12"/>
        </w:numPr>
        <w:spacing w:after="0" w:line="378" w:lineRule="auto"/>
        <w:ind w:left="897" w:hanging="422"/>
        <w:outlineLvl w:val="0"/>
        <w:rPr>
          <w:rFonts w:hint="eastAsia" w:ascii="宋体" w:hAnsi="宋体" w:eastAsia="宋体" w:cs="宋体"/>
          <w:color w:val="auto"/>
          <w:highlight w:val="none"/>
        </w:rPr>
      </w:pPr>
      <w:bookmarkStart w:id="286" w:name="_Toc21064"/>
      <w:r>
        <w:rPr>
          <w:rFonts w:hint="eastAsia" w:ascii="宋体" w:hAnsi="宋体" w:eastAsia="宋体" w:cs="宋体"/>
          <w:color w:val="auto"/>
          <w:sz w:val="21"/>
          <w:highlight w:val="none"/>
        </w:rPr>
        <w:t>检测质量、进度、等保证措施；</w:t>
      </w:r>
      <w:bookmarkEnd w:id="286"/>
      <w:r>
        <w:rPr>
          <w:rFonts w:hint="eastAsia" w:ascii="宋体" w:hAnsi="宋体" w:eastAsia="宋体" w:cs="宋体"/>
          <w:color w:val="auto"/>
          <w:sz w:val="21"/>
          <w:highlight w:val="none"/>
        </w:rPr>
        <w:t xml:space="preserve">  </w:t>
      </w:r>
    </w:p>
    <w:p w14:paraId="276BE6D7">
      <w:pPr>
        <w:spacing w:after="0" w:line="378" w:lineRule="auto"/>
        <w:ind w:left="475"/>
        <w:outlineLvl w:val="0"/>
        <w:rPr>
          <w:rFonts w:hint="eastAsia" w:ascii="宋体" w:hAnsi="宋体" w:eastAsia="宋体" w:cs="宋体"/>
          <w:color w:val="auto"/>
          <w:highlight w:val="none"/>
        </w:rPr>
      </w:pPr>
      <w:bookmarkStart w:id="287" w:name="_Toc12070"/>
      <w:r>
        <w:rPr>
          <w:rFonts w:hint="eastAsia" w:ascii="宋体" w:hAnsi="宋体" w:eastAsia="宋体" w:cs="宋体"/>
          <w:color w:val="auto"/>
          <w:sz w:val="21"/>
          <w:highlight w:val="none"/>
        </w:rPr>
        <w:t>八、检测安全保证措施；</w:t>
      </w:r>
      <w:bookmarkEnd w:id="287"/>
      <w:r>
        <w:rPr>
          <w:rFonts w:hint="eastAsia" w:ascii="宋体" w:hAnsi="宋体" w:eastAsia="宋体" w:cs="宋体"/>
          <w:color w:val="auto"/>
          <w:sz w:val="21"/>
          <w:highlight w:val="none"/>
        </w:rPr>
        <w:t xml:space="preserve"> </w:t>
      </w:r>
    </w:p>
    <w:p w14:paraId="481289C0">
      <w:pPr>
        <w:numPr>
          <w:ilvl w:val="0"/>
          <w:numId w:val="13"/>
        </w:numPr>
        <w:spacing w:after="123" w:line="265" w:lineRule="auto"/>
        <w:ind w:left="897" w:hanging="422"/>
        <w:outlineLvl w:val="0"/>
        <w:rPr>
          <w:rFonts w:hint="eastAsia" w:ascii="宋体" w:hAnsi="宋体" w:eastAsia="宋体" w:cs="宋体"/>
          <w:color w:val="auto"/>
          <w:highlight w:val="none"/>
        </w:rPr>
      </w:pPr>
      <w:bookmarkStart w:id="288" w:name="_Toc30710"/>
      <w:r>
        <w:rPr>
          <w:rFonts w:hint="eastAsia" w:ascii="宋体" w:hAnsi="宋体" w:eastAsia="宋体" w:cs="宋体"/>
          <w:color w:val="auto"/>
          <w:sz w:val="21"/>
          <w:highlight w:val="none"/>
        </w:rPr>
        <w:t>检测工作重点、难点分析；</w:t>
      </w:r>
      <w:bookmarkEnd w:id="288"/>
      <w:r>
        <w:rPr>
          <w:rFonts w:hint="eastAsia" w:ascii="宋体" w:hAnsi="宋体" w:eastAsia="宋体" w:cs="宋体"/>
          <w:color w:val="auto"/>
          <w:sz w:val="21"/>
          <w:highlight w:val="none"/>
        </w:rPr>
        <w:t xml:space="preserve"> </w:t>
      </w:r>
    </w:p>
    <w:p w14:paraId="0F75FEFC">
      <w:pPr>
        <w:numPr>
          <w:ilvl w:val="0"/>
          <w:numId w:val="13"/>
        </w:numPr>
        <w:spacing w:after="100" w:line="265" w:lineRule="auto"/>
        <w:ind w:left="897" w:hanging="422"/>
        <w:outlineLvl w:val="0"/>
        <w:rPr>
          <w:rFonts w:hint="eastAsia" w:ascii="宋体" w:hAnsi="宋体" w:eastAsia="宋体" w:cs="宋体"/>
          <w:color w:val="auto"/>
          <w:highlight w:val="none"/>
        </w:rPr>
      </w:pPr>
      <w:bookmarkStart w:id="289" w:name="_Toc2039"/>
      <w:r>
        <w:rPr>
          <w:rFonts w:hint="eastAsia" w:ascii="宋体" w:hAnsi="宋体" w:eastAsia="宋体" w:cs="宋体"/>
          <w:color w:val="auto"/>
          <w:sz w:val="21"/>
          <w:highlight w:val="none"/>
        </w:rPr>
        <w:t>对本工程检测的合理化建议。</w:t>
      </w:r>
      <w:bookmarkEnd w:id="289"/>
      <w:r>
        <w:rPr>
          <w:rFonts w:hint="eastAsia" w:ascii="宋体" w:hAnsi="宋体" w:eastAsia="宋体" w:cs="宋体"/>
          <w:color w:val="auto"/>
          <w:sz w:val="21"/>
          <w:highlight w:val="none"/>
        </w:rPr>
        <w:t xml:space="preserve"> </w:t>
      </w:r>
    </w:p>
    <w:p w14:paraId="75E70B6F">
      <w:pPr>
        <w:pStyle w:val="3"/>
        <w:spacing w:after="0"/>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78802828">
      <w:pPr>
        <w:pStyle w:val="4"/>
        <w:spacing w:after="176"/>
        <w:ind w:right="0"/>
        <w:jc w:val="center"/>
        <w:rPr>
          <w:rFonts w:hint="eastAsia" w:ascii="宋体" w:hAnsi="宋体" w:eastAsia="宋体" w:cs="宋体"/>
          <w:color w:val="auto"/>
          <w:highlight w:val="none"/>
        </w:rPr>
      </w:pPr>
      <w:bookmarkStart w:id="290" w:name="_Toc526895076"/>
      <w:bookmarkStart w:id="291" w:name="_Toc16019"/>
      <w:r>
        <w:rPr>
          <w:rFonts w:hint="eastAsia" w:ascii="宋体" w:hAnsi="宋体" w:eastAsia="宋体" w:cs="宋体"/>
          <w:color w:val="auto"/>
          <w:sz w:val="32"/>
          <w:highlight w:val="none"/>
          <w:lang w:eastAsia="zh-CN"/>
        </w:rPr>
        <w:t>七</w:t>
      </w:r>
      <w:r>
        <w:rPr>
          <w:rFonts w:hint="eastAsia" w:ascii="宋体" w:hAnsi="宋体" w:eastAsia="宋体" w:cs="宋体"/>
          <w:color w:val="auto"/>
          <w:sz w:val="32"/>
          <w:highlight w:val="none"/>
        </w:rPr>
        <w:t>、其它资料</w:t>
      </w:r>
      <w:bookmarkEnd w:id="290"/>
      <w:bookmarkEnd w:id="291"/>
    </w:p>
    <w:p w14:paraId="761F3E78">
      <w:pPr>
        <w:spacing w:before="120" w:beforeLines="50" w:after="120" w:after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拟投入本项目的人员一览表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11"/>
        <w:gridCol w:w="484"/>
        <w:gridCol w:w="1325"/>
        <w:gridCol w:w="1301"/>
        <w:gridCol w:w="478"/>
        <w:gridCol w:w="954"/>
        <w:gridCol w:w="1074"/>
        <w:gridCol w:w="1189"/>
        <w:gridCol w:w="1192"/>
      </w:tblGrid>
      <w:tr w14:paraId="307A5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30" w:type="dxa"/>
            <w:tcBorders>
              <w:top w:val="single" w:color="auto" w:sz="12" w:space="0"/>
              <w:left w:val="single" w:color="auto" w:sz="12" w:space="0"/>
              <w:bottom w:val="single" w:color="auto" w:sz="12" w:space="0"/>
              <w:right w:val="single" w:color="auto" w:sz="4" w:space="0"/>
            </w:tcBorders>
            <w:noWrap w:val="0"/>
            <w:vAlign w:val="center"/>
          </w:tcPr>
          <w:p w14:paraId="3CFDC839">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序</w:t>
            </w:r>
          </w:p>
          <w:p w14:paraId="56061F22">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号</w:t>
            </w:r>
          </w:p>
        </w:tc>
        <w:tc>
          <w:tcPr>
            <w:tcW w:w="711" w:type="dxa"/>
            <w:tcBorders>
              <w:top w:val="single" w:color="auto" w:sz="12" w:space="0"/>
              <w:left w:val="single" w:color="auto" w:sz="4" w:space="0"/>
              <w:bottom w:val="single" w:color="auto" w:sz="12" w:space="0"/>
              <w:right w:val="single" w:color="auto" w:sz="6" w:space="0"/>
            </w:tcBorders>
            <w:noWrap w:val="0"/>
            <w:vAlign w:val="center"/>
          </w:tcPr>
          <w:p w14:paraId="1726AEA6">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姓名</w:t>
            </w:r>
          </w:p>
        </w:tc>
        <w:tc>
          <w:tcPr>
            <w:tcW w:w="484" w:type="dxa"/>
            <w:tcBorders>
              <w:top w:val="single" w:color="auto" w:sz="12" w:space="0"/>
              <w:left w:val="single" w:color="auto" w:sz="6" w:space="0"/>
              <w:bottom w:val="single" w:color="auto" w:sz="12" w:space="0"/>
              <w:right w:val="single" w:color="auto" w:sz="4" w:space="0"/>
            </w:tcBorders>
            <w:noWrap w:val="0"/>
            <w:vAlign w:val="center"/>
          </w:tcPr>
          <w:p w14:paraId="1CC2FCC1">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年龄</w:t>
            </w:r>
          </w:p>
        </w:tc>
        <w:tc>
          <w:tcPr>
            <w:tcW w:w="1325" w:type="dxa"/>
            <w:tcBorders>
              <w:top w:val="single" w:color="auto" w:sz="12" w:space="0"/>
              <w:left w:val="single" w:color="auto" w:sz="4" w:space="0"/>
              <w:bottom w:val="single" w:color="auto" w:sz="12" w:space="0"/>
              <w:right w:val="single" w:color="auto" w:sz="4" w:space="0"/>
            </w:tcBorders>
            <w:noWrap w:val="0"/>
            <w:vAlign w:val="center"/>
          </w:tcPr>
          <w:p w14:paraId="51DDC76A">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拟     在</w:t>
            </w:r>
          </w:p>
          <w:p w14:paraId="154C6AB6">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本项目任职</w:t>
            </w:r>
          </w:p>
        </w:tc>
        <w:tc>
          <w:tcPr>
            <w:tcW w:w="1301" w:type="dxa"/>
            <w:tcBorders>
              <w:top w:val="single" w:color="auto" w:sz="12" w:space="0"/>
              <w:left w:val="single" w:color="auto" w:sz="4" w:space="0"/>
              <w:bottom w:val="single" w:color="auto" w:sz="12" w:space="0"/>
              <w:right w:val="single" w:color="auto" w:sz="4" w:space="0"/>
            </w:tcBorders>
            <w:noWrap w:val="0"/>
            <w:vAlign w:val="center"/>
          </w:tcPr>
          <w:p w14:paraId="4FBC7804">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毕业学校/专业</w:t>
            </w:r>
          </w:p>
        </w:tc>
        <w:tc>
          <w:tcPr>
            <w:tcW w:w="478" w:type="dxa"/>
            <w:tcBorders>
              <w:top w:val="single" w:color="auto" w:sz="12" w:space="0"/>
              <w:left w:val="single" w:color="auto" w:sz="4" w:space="0"/>
              <w:bottom w:val="single" w:color="auto" w:sz="12" w:space="0"/>
              <w:right w:val="single" w:color="auto" w:sz="4" w:space="0"/>
            </w:tcBorders>
            <w:noWrap w:val="0"/>
            <w:vAlign w:val="center"/>
          </w:tcPr>
          <w:p w14:paraId="6787B1FB">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学历</w:t>
            </w:r>
          </w:p>
        </w:tc>
        <w:tc>
          <w:tcPr>
            <w:tcW w:w="954" w:type="dxa"/>
            <w:tcBorders>
              <w:top w:val="single" w:color="auto" w:sz="12" w:space="0"/>
              <w:left w:val="single" w:color="auto" w:sz="4" w:space="0"/>
              <w:bottom w:val="single" w:color="auto" w:sz="12" w:space="0"/>
              <w:right w:val="single" w:color="auto" w:sz="4" w:space="0"/>
            </w:tcBorders>
            <w:noWrap w:val="0"/>
            <w:vAlign w:val="center"/>
          </w:tcPr>
          <w:p w14:paraId="48906977">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职称</w:t>
            </w:r>
          </w:p>
        </w:tc>
        <w:tc>
          <w:tcPr>
            <w:tcW w:w="1074" w:type="dxa"/>
            <w:tcBorders>
              <w:top w:val="single" w:color="auto" w:sz="12" w:space="0"/>
              <w:left w:val="single" w:color="auto" w:sz="4" w:space="0"/>
              <w:bottom w:val="single" w:color="auto" w:sz="12" w:space="0"/>
              <w:right w:val="single" w:color="auto" w:sz="4" w:space="0"/>
            </w:tcBorders>
            <w:noWrap w:val="0"/>
            <w:vAlign w:val="center"/>
          </w:tcPr>
          <w:p w14:paraId="0C786F4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检测</w:t>
            </w:r>
          </w:p>
          <w:p w14:paraId="3978DDDF">
            <w:pPr>
              <w:jc w:val="center"/>
              <w:rPr>
                <w:rFonts w:hint="eastAsia" w:ascii="宋体" w:hAnsi="宋体" w:eastAsia="宋体" w:cs="宋体"/>
                <w:b/>
                <w:bCs/>
                <w:color w:val="auto"/>
                <w:position w:val="-30"/>
                <w:highlight w:val="none"/>
              </w:rPr>
            </w:pPr>
            <w:r>
              <w:rPr>
                <w:rFonts w:hint="eastAsia" w:ascii="宋体" w:hAnsi="宋体" w:eastAsia="宋体" w:cs="宋体"/>
                <w:b/>
                <w:bCs/>
                <w:color w:val="auto"/>
                <w:sz w:val="24"/>
                <w:highlight w:val="none"/>
                <w:lang w:bidi="ar"/>
              </w:rPr>
              <w:t>上岗证</w:t>
            </w:r>
          </w:p>
        </w:tc>
        <w:tc>
          <w:tcPr>
            <w:tcW w:w="1189" w:type="dxa"/>
            <w:tcBorders>
              <w:top w:val="single" w:color="auto" w:sz="12" w:space="0"/>
              <w:left w:val="single" w:color="auto" w:sz="4" w:space="0"/>
              <w:bottom w:val="single" w:color="auto" w:sz="12" w:space="0"/>
              <w:right w:val="single" w:color="auto" w:sz="4" w:space="0"/>
            </w:tcBorders>
            <w:noWrap w:val="0"/>
            <w:vAlign w:val="center"/>
          </w:tcPr>
          <w:p w14:paraId="7F049AB9">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从事检测</w:t>
            </w:r>
          </w:p>
          <w:p w14:paraId="0D828AEF">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工作年限</w:t>
            </w:r>
          </w:p>
        </w:tc>
        <w:tc>
          <w:tcPr>
            <w:tcW w:w="1192" w:type="dxa"/>
            <w:tcBorders>
              <w:top w:val="single" w:color="auto" w:sz="12" w:space="0"/>
              <w:left w:val="single" w:color="auto" w:sz="4" w:space="0"/>
              <w:bottom w:val="single" w:color="auto" w:sz="12" w:space="0"/>
              <w:right w:val="single" w:color="auto" w:sz="12" w:space="0"/>
            </w:tcBorders>
            <w:noWrap w:val="0"/>
            <w:vAlign w:val="center"/>
          </w:tcPr>
          <w:p w14:paraId="1301E484">
            <w:pPr>
              <w:jc w:val="center"/>
              <w:rPr>
                <w:rFonts w:hint="eastAsia" w:ascii="宋体" w:hAnsi="宋体" w:eastAsia="宋体" w:cs="宋体"/>
                <w:b/>
                <w:bCs/>
                <w:color w:val="auto"/>
                <w:position w:val="-30"/>
                <w:highlight w:val="none"/>
              </w:rPr>
            </w:pPr>
            <w:r>
              <w:rPr>
                <w:rFonts w:hint="eastAsia" w:ascii="宋体" w:hAnsi="宋体" w:eastAsia="宋体" w:cs="宋体"/>
                <w:b/>
                <w:bCs/>
                <w:color w:val="auto"/>
                <w:position w:val="-30"/>
                <w:highlight w:val="none"/>
                <w:lang w:bidi="ar"/>
              </w:rPr>
              <w:t>参   加</w:t>
            </w:r>
          </w:p>
          <w:p w14:paraId="2D89ACE2">
            <w:pPr>
              <w:jc w:val="center"/>
              <w:rPr>
                <w:rFonts w:hint="eastAsia" w:ascii="宋体" w:hAnsi="宋体" w:eastAsia="宋体" w:cs="宋体"/>
                <w:b/>
                <w:bCs/>
                <w:color w:val="auto"/>
                <w:highlight w:val="none"/>
              </w:rPr>
            </w:pPr>
            <w:r>
              <w:rPr>
                <w:rFonts w:hint="eastAsia" w:ascii="宋体" w:hAnsi="宋体" w:eastAsia="宋体" w:cs="宋体"/>
                <w:b/>
                <w:bCs/>
                <w:color w:val="auto"/>
                <w:position w:val="-30"/>
                <w:highlight w:val="none"/>
                <w:lang w:bidi="ar"/>
              </w:rPr>
              <w:t>工作时间</w:t>
            </w:r>
          </w:p>
        </w:tc>
      </w:tr>
      <w:tr w14:paraId="35384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0" w:type="dxa"/>
            <w:tcBorders>
              <w:top w:val="single" w:color="auto" w:sz="12" w:space="0"/>
              <w:left w:val="single" w:color="auto" w:sz="12" w:space="0"/>
              <w:bottom w:val="single" w:color="auto" w:sz="4" w:space="0"/>
              <w:right w:val="single" w:color="auto" w:sz="4" w:space="0"/>
            </w:tcBorders>
            <w:noWrap w:val="0"/>
            <w:vAlign w:val="center"/>
          </w:tcPr>
          <w:p w14:paraId="6E36ECD0">
            <w:pPr>
              <w:jc w:val="center"/>
              <w:rPr>
                <w:rFonts w:hint="eastAsia" w:ascii="宋体" w:hAnsi="宋体" w:eastAsia="宋体" w:cs="宋体"/>
                <w:color w:val="auto"/>
                <w:highlight w:val="none"/>
              </w:rPr>
            </w:pPr>
          </w:p>
        </w:tc>
        <w:tc>
          <w:tcPr>
            <w:tcW w:w="711" w:type="dxa"/>
            <w:tcBorders>
              <w:top w:val="single" w:color="auto" w:sz="12" w:space="0"/>
              <w:left w:val="single" w:color="auto" w:sz="4" w:space="0"/>
              <w:bottom w:val="single" w:color="auto" w:sz="4" w:space="0"/>
              <w:right w:val="single" w:color="auto" w:sz="6" w:space="0"/>
            </w:tcBorders>
            <w:noWrap w:val="0"/>
            <w:vAlign w:val="center"/>
          </w:tcPr>
          <w:p w14:paraId="31502302">
            <w:pPr>
              <w:jc w:val="center"/>
              <w:rPr>
                <w:rFonts w:hint="eastAsia" w:ascii="宋体" w:hAnsi="宋体" w:eastAsia="宋体" w:cs="宋体"/>
                <w:color w:val="auto"/>
                <w:highlight w:val="none"/>
              </w:rPr>
            </w:pPr>
          </w:p>
        </w:tc>
        <w:tc>
          <w:tcPr>
            <w:tcW w:w="484" w:type="dxa"/>
            <w:tcBorders>
              <w:top w:val="single" w:color="auto" w:sz="12" w:space="0"/>
              <w:left w:val="single" w:color="auto" w:sz="6" w:space="0"/>
              <w:bottom w:val="single" w:color="auto" w:sz="4" w:space="0"/>
              <w:right w:val="single" w:color="auto" w:sz="4" w:space="0"/>
            </w:tcBorders>
            <w:noWrap w:val="0"/>
            <w:vAlign w:val="center"/>
          </w:tcPr>
          <w:p w14:paraId="32077126">
            <w:pPr>
              <w:jc w:val="center"/>
              <w:rPr>
                <w:rFonts w:hint="eastAsia" w:ascii="宋体" w:hAnsi="宋体" w:eastAsia="宋体" w:cs="宋体"/>
                <w:color w:val="auto"/>
                <w:highlight w:val="none"/>
              </w:rPr>
            </w:pPr>
          </w:p>
        </w:tc>
        <w:tc>
          <w:tcPr>
            <w:tcW w:w="1325" w:type="dxa"/>
            <w:tcBorders>
              <w:top w:val="single" w:color="auto" w:sz="12" w:space="0"/>
              <w:left w:val="single" w:color="auto" w:sz="4" w:space="0"/>
              <w:bottom w:val="single" w:color="auto" w:sz="4" w:space="0"/>
              <w:right w:val="single" w:color="auto" w:sz="4" w:space="0"/>
            </w:tcBorders>
            <w:noWrap w:val="0"/>
            <w:vAlign w:val="center"/>
          </w:tcPr>
          <w:p w14:paraId="6C00C7BE">
            <w:pPr>
              <w:jc w:val="center"/>
              <w:rPr>
                <w:rFonts w:hint="eastAsia" w:ascii="宋体" w:hAnsi="宋体" w:eastAsia="宋体" w:cs="宋体"/>
                <w:color w:val="auto"/>
                <w:highlight w:val="none"/>
              </w:rPr>
            </w:pPr>
          </w:p>
        </w:tc>
        <w:tc>
          <w:tcPr>
            <w:tcW w:w="1301" w:type="dxa"/>
            <w:tcBorders>
              <w:top w:val="single" w:color="auto" w:sz="12" w:space="0"/>
              <w:left w:val="single" w:color="auto" w:sz="4" w:space="0"/>
              <w:bottom w:val="single" w:color="auto" w:sz="4" w:space="0"/>
              <w:right w:val="single" w:color="auto" w:sz="4" w:space="0"/>
            </w:tcBorders>
            <w:noWrap w:val="0"/>
            <w:vAlign w:val="center"/>
          </w:tcPr>
          <w:p w14:paraId="106BA94E">
            <w:pPr>
              <w:jc w:val="center"/>
              <w:rPr>
                <w:rFonts w:hint="eastAsia" w:ascii="宋体" w:hAnsi="宋体" w:eastAsia="宋体" w:cs="宋体"/>
                <w:color w:val="auto"/>
                <w:highlight w:val="none"/>
              </w:rPr>
            </w:pPr>
          </w:p>
        </w:tc>
        <w:tc>
          <w:tcPr>
            <w:tcW w:w="478" w:type="dxa"/>
            <w:tcBorders>
              <w:top w:val="single" w:color="auto" w:sz="12" w:space="0"/>
              <w:left w:val="single" w:color="auto" w:sz="4" w:space="0"/>
              <w:bottom w:val="single" w:color="auto" w:sz="4" w:space="0"/>
              <w:right w:val="single" w:color="auto" w:sz="4" w:space="0"/>
            </w:tcBorders>
            <w:noWrap w:val="0"/>
            <w:vAlign w:val="center"/>
          </w:tcPr>
          <w:p w14:paraId="57670FC0">
            <w:pPr>
              <w:jc w:val="center"/>
              <w:rPr>
                <w:rFonts w:hint="eastAsia" w:ascii="宋体" w:hAnsi="宋体" w:eastAsia="宋体" w:cs="宋体"/>
                <w:color w:val="auto"/>
                <w:highlight w:val="none"/>
              </w:rPr>
            </w:pPr>
          </w:p>
        </w:tc>
        <w:tc>
          <w:tcPr>
            <w:tcW w:w="954" w:type="dxa"/>
            <w:tcBorders>
              <w:top w:val="single" w:color="auto" w:sz="12" w:space="0"/>
              <w:left w:val="single" w:color="auto" w:sz="4" w:space="0"/>
              <w:bottom w:val="single" w:color="auto" w:sz="4" w:space="0"/>
              <w:right w:val="single" w:color="auto" w:sz="4" w:space="0"/>
            </w:tcBorders>
            <w:noWrap w:val="0"/>
            <w:vAlign w:val="center"/>
          </w:tcPr>
          <w:p w14:paraId="766E1587">
            <w:pPr>
              <w:jc w:val="center"/>
              <w:rPr>
                <w:rFonts w:hint="eastAsia" w:ascii="宋体" w:hAnsi="宋体" w:eastAsia="宋体" w:cs="宋体"/>
                <w:color w:val="auto"/>
                <w:highlight w:val="none"/>
              </w:rPr>
            </w:pPr>
          </w:p>
        </w:tc>
        <w:tc>
          <w:tcPr>
            <w:tcW w:w="1074" w:type="dxa"/>
            <w:tcBorders>
              <w:top w:val="single" w:color="auto" w:sz="12" w:space="0"/>
              <w:left w:val="single" w:color="auto" w:sz="4" w:space="0"/>
              <w:bottom w:val="single" w:color="auto" w:sz="4" w:space="0"/>
              <w:right w:val="single" w:color="auto" w:sz="4" w:space="0"/>
            </w:tcBorders>
            <w:noWrap w:val="0"/>
            <w:vAlign w:val="center"/>
          </w:tcPr>
          <w:p w14:paraId="7A09A6A3">
            <w:pPr>
              <w:jc w:val="center"/>
              <w:rPr>
                <w:rFonts w:hint="eastAsia" w:ascii="宋体" w:hAnsi="宋体" w:eastAsia="宋体" w:cs="宋体"/>
                <w:color w:val="auto"/>
                <w:highlight w:val="none"/>
              </w:rPr>
            </w:pPr>
          </w:p>
        </w:tc>
        <w:tc>
          <w:tcPr>
            <w:tcW w:w="1189" w:type="dxa"/>
            <w:tcBorders>
              <w:top w:val="single" w:color="auto" w:sz="12" w:space="0"/>
              <w:left w:val="single" w:color="auto" w:sz="4" w:space="0"/>
              <w:bottom w:val="single" w:color="auto" w:sz="4" w:space="0"/>
              <w:right w:val="single" w:color="auto" w:sz="4" w:space="0"/>
            </w:tcBorders>
            <w:noWrap w:val="0"/>
            <w:vAlign w:val="center"/>
          </w:tcPr>
          <w:p w14:paraId="028F305E">
            <w:pPr>
              <w:jc w:val="center"/>
              <w:rPr>
                <w:rFonts w:hint="eastAsia" w:ascii="宋体" w:hAnsi="宋体" w:eastAsia="宋体" w:cs="宋体"/>
                <w:color w:val="auto"/>
                <w:highlight w:val="none"/>
              </w:rPr>
            </w:pPr>
          </w:p>
        </w:tc>
        <w:tc>
          <w:tcPr>
            <w:tcW w:w="1192" w:type="dxa"/>
            <w:tcBorders>
              <w:top w:val="single" w:color="auto" w:sz="12" w:space="0"/>
              <w:left w:val="single" w:color="auto" w:sz="4" w:space="0"/>
              <w:bottom w:val="single" w:color="auto" w:sz="4" w:space="0"/>
              <w:right w:val="single" w:color="auto" w:sz="12" w:space="0"/>
            </w:tcBorders>
            <w:noWrap w:val="0"/>
            <w:vAlign w:val="center"/>
          </w:tcPr>
          <w:p w14:paraId="1451D12D">
            <w:pPr>
              <w:jc w:val="center"/>
              <w:rPr>
                <w:rFonts w:hint="eastAsia" w:ascii="宋体" w:hAnsi="宋体" w:eastAsia="宋体" w:cs="宋体"/>
                <w:color w:val="auto"/>
                <w:highlight w:val="none"/>
              </w:rPr>
            </w:pPr>
          </w:p>
        </w:tc>
      </w:tr>
      <w:tr w14:paraId="20289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0" w:type="dxa"/>
            <w:tcBorders>
              <w:top w:val="single" w:color="auto" w:sz="4" w:space="0"/>
              <w:left w:val="single" w:color="auto" w:sz="12" w:space="0"/>
              <w:bottom w:val="single" w:color="auto" w:sz="4" w:space="0"/>
              <w:right w:val="single" w:color="auto" w:sz="4" w:space="0"/>
            </w:tcBorders>
            <w:noWrap w:val="0"/>
            <w:vAlign w:val="center"/>
          </w:tcPr>
          <w:p w14:paraId="3EA9F1CD">
            <w:pPr>
              <w:jc w:val="center"/>
              <w:rPr>
                <w:rFonts w:hint="eastAsia" w:ascii="宋体" w:hAnsi="宋体" w:eastAsia="宋体" w:cs="宋体"/>
                <w:color w:val="auto"/>
                <w:highlight w:val="none"/>
              </w:rPr>
            </w:pPr>
          </w:p>
        </w:tc>
        <w:tc>
          <w:tcPr>
            <w:tcW w:w="711" w:type="dxa"/>
            <w:tcBorders>
              <w:top w:val="single" w:color="auto" w:sz="4" w:space="0"/>
              <w:left w:val="single" w:color="auto" w:sz="4" w:space="0"/>
              <w:bottom w:val="single" w:color="auto" w:sz="4" w:space="0"/>
              <w:right w:val="single" w:color="auto" w:sz="6" w:space="0"/>
            </w:tcBorders>
            <w:noWrap w:val="0"/>
            <w:vAlign w:val="center"/>
          </w:tcPr>
          <w:p w14:paraId="2C5E2551">
            <w:pPr>
              <w:jc w:val="center"/>
              <w:rPr>
                <w:rFonts w:hint="eastAsia" w:ascii="宋体" w:hAnsi="宋体" w:eastAsia="宋体" w:cs="宋体"/>
                <w:color w:val="auto"/>
                <w:highlight w:val="none"/>
              </w:rPr>
            </w:pPr>
          </w:p>
        </w:tc>
        <w:tc>
          <w:tcPr>
            <w:tcW w:w="484" w:type="dxa"/>
            <w:tcBorders>
              <w:top w:val="single" w:color="auto" w:sz="4" w:space="0"/>
              <w:left w:val="single" w:color="auto" w:sz="6" w:space="0"/>
              <w:bottom w:val="single" w:color="auto" w:sz="4" w:space="0"/>
              <w:right w:val="single" w:color="auto" w:sz="4" w:space="0"/>
            </w:tcBorders>
            <w:noWrap w:val="0"/>
            <w:vAlign w:val="center"/>
          </w:tcPr>
          <w:p w14:paraId="2B110C55">
            <w:pPr>
              <w:jc w:val="center"/>
              <w:rPr>
                <w:rFonts w:hint="eastAsia" w:ascii="宋体" w:hAnsi="宋体" w:eastAsia="宋体" w:cs="宋体"/>
                <w:color w:val="auto"/>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7B7B622">
            <w:pPr>
              <w:jc w:val="center"/>
              <w:rPr>
                <w:rFonts w:hint="eastAsia" w:ascii="宋体" w:hAnsi="宋体" w:eastAsia="宋体" w:cs="宋体"/>
                <w:color w:val="auto"/>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DBA68FE">
            <w:pPr>
              <w:jc w:val="center"/>
              <w:rPr>
                <w:rFonts w:hint="eastAsia" w:ascii="宋体" w:hAnsi="宋体" w:eastAsia="宋体" w:cs="宋体"/>
                <w:color w:val="auto"/>
                <w:highlight w:val="none"/>
              </w:rPr>
            </w:pPr>
          </w:p>
        </w:tc>
        <w:tc>
          <w:tcPr>
            <w:tcW w:w="478" w:type="dxa"/>
            <w:tcBorders>
              <w:top w:val="single" w:color="auto" w:sz="4" w:space="0"/>
              <w:left w:val="single" w:color="auto" w:sz="4" w:space="0"/>
              <w:bottom w:val="single" w:color="auto" w:sz="4" w:space="0"/>
              <w:right w:val="single" w:color="auto" w:sz="4" w:space="0"/>
            </w:tcBorders>
            <w:noWrap w:val="0"/>
            <w:vAlign w:val="center"/>
          </w:tcPr>
          <w:p w14:paraId="18C85312">
            <w:pPr>
              <w:jc w:val="center"/>
              <w:rPr>
                <w:rFonts w:hint="eastAsia" w:ascii="宋体" w:hAnsi="宋体" w:eastAsia="宋体" w:cs="宋体"/>
                <w:color w:val="auto"/>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D54D96B">
            <w:pPr>
              <w:jc w:val="center"/>
              <w:rPr>
                <w:rFonts w:hint="eastAsia" w:ascii="宋体" w:hAnsi="宋体" w:eastAsia="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A0C060C">
            <w:pPr>
              <w:jc w:val="cente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4333092">
            <w:pPr>
              <w:jc w:val="center"/>
              <w:rPr>
                <w:rFonts w:hint="eastAsia" w:ascii="宋体" w:hAnsi="宋体" w:eastAsia="宋体" w:cs="宋体"/>
                <w:color w:val="auto"/>
                <w:highlight w:val="none"/>
              </w:rPr>
            </w:pPr>
          </w:p>
        </w:tc>
        <w:tc>
          <w:tcPr>
            <w:tcW w:w="1192" w:type="dxa"/>
            <w:tcBorders>
              <w:top w:val="single" w:color="auto" w:sz="4" w:space="0"/>
              <w:left w:val="single" w:color="auto" w:sz="4" w:space="0"/>
              <w:bottom w:val="single" w:color="auto" w:sz="4" w:space="0"/>
              <w:right w:val="single" w:color="auto" w:sz="12" w:space="0"/>
            </w:tcBorders>
            <w:noWrap w:val="0"/>
            <w:vAlign w:val="center"/>
          </w:tcPr>
          <w:p w14:paraId="05E7701C">
            <w:pPr>
              <w:jc w:val="center"/>
              <w:rPr>
                <w:rFonts w:hint="eastAsia" w:ascii="宋体" w:hAnsi="宋体" w:eastAsia="宋体" w:cs="宋体"/>
                <w:color w:val="auto"/>
                <w:highlight w:val="none"/>
              </w:rPr>
            </w:pPr>
          </w:p>
        </w:tc>
      </w:tr>
      <w:tr w14:paraId="49943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0" w:type="dxa"/>
            <w:tcBorders>
              <w:top w:val="single" w:color="auto" w:sz="4" w:space="0"/>
              <w:left w:val="single" w:color="auto" w:sz="12" w:space="0"/>
              <w:bottom w:val="single" w:color="auto" w:sz="4" w:space="0"/>
              <w:right w:val="single" w:color="auto" w:sz="4" w:space="0"/>
            </w:tcBorders>
            <w:noWrap w:val="0"/>
            <w:vAlign w:val="center"/>
          </w:tcPr>
          <w:p w14:paraId="7F437C9E">
            <w:pPr>
              <w:jc w:val="center"/>
              <w:rPr>
                <w:rFonts w:hint="eastAsia" w:ascii="宋体" w:hAnsi="宋体" w:eastAsia="宋体" w:cs="宋体"/>
                <w:color w:val="auto"/>
                <w:highlight w:val="none"/>
              </w:rPr>
            </w:pPr>
          </w:p>
        </w:tc>
        <w:tc>
          <w:tcPr>
            <w:tcW w:w="711" w:type="dxa"/>
            <w:tcBorders>
              <w:top w:val="single" w:color="auto" w:sz="4" w:space="0"/>
              <w:left w:val="single" w:color="auto" w:sz="4" w:space="0"/>
              <w:bottom w:val="single" w:color="auto" w:sz="4" w:space="0"/>
              <w:right w:val="single" w:color="auto" w:sz="6" w:space="0"/>
            </w:tcBorders>
            <w:noWrap w:val="0"/>
            <w:vAlign w:val="center"/>
          </w:tcPr>
          <w:p w14:paraId="49366378">
            <w:pPr>
              <w:jc w:val="center"/>
              <w:rPr>
                <w:rFonts w:hint="eastAsia" w:ascii="宋体" w:hAnsi="宋体" w:eastAsia="宋体" w:cs="宋体"/>
                <w:color w:val="auto"/>
                <w:highlight w:val="none"/>
              </w:rPr>
            </w:pPr>
          </w:p>
        </w:tc>
        <w:tc>
          <w:tcPr>
            <w:tcW w:w="484" w:type="dxa"/>
            <w:tcBorders>
              <w:top w:val="single" w:color="auto" w:sz="4" w:space="0"/>
              <w:left w:val="single" w:color="auto" w:sz="6" w:space="0"/>
              <w:bottom w:val="single" w:color="auto" w:sz="4" w:space="0"/>
              <w:right w:val="single" w:color="auto" w:sz="4" w:space="0"/>
            </w:tcBorders>
            <w:noWrap w:val="0"/>
            <w:vAlign w:val="center"/>
          </w:tcPr>
          <w:p w14:paraId="6A1DFC27">
            <w:pPr>
              <w:jc w:val="center"/>
              <w:rPr>
                <w:rFonts w:hint="eastAsia" w:ascii="宋体" w:hAnsi="宋体" w:eastAsia="宋体" w:cs="宋体"/>
                <w:color w:val="auto"/>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5D9CCEE">
            <w:pPr>
              <w:jc w:val="center"/>
              <w:rPr>
                <w:rFonts w:hint="eastAsia" w:ascii="宋体" w:hAnsi="宋体" w:eastAsia="宋体" w:cs="宋体"/>
                <w:color w:val="auto"/>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46A5CF8D">
            <w:pPr>
              <w:jc w:val="center"/>
              <w:rPr>
                <w:rFonts w:hint="eastAsia" w:ascii="宋体" w:hAnsi="宋体" w:eastAsia="宋体" w:cs="宋体"/>
                <w:color w:val="auto"/>
                <w:highlight w:val="none"/>
              </w:rPr>
            </w:pPr>
          </w:p>
        </w:tc>
        <w:tc>
          <w:tcPr>
            <w:tcW w:w="478" w:type="dxa"/>
            <w:tcBorders>
              <w:top w:val="single" w:color="auto" w:sz="4" w:space="0"/>
              <w:left w:val="single" w:color="auto" w:sz="4" w:space="0"/>
              <w:bottom w:val="single" w:color="auto" w:sz="4" w:space="0"/>
              <w:right w:val="single" w:color="auto" w:sz="4" w:space="0"/>
            </w:tcBorders>
            <w:noWrap w:val="0"/>
            <w:vAlign w:val="center"/>
          </w:tcPr>
          <w:p w14:paraId="329BADC5">
            <w:pPr>
              <w:jc w:val="center"/>
              <w:rPr>
                <w:rFonts w:hint="eastAsia" w:ascii="宋体" w:hAnsi="宋体" w:eastAsia="宋体" w:cs="宋体"/>
                <w:color w:val="auto"/>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59E4A9A">
            <w:pPr>
              <w:jc w:val="center"/>
              <w:rPr>
                <w:rFonts w:hint="eastAsia" w:ascii="宋体" w:hAnsi="宋体" w:eastAsia="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2E364B8">
            <w:pPr>
              <w:jc w:val="cente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B4801DB">
            <w:pPr>
              <w:jc w:val="center"/>
              <w:rPr>
                <w:rFonts w:hint="eastAsia" w:ascii="宋体" w:hAnsi="宋体" w:eastAsia="宋体" w:cs="宋体"/>
                <w:color w:val="auto"/>
                <w:highlight w:val="none"/>
              </w:rPr>
            </w:pPr>
          </w:p>
        </w:tc>
        <w:tc>
          <w:tcPr>
            <w:tcW w:w="1192" w:type="dxa"/>
            <w:tcBorders>
              <w:top w:val="single" w:color="auto" w:sz="4" w:space="0"/>
              <w:left w:val="single" w:color="auto" w:sz="4" w:space="0"/>
              <w:bottom w:val="single" w:color="auto" w:sz="4" w:space="0"/>
              <w:right w:val="single" w:color="auto" w:sz="12" w:space="0"/>
            </w:tcBorders>
            <w:noWrap w:val="0"/>
            <w:vAlign w:val="center"/>
          </w:tcPr>
          <w:p w14:paraId="0C719245">
            <w:pPr>
              <w:jc w:val="center"/>
              <w:rPr>
                <w:rFonts w:hint="eastAsia" w:ascii="宋体" w:hAnsi="宋体" w:eastAsia="宋体" w:cs="宋体"/>
                <w:color w:val="auto"/>
                <w:highlight w:val="none"/>
              </w:rPr>
            </w:pPr>
          </w:p>
        </w:tc>
      </w:tr>
      <w:tr w14:paraId="3965D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0" w:type="dxa"/>
            <w:tcBorders>
              <w:top w:val="single" w:color="auto" w:sz="4" w:space="0"/>
              <w:left w:val="single" w:color="auto" w:sz="12" w:space="0"/>
              <w:bottom w:val="single" w:color="auto" w:sz="4" w:space="0"/>
              <w:right w:val="single" w:color="auto" w:sz="4" w:space="0"/>
            </w:tcBorders>
            <w:noWrap w:val="0"/>
            <w:vAlign w:val="center"/>
          </w:tcPr>
          <w:p w14:paraId="0FFE5E35">
            <w:pPr>
              <w:jc w:val="center"/>
              <w:rPr>
                <w:rFonts w:hint="eastAsia" w:ascii="宋体" w:hAnsi="宋体" w:eastAsia="宋体" w:cs="宋体"/>
                <w:color w:val="auto"/>
                <w:highlight w:val="none"/>
              </w:rPr>
            </w:pPr>
          </w:p>
        </w:tc>
        <w:tc>
          <w:tcPr>
            <w:tcW w:w="711" w:type="dxa"/>
            <w:tcBorders>
              <w:top w:val="single" w:color="auto" w:sz="4" w:space="0"/>
              <w:left w:val="single" w:color="auto" w:sz="4" w:space="0"/>
              <w:bottom w:val="single" w:color="auto" w:sz="4" w:space="0"/>
              <w:right w:val="single" w:color="auto" w:sz="6" w:space="0"/>
            </w:tcBorders>
            <w:noWrap w:val="0"/>
            <w:vAlign w:val="center"/>
          </w:tcPr>
          <w:p w14:paraId="3E8AC990">
            <w:pPr>
              <w:jc w:val="center"/>
              <w:rPr>
                <w:rFonts w:hint="eastAsia" w:ascii="宋体" w:hAnsi="宋体" w:eastAsia="宋体" w:cs="宋体"/>
                <w:color w:val="auto"/>
                <w:highlight w:val="none"/>
              </w:rPr>
            </w:pPr>
          </w:p>
        </w:tc>
        <w:tc>
          <w:tcPr>
            <w:tcW w:w="484" w:type="dxa"/>
            <w:tcBorders>
              <w:top w:val="single" w:color="auto" w:sz="4" w:space="0"/>
              <w:left w:val="single" w:color="auto" w:sz="6" w:space="0"/>
              <w:bottom w:val="single" w:color="auto" w:sz="4" w:space="0"/>
              <w:right w:val="single" w:color="auto" w:sz="4" w:space="0"/>
            </w:tcBorders>
            <w:noWrap w:val="0"/>
            <w:vAlign w:val="center"/>
          </w:tcPr>
          <w:p w14:paraId="3E335E5F">
            <w:pPr>
              <w:jc w:val="center"/>
              <w:rPr>
                <w:rFonts w:hint="eastAsia" w:ascii="宋体" w:hAnsi="宋体" w:eastAsia="宋体" w:cs="宋体"/>
                <w:color w:val="auto"/>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7B709852">
            <w:pPr>
              <w:jc w:val="center"/>
              <w:rPr>
                <w:rFonts w:hint="eastAsia" w:ascii="宋体" w:hAnsi="宋体" w:eastAsia="宋体" w:cs="宋体"/>
                <w:color w:val="auto"/>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55F3F715">
            <w:pPr>
              <w:jc w:val="center"/>
              <w:rPr>
                <w:rFonts w:hint="eastAsia" w:ascii="宋体" w:hAnsi="宋体" w:eastAsia="宋体" w:cs="宋体"/>
                <w:color w:val="auto"/>
                <w:highlight w:val="none"/>
              </w:rPr>
            </w:pPr>
          </w:p>
        </w:tc>
        <w:tc>
          <w:tcPr>
            <w:tcW w:w="478" w:type="dxa"/>
            <w:tcBorders>
              <w:top w:val="single" w:color="auto" w:sz="4" w:space="0"/>
              <w:left w:val="single" w:color="auto" w:sz="4" w:space="0"/>
              <w:bottom w:val="single" w:color="auto" w:sz="4" w:space="0"/>
              <w:right w:val="single" w:color="auto" w:sz="4" w:space="0"/>
            </w:tcBorders>
            <w:noWrap w:val="0"/>
            <w:vAlign w:val="center"/>
          </w:tcPr>
          <w:p w14:paraId="617CDA40">
            <w:pPr>
              <w:jc w:val="center"/>
              <w:rPr>
                <w:rFonts w:hint="eastAsia" w:ascii="宋体" w:hAnsi="宋体" w:eastAsia="宋体" w:cs="宋体"/>
                <w:color w:val="auto"/>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1A6011C">
            <w:pPr>
              <w:jc w:val="center"/>
              <w:rPr>
                <w:rFonts w:hint="eastAsia" w:ascii="宋体" w:hAnsi="宋体" w:eastAsia="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C6D36F8">
            <w:pPr>
              <w:jc w:val="cente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39DD5F9">
            <w:pPr>
              <w:jc w:val="center"/>
              <w:rPr>
                <w:rFonts w:hint="eastAsia" w:ascii="宋体" w:hAnsi="宋体" w:eastAsia="宋体" w:cs="宋体"/>
                <w:color w:val="auto"/>
                <w:highlight w:val="none"/>
              </w:rPr>
            </w:pPr>
          </w:p>
        </w:tc>
        <w:tc>
          <w:tcPr>
            <w:tcW w:w="1192" w:type="dxa"/>
            <w:tcBorders>
              <w:top w:val="single" w:color="auto" w:sz="4" w:space="0"/>
              <w:left w:val="single" w:color="auto" w:sz="4" w:space="0"/>
              <w:bottom w:val="single" w:color="auto" w:sz="4" w:space="0"/>
              <w:right w:val="single" w:color="auto" w:sz="12" w:space="0"/>
            </w:tcBorders>
            <w:noWrap w:val="0"/>
            <w:vAlign w:val="center"/>
          </w:tcPr>
          <w:p w14:paraId="203057BB">
            <w:pPr>
              <w:jc w:val="center"/>
              <w:rPr>
                <w:rFonts w:hint="eastAsia" w:ascii="宋体" w:hAnsi="宋体" w:eastAsia="宋体" w:cs="宋体"/>
                <w:color w:val="auto"/>
                <w:highlight w:val="none"/>
              </w:rPr>
            </w:pPr>
          </w:p>
        </w:tc>
      </w:tr>
      <w:tr w14:paraId="76358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0" w:type="dxa"/>
            <w:tcBorders>
              <w:top w:val="single" w:color="auto" w:sz="4" w:space="0"/>
              <w:left w:val="single" w:color="auto" w:sz="12" w:space="0"/>
              <w:bottom w:val="single" w:color="auto" w:sz="4" w:space="0"/>
              <w:right w:val="single" w:color="auto" w:sz="4" w:space="0"/>
            </w:tcBorders>
            <w:noWrap w:val="0"/>
            <w:vAlign w:val="center"/>
          </w:tcPr>
          <w:p w14:paraId="3637EEFF">
            <w:pPr>
              <w:jc w:val="center"/>
              <w:rPr>
                <w:rFonts w:hint="eastAsia" w:ascii="宋体" w:hAnsi="宋体" w:eastAsia="宋体" w:cs="宋体"/>
                <w:color w:val="auto"/>
                <w:highlight w:val="none"/>
              </w:rPr>
            </w:pPr>
          </w:p>
        </w:tc>
        <w:tc>
          <w:tcPr>
            <w:tcW w:w="711" w:type="dxa"/>
            <w:tcBorders>
              <w:top w:val="single" w:color="auto" w:sz="4" w:space="0"/>
              <w:left w:val="single" w:color="auto" w:sz="4" w:space="0"/>
              <w:bottom w:val="single" w:color="auto" w:sz="4" w:space="0"/>
              <w:right w:val="single" w:color="auto" w:sz="6" w:space="0"/>
            </w:tcBorders>
            <w:noWrap w:val="0"/>
            <w:vAlign w:val="center"/>
          </w:tcPr>
          <w:p w14:paraId="1DE7738F">
            <w:pPr>
              <w:jc w:val="center"/>
              <w:rPr>
                <w:rFonts w:hint="eastAsia" w:ascii="宋体" w:hAnsi="宋体" w:eastAsia="宋体" w:cs="宋体"/>
                <w:color w:val="auto"/>
                <w:highlight w:val="none"/>
              </w:rPr>
            </w:pPr>
          </w:p>
        </w:tc>
        <w:tc>
          <w:tcPr>
            <w:tcW w:w="484" w:type="dxa"/>
            <w:tcBorders>
              <w:top w:val="single" w:color="auto" w:sz="4" w:space="0"/>
              <w:left w:val="single" w:color="auto" w:sz="6" w:space="0"/>
              <w:bottom w:val="single" w:color="auto" w:sz="4" w:space="0"/>
              <w:right w:val="single" w:color="auto" w:sz="4" w:space="0"/>
            </w:tcBorders>
            <w:noWrap w:val="0"/>
            <w:vAlign w:val="center"/>
          </w:tcPr>
          <w:p w14:paraId="501D5BA6">
            <w:pPr>
              <w:jc w:val="center"/>
              <w:rPr>
                <w:rFonts w:hint="eastAsia" w:ascii="宋体" w:hAnsi="宋体" w:eastAsia="宋体" w:cs="宋体"/>
                <w:color w:val="auto"/>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65532BCA">
            <w:pPr>
              <w:jc w:val="center"/>
              <w:rPr>
                <w:rFonts w:hint="eastAsia" w:ascii="宋体" w:hAnsi="宋体" w:eastAsia="宋体" w:cs="宋体"/>
                <w:color w:val="auto"/>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57A4EBB0">
            <w:pPr>
              <w:jc w:val="center"/>
              <w:rPr>
                <w:rFonts w:hint="eastAsia" w:ascii="宋体" w:hAnsi="宋体" w:eastAsia="宋体" w:cs="宋体"/>
                <w:color w:val="auto"/>
                <w:highlight w:val="none"/>
              </w:rPr>
            </w:pPr>
          </w:p>
        </w:tc>
        <w:tc>
          <w:tcPr>
            <w:tcW w:w="478" w:type="dxa"/>
            <w:tcBorders>
              <w:top w:val="single" w:color="auto" w:sz="4" w:space="0"/>
              <w:left w:val="single" w:color="auto" w:sz="4" w:space="0"/>
              <w:bottom w:val="single" w:color="auto" w:sz="4" w:space="0"/>
              <w:right w:val="single" w:color="auto" w:sz="4" w:space="0"/>
            </w:tcBorders>
            <w:noWrap w:val="0"/>
            <w:vAlign w:val="center"/>
          </w:tcPr>
          <w:p w14:paraId="428E60B4">
            <w:pPr>
              <w:jc w:val="center"/>
              <w:rPr>
                <w:rFonts w:hint="eastAsia" w:ascii="宋体" w:hAnsi="宋体" w:eastAsia="宋体" w:cs="宋体"/>
                <w:color w:val="auto"/>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18AC9EF6">
            <w:pPr>
              <w:jc w:val="center"/>
              <w:rPr>
                <w:rFonts w:hint="eastAsia" w:ascii="宋体" w:hAnsi="宋体" w:eastAsia="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9ADF00D">
            <w:pPr>
              <w:jc w:val="cente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56523FB">
            <w:pPr>
              <w:jc w:val="center"/>
              <w:rPr>
                <w:rFonts w:hint="eastAsia" w:ascii="宋体" w:hAnsi="宋体" w:eastAsia="宋体" w:cs="宋体"/>
                <w:color w:val="auto"/>
                <w:highlight w:val="none"/>
              </w:rPr>
            </w:pPr>
          </w:p>
        </w:tc>
        <w:tc>
          <w:tcPr>
            <w:tcW w:w="1192" w:type="dxa"/>
            <w:tcBorders>
              <w:top w:val="single" w:color="auto" w:sz="4" w:space="0"/>
              <w:left w:val="single" w:color="auto" w:sz="4" w:space="0"/>
              <w:bottom w:val="single" w:color="auto" w:sz="4" w:space="0"/>
              <w:right w:val="single" w:color="auto" w:sz="12" w:space="0"/>
            </w:tcBorders>
            <w:noWrap w:val="0"/>
            <w:vAlign w:val="center"/>
          </w:tcPr>
          <w:p w14:paraId="1320129D">
            <w:pPr>
              <w:jc w:val="center"/>
              <w:rPr>
                <w:rFonts w:hint="eastAsia" w:ascii="宋体" w:hAnsi="宋体" w:eastAsia="宋体" w:cs="宋体"/>
                <w:color w:val="auto"/>
                <w:highlight w:val="none"/>
              </w:rPr>
            </w:pPr>
          </w:p>
        </w:tc>
      </w:tr>
      <w:tr w14:paraId="02676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0" w:type="dxa"/>
            <w:tcBorders>
              <w:top w:val="single" w:color="auto" w:sz="4" w:space="0"/>
              <w:left w:val="single" w:color="auto" w:sz="12" w:space="0"/>
              <w:bottom w:val="single" w:color="auto" w:sz="12" w:space="0"/>
              <w:right w:val="single" w:color="auto" w:sz="4" w:space="0"/>
            </w:tcBorders>
            <w:noWrap w:val="0"/>
            <w:vAlign w:val="center"/>
          </w:tcPr>
          <w:p w14:paraId="4FD31893">
            <w:pPr>
              <w:jc w:val="center"/>
              <w:rPr>
                <w:rFonts w:hint="eastAsia" w:ascii="宋体" w:hAnsi="宋体" w:eastAsia="宋体" w:cs="宋体"/>
                <w:color w:val="auto"/>
                <w:highlight w:val="none"/>
              </w:rPr>
            </w:pPr>
          </w:p>
        </w:tc>
        <w:tc>
          <w:tcPr>
            <w:tcW w:w="711" w:type="dxa"/>
            <w:tcBorders>
              <w:top w:val="single" w:color="auto" w:sz="4" w:space="0"/>
              <w:left w:val="single" w:color="auto" w:sz="4" w:space="0"/>
              <w:bottom w:val="single" w:color="auto" w:sz="12" w:space="0"/>
              <w:right w:val="single" w:color="auto" w:sz="6" w:space="0"/>
            </w:tcBorders>
            <w:noWrap w:val="0"/>
            <w:vAlign w:val="center"/>
          </w:tcPr>
          <w:p w14:paraId="3329CBEF">
            <w:pPr>
              <w:jc w:val="center"/>
              <w:rPr>
                <w:rFonts w:hint="eastAsia" w:ascii="宋体" w:hAnsi="宋体" w:eastAsia="宋体" w:cs="宋体"/>
                <w:color w:val="auto"/>
                <w:highlight w:val="none"/>
              </w:rPr>
            </w:pPr>
          </w:p>
        </w:tc>
        <w:tc>
          <w:tcPr>
            <w:tcW w:w="484" w:type="dxa"/>
            <w:tcBorders>
              <w:top w:val="single" w:color="auto" w:sz="4" w:space="0"/>
              <w:left w:val="single" w:color="auto" w:sz="6" w:space="0"/>
              <w:bottom w:val="single" w:color="auto" w:sz="12" w:space="0"/>
              <w:right w:val="single" w:color="auto" w:sz="4" w:space="0"/>
            </w:tcBorders>
            <w:noWrap w:val="0"/>
            <w:vAlign w:val="center"/>
          </w:tcPr>
          <w:p w14:paraId="41E6C133">
            <w:pPr>
              <w:jc w:val="center"/>
              <w:rPr>
                <w:rFonts w:hint="eastAsia" w:ascii="宋体" w:hAnsi="宋体" w:eastAsia="宋体" w:cs="宋体"/>
                <w:color w:val="auto"/>
                <w:highlight w:val="none"/>
              </w:rPr>
            </w:pPr>
          </w:p>
        </w:tc>
        <w:tc>
          <w:tcPr>
            <w:tcW w:w="1325" w:type="dxa"/>
            <w:tcBorders>
              <w:top w:val="single" w:color="auto" w:sz="4" w:space="0"/>
              <w:left w:val="single" w:color="auto" w:sz="4" w:space="0"/>
              <w:bottom w:val="single" w:color="auto" w:sz="12" w:space="0"/>
              <w:right w:val="single" w:color="auto" w:sz="4" w:space="0"/>
            </w:tcBorders>
            <w:noWrap w:val="0"/>
            <w:vAlign w:val="center"/>
          </w:tcPr>
          <w:p w14:paraId="6EF57841">
            <w:pPr>
              <w:jc w:val="center"/>
              <w:rPr>
                <w:rFonts w:hint="eastAsia" w:ascii="宋体" w:hAnsi="宋体" w:eastAsia="宋体" w:cs="宋体"/>
                <w:color w:val="auto"/>
                <w:highlight w:val="none"/>
              </w:rPr>
            </w:pPr>
          </w:p>
        </w:tc>
        <w:tc>
          <w:tcPr>
            <w:tcW w:w="1301" w:type="dxa"/>
            <w:tcBorders>
              <w:top w:val="single" w:color="auto" w:sz="4" w:space="0"/>
              <w:left w:val="single" w:color="auto" w:sz="4" w:space="0"/>
              <w:bottom w:val="single" w:color="auto" w:sz="12" w:space="0"/>
              <w:right w:val="single" w:color="auto" w:sz="4" w:space="0"/>
            </w:tcBorders>
            <w:noWrap w:val="0"/>
            <w:vAlign w:val="center"/>
          </w:tcPr>
          <w:p w14:paraId="3B037393">
            <w:pPr>
              <w:jc w:val="center"/>
              <w:rPr>
                <w:rFonts w:hint="eastAsia" w:ascii="宋体" w:hAnsi="宋体" w:eastAsia="宋体" w:cs="宋体"/>
                <w:color w:val="auto"/>
                <w:highlight w:val="none"/>
              </w:rPr>
            </w:pPr>
          </w:p>
        </w:tc>
        <w:tc>
          <w:tcPr>
            <w:tcW w:w="478" w:type="dxa"/>
            <w:tcBorders>
              <w:top w:val="single" w:color="auto" w:sz="4" w:space="0"/>
              <w:left w:val="single" w:color="auto" w:sz="4" w:space="0"/>
              <w:bottom w:val="single" w:color="auto" w:sz="12" w:space="0"/>
              <w:right w:val="single" w:color="auto" w:sz="4" w:space="0"/>
            </w:tcBorders>
            <w:noWrap w:val="0"/>
            <w:vAlign w:val="center"/>
          </w:tcPr>
          <w:p w14:paraId="01E79E19">
            <w:pPr>
              <w:jc w:val="center"/>
              <w:rPr>
                <w:rFonts w:hint="eastAsia" w:ascii="宋体" w:hAnsi="宋体" w:eastAsia="宋体" w:cs="宋体"/>
                <w:color w:val="auto"/>
                <w:highlight w:val="none"/>
              </w:rPr>
            </w:pPr>
          </w:p>
        </w:tc>
        <w:tc>
          <w:tcPr>
            <w:tcW w:w="954" w:type="dxa"/>
            <w:tcBorders>
              <w:top w:val="single" w:color="auto" w:sz="4" w:space="0"/>
              <w:left w:val="single" w:color="auto" w:sz="4" w:space="0"/>
              <w:bottom w:val="single" w:color="auto" w:sz="12" w:space="0"/>
              <w:right w:val="single" w:color="auto" w:sz="4" w:space="0"/>
            </w:tcBorders>
            <w:noWrap w:val="0"/>
            <w:vAlign w:val="center"/>
          </w:tcPr>
          <w:p w14:paraId="462BCF20">
            <w:pPr>
              <w:jc w:val="center"/>
              <w:rPr>
                <w:rFonts w:hint="eastAsia" w:ascii="宋体" w:hAnsi="宋体" w:eastAsia="宋体" w:cs="宋体"/>
                <w:color w:val="auto"/>
                <w:highlight w:val="none"/>
              </w:rPr>
            </w:pPr>
          </w:p>
        </w:tc>
        <w:tc>
          <w:tcPr>
            <w:tcW w:w="1074" w:type="dxa"/>
            <w:tcBorders>
              <w:top w:val="single" w:color="auto" w:sz="4" w:space="0"/>
              <w:left w:val="single" w:color="auto" w:sz="4" w:space="0"/>
              <w:bottom w:val="single" w:color="auto" w:sz="12" w:space="0"/>
              <w:right w:val="single" w:color="auto" w:sz="4" w:space="0"/>
            </w:tcBorders>
            <w:noWrap w:val="0"/>
            <w:vAlign w:val="center"/>
          </w:tcPr>
          <w:p w14:paraId="79E85CB0">
            <w:pPr>
              <w:jc w:val="cente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12" w:space="0"/>
              <w:right w:val="single" w:color="auto" w:sz="4" w:space="0"/>
            </w:tcBorders>
            <w:noWrap w:val="0"/>
            <w:vAlign w:val="center"/>
          </w:tcPr>
          <w:p w14:paraId="517ECC00">
            <w:pPr>
              <w:jc w:val="center"/>
              <w:rPr>
                <w:rFonts w:hint="eastAsia" w:ascii="宋体" w:hAnsi="宋体" w:eastAsia="宋体" w:cs="宋体"/>
                <w:color w:val="auto"/>
                <w:highlight w:val="none"/>
              </w:rPr>
            </w:pPr>
          </w:p>
        </w:tc>
        <w:tc>
          <w:tcPr>
            <w:tcW w:w="1192" w:type="dxa"/>
            <w:tcBorders>
              <w:top w:val="single" w:color="auto" w:sz="4" w:space="0"/>
              <w:left w:val="single" w:color="auto" w:sz="4" w:space="0"/>
              <w:bottom w:val="single" w:color="auto" w:sz="12" w:space="0"/>
              <w:right w:val="single" w:color="auto" w:sz="12" w:space="0"/>
            </w:tcBorders>
            <w:noWrap w:val="0"/>
            <w:vAlign w:val="center"/>
          </w:tcPr>
          <w:p w14:paraId="489177F8">
            <w:pPr>
              <w:jc w:val="center"/>
              <w:rPr>
                <w:rFonts w:hint="eastAsia" w:ascii="宋体" w:hAnsi="宋体" w:eastAsia="宋体" w:cs="宋体"/>
                <w:color w:val="auto"/>
                <w:highlight w:val="none"/>
              </w:rPr>
            </w:pPr>
          </w:p>
        </w:tc>
      </w:tr>
    </w:tbl>
    <w:p w14:paraId="4829C00B">
      <w:pPr>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注：拟投入本项目所有人员须按评分表要求提供相关证书扫描件，以及近1个月的</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202</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社保证明原件扫描件，并加盖公章。其中缴纳社保单位需与投标单位名称必须一致，否则不计分。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p w14:paraId="021EA8E2">
      <w:pPr>
        <w:spacing w:after="0" w:line="400" w:lineRule="exact"/>
        <w:rPr>
          <w:rFonts w:hint="eastAsia" w:ascii="宋体" w:hAnsi="宋体" w:eastAsia="宋体"/>
          <w:color w:val="auto"/>
          <w:sz w:val="24"/>
          <w:highlight w:val="none"/>
        </w:rPr>
      </w:pPr>
    </w:p>
    <w:p w14:paraId="1D816B06">
      <w:pPr>
        <w:spacing w:line="360" w:lineRule="auto"/>
        <w:ind w:firstLine="525" w:firstLineChars="25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投标人：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（盖公章）</w:t>
      </w:r>
    </w:p>
    <w:p w14:paraId="0EB827F8">
      <w:pPr>
        <w:spacing w:line="360" w:lineRule="auto"/>
        <w:ind w:firstLine="525" w:firstLineChars="25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法定代表人或其授权代理人：（签字或盖章）</w:t>
      </w:r>
      <w:r>
        <w:rPr>
          <w:rFonts w:hint="eastAsia" w:ascii="宋体" w:hAnsi="宋体" w:eastAsia="宋体"/>
          <w:color w:val="auto"/>
          <w:sz w:val="21"/>
          <w:szCs w:val="21"/>
          <w:highlight w:val="none"/>
          <w:u w:val="single"/>
        </w:rPr>
        <w:t xml:space="preserve">              </w:t>
      </w:r>
    </w:p>
    <w:p w14:paraId="599A759F">
      <w:pPr>
        <w:spacing w:after="0"/>
        <w:ind w:firstLine="525" w:firstLineChars="250"/>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日   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p>
    <w:p w14:paraId="4413D7AB">
      <w:pPr>
        <w:spacing w:after="0"/>
        <w:rPr>
          <w:rFonts w:hint="eastAsia" w:ascii="宋体" w:hAnsi="宋体" w:eastAsia="宋体" w:cs="宋体"/>
          <w:color w:val="auto"/>
          <w:sz w:val="21"/>
          <w:highlight w:val="none"/>
        </w:rPr>
      </w:pPr>
    </w:p>
    <w:p w14:paraId="748AB9A9">
      <w:pPr>
        <w:spacing w:after="0"/>
        <w:rPr>
          <w:rFonts w:hint="eastAsia" w:ascii="宋体" w:hAnsi="宋体" w:eastAsia="宋体" w:cs="宋体"/>
          <w:color w:val="auto"/>
          <w:sz w:val="21"/>
          <w:highlight w:val="none"/>
        </w:rPr>
      </w:pPr>
    </w:p>
    <w:p w14:paraId="0C7E8103">
      <w:pPr>
        <w:spacing w:after="0"/>
        <w:rPr>
          <w:rFonts w:hint="eastAsia" w:ascii="宋体" w:hAnsi="宋体" w:eastAsia="宋体" w:cs="宋体"/>
          <w:color w:val="auto"/>
          <w:sz w:val="21"/>
          <w:highlight w:val="none"/>
        </w:rPr>
      </w:pPr>
    </w:p>
    <w:p w14:paraId="55DAFC91">
      <w:pPr>
        <w:pStyle w:val="2"/>
        <w:rPr>
          <w:rFonts w:hint="eastAsia" w:hAnsi="宋体" w:eastAsia="宋体"/>
          <w:color w:val="auto"/>
          <w:highlight w:val="none"/>
        </w:rPr>
      </w:pPr>
    </w:p>
    <w:p w14:paraId="2972BC0D">
      <w:pPr>
        <w:spacing w:after="0"/>
        <w:rPr>
          <w:rFonts w:hint="eastAsia" w:ascii="宋体" w:hAnsi="宋体" w:eastAsia="宋体" w:cs="宋体"/>
          <w:color w:val="auto"/>
          <w:sz w:val="21"/>
          <w:highlight w:val="none"/>
        </w:rPr>
      </w:pPr>
    </w:p>
    <w:p w14:paraId="5BEBB9D5">
      <w:pPr>
        <w:spacing w:after="0"/>
        <w:rPr>
          <w:rFonts w:hint="eastAsia" w:ascii="宋体" w:hAnsi="宋体" w:eastAsia="宋体" w:cs="宋体"/>
          <w:color w:val="auto"/>
          <w:sz w:val="21"/>
          <w:highlight w:val="none"/>
        </w:rPr>
      </w:pPr>
    </w:p>
    <w:p w14:paraId="7FC5DAE0">
      <w:pPr>
        <w:pStyle w:val="2"/>
        <w:rPr>
          <w:rFonts w:hint="eastAsia" w:hAnsi="宋体" w:eastAsia="宋体"/>
          <w:color w:val="auto"/>
          <w:highlight w:val="none"/>
        </w:rPr>
      </w:pPr>
    </w:p>
    <w:p w14:paraId="7E4DB23D">
      <w:pPr>
        <w:spacing w:after="0"/>
        <w:rPr>
          <w:rFonts w:hint="eastAsia" w:ascii="宋体" w:hAnsi="宋体" w:eastAsia="宋体" w:cs="宋体"/>
          <w:color w:val="auto"/>
          <w:sz w:val="21"/>
          <w:highlight w:val="none"/>
        </w:rPr>
      </w:pPr>
    </w:p>
    <w:p w14:paraId="5B6353C2">
      <w:pPr>
        <w:spacing w:after="0"/>
        <w:rPr>
          <w:rFonts w:hint="eastAsia" w:ascii="宋体" w:hAnsi="宋体" w:eastAsia="宋体" w:cs="宋体"/>
          <w:color w:val="auto"/>
          <w:sz w:val="21"/>
          <w:highlight w:val="none"/>
        </w:rPr>
      </w:pPr>
    </w:p>
    <w:p w14:paraId="50B9AFA6">
      <w:pPr>
        <w:spacing w:after="0"/>
        <w:rPr>
          <w:rFonts w:hint="eastAsia" w:ascii="宋体" w:hAnsi="宋体" w:eastAsia="宋体" w:cs="宋体"/>
          <w:color w:val="auto"/>
          <w:sz w:val="21"/>
          <w:highlight w:val="none"/>
        </w:rPr>
      </w:pPr>
    </w:p>
    <w:p w14:paraId="11055ADE">
      <w:pPr>
        <w:spacing w:after="0"/>
        <w:rPr>
          <w:rFonts w:hint="eastAsia" w:ascii="宋体" w:hAnsi="宋体" w:eastAsia="宋体" w:cs="宋体"/>
          <w:color w:val="auto"/>
          <w:highlight w:val="none"/>
        </w:rPr>
      </w:pPr>
    </w:p>
    <w:p w14:paraId="7E3411A9">
      <w:pPr>
        <w:rPr>
          <w:rFonts w:hint="eastAsia" w:ascii="宋体" w:hAnsi="宋体" w:eastAsia="宋体" w:cs="宋体"/>
          <w:color w:val="auto"/>
          <w:highlight w:val="none"/>
        </w:rPr>
      </w:pPr>
    </w:p>
    <w:p w14:paraId="70D0E32D">
      <w:pPr>
        <w:rPr>
          <w:rFonts w:hint="eastAsia" w:ascii="宋体" w:hAnsi="宋体" w:eastAsia="宋体" w:cs="宋体"/>
          <w:color w:val="auto"/>
          <w:highlight w:val="none"/>
        </w:rPr>
      </w:pPr>
    </w:p>
    <w:p w14:paraId="445A6CC1">
      <w:pPr>
        <w:spacing w:line="500" w:lineRule="exact"/>
        <w:jc w:val="center"/>
        <w:outlineLvl w:val="1"/>
        <w:rPr>
          <w:rFonts w:hint="eastAsia" w:ascii="宋体" w:hAnsi="宋体" w:eastAsia="宋体" w:cs="宋体"/>
          <w:b/>
          <w:color w:val="auto"/>
          <w:sz w:val="28"/>
          <w:szCs w:val="28"/>
          <w:highlight w:val="none"/>
          <w:lang w:bidi="ar"/>
        </w:rPr>
      </w:pPr>
      <w:r>
        <w:rPr>
          <w:rFonts w:ascii="宋体" w:hAnsi="宋体" w:eastAsia="宋体" w:cs="宋体"/>
          <w:b/>
          <w:color w:val="auto"/>
          <w:sz w:val="28"/>
          <w:szCs w:val="28"/>
          <w:highlight w:val="none"/>
          <w:lang w:bidi="ar"/>
        </w:rPr>
        <w:br w:type="page"/>
      </w:r>
      <w:r>
        <w:rPr>
          <w:rFonts w:ascii="宋体" w:hAnsi="宋体" w:eastAsia="宋体" w:cs="宋体"/>
          <w:b/>
          <w:color w:val="auto"/>
          <w:sz w:val="28"/>
          <w:szCs w:val="28"/>
          <w:highlight w:val="none"/>
          <w:lang w:bidi="ar"/>
        </w:rPr>
        <w:t>投标单位</w:t>
      </w:r>
      <w:r>
        <w:rPr>
          <w:rFonts w:hint="eastAsia" w:ascii="宋体" w:hAnsi="宋体" w:eastAsia="宋体" w:cs="宋体"/>
          <w:b/>
          <w:color w:val="auto"/>
          <w:sz w:val="28"/>
          <w:szCs w:val="28"/>
          <w:highlight w:val="none"/>
          <w:lang w:bidi="ar"/>
        </w:rPr>
        <w:t>20</w:t>
      </w:r>
      <w:r>
        <w:rPr>
          <w:rFonts w:hint="eastAsia" w:ascii="宋体" w:hAnsi="宋体" w:eastAsia="宋体" w:cs="宋体"/>
          <w:b/>
          <w:color w:val="auto"/>
          <w:sz w:val="28"/>
          <w:szCs w:val="28"/>
          <w:highlight w:val="none"/>
          <w:lang w:val="en-US" w:eastAsia="zh-CN" w:bidi="ar"/>
        </w:rPr>
        <w:t>20</w:t>
      </w:r>
      <w:r>
        <w:rPr>
          <w:rFonts w:hint="eastAsia" w:ascii="宋体" w:hAnsi="宋体" w:eastAsia="宋体" w:cs="宋体"/>
          <w:b/>
          <w:color w:val="auto"/>
          <w:sz w:val="28"/>
          <w:szCs w:val="28"/>
          <w:highlight w:val="none"/>
          <w:lang w:bidi="ar"/>
        </w:rPr>
        <w:t>年1月1日至今的类似项目业绩</w:t>
      </w:r>
    </w:p>
    <w:p w14:paraId="46B4C482">
      <w:pPr>
        <w:pStyle w:val="2"/>
        <w:adjustRightInd w:val="0"/>
        <w:snapToGrid w:val="0"/>
        <w:spacing w:line="240" w:lineRule="exact"/>
        <w:jc w:val="center"/>
        <w:rPr>
          <w:rFonts w:hAnsi="宋体" w:eastAsia="宋体"/>
          <w:b/>
          <w:color w:val="auto"/>
          <w:sz w:val="30"/>
          <w:highlight w:val="none"/>
        </w:rPr>
      </w:pPr>
    </w:p>
    <w:tbl>
      <w:tblPr>
        <w:tblStyle w:val="38"/>
        <w:tblW w:w="96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80"/>
        <w:gridCol w:w="1980"/>
        <w:gridCol w:w="2241"/>
        <w:gridCol w:w="1250"/>
        <w:gridCol w:w="1450"/>
      </w:tblGrid>
      <w:tr w14:paraId="40F2E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noWrap w:val="0"/>
            <w:vAlign w:val="center"/>
          </w:tcPr>
          <w:p w14:paraId="12B25626">
            <w:pPr>
              <w:jc w:val="center"/>
              <w:rPr>
                <w:rFonts w:hint="eastAsia" w:ascii="宋体" w:hAnsi="宋体" w:eastAsia="宋体"/>
                <w:b/>
                <w:color w:val="auto"/>
                <w:highlight w:val="none"/>
              </w:rPr>
            </w:pPr>
            <w:r>
              <w:rPr>
                <w:rFonts w:hint="eastAsia" w:ascii="宋体" w:hAnsi="宋体" w:eastAsia="宋体"/>
                <w:b/>
                <w:color w:val="auto"/>
                <w:highlight w:val="none"/>
              </w:rPr>
              <w:t>序号</w:t>
            </w:r>
          </w:p>
        </w:tc>
        <w:tc>
          <w:tcPr>
            <w:tcW w:w="1980" w:type="dxa"/>
            <w:noWrap w:val="0"/>
            <w:vAlign w:val="center"/>
          </w:tcPr>
          <w:p w14:paraId="4B08A366">
            <w:pPr>
              <w:jc w:val="center"/>
              <w:rPr>
                <w:rFonts w:hint="eastAsia" w:ascii="宋体" w:hAnsi="宋体" w:eastAsia="宋体"/>
                <w:b/>
                <w:color w:val="auto"/>
                <w:highlight w:val="none"/>
              </w:rPr>
            </w:pPr>
            <w:r>
              <w:rPr>
                <w:rFonts w:hint="eastAsia" w:ascii="宋体" w:hAnsi="宋体" w:eastAsia="宋体"/>
                <w:b/>
                <w:color w:val="auto"/>
                <w:highlight w:val="none"/>
              </w:rPr>
              <w:t>项目名称</w:t>
            </w:r>
          </w:p>
        </w:tc>
        <w:tc>
          <w:tcPr>
            <w:tcW w:w="1980" w:type="dxa"/>
            <w:noWrap w:val="0"/>
            <w:vAlign w:val="center"/>
          </w:tcPr>
          <w:p w14:paraId="770C9B53">
            <w:pPr>
              <w:ind w:left="149" w:hanging="149"/>
              <w:jc w:val="center"/>
              <w:rPr>
                <w:rFonts w:hint="eastAsia" w:ascii="宋体" w:hAnsi="宋体" w:eastAsia="宋体"/>
                <w:b/>
                <w:color w:val="auto"/>
                <w:highlight w:val="none"/>
              </w:rPr>
            </w:pPr>
            <w:r>
              <w:rPr>
                <w:rFonts w:hint="eastAsia" w:ascii="宋体" w:hAnsi="宋体" w:eastAsia="宋体"/>
                <w:b/>
                <w:color w:val="auto"/>
                <w:highlight w:val="none"/>
              </w:rPr>
              <w:t>业主名称</w:t>
            </w:r>
          </w:p>
        </w:tc>
        <w:tc>
          <w:tcPr>
            <w:tcW w:w="2241" w:type="dxa"/>
            <w:noWrap w:val="0"/>
            <w:vAlign w:val="center"/>
          </w:tcPr>
          <w:p w14:paraId="5470737F">
            <w:pPr>
              <w:jc w:val="center"/>
              <w:rPr>
                <w:rFonts w:hint="eastAsia" w:ascii="宋体" w:hAnsi="宋体" w:eastAsia="宋体"/>
                <w:b/>
                <w:color w:val="auto"/>
                <w:highlight w:val="none"/>
              </w:rPr>
            </w:pPr>
            <w:r>
              <w:rPr>
                <w:rFonts w:hint="eastAsia" w:ascii="宋体" w:hAnsi="宋体" w:eastAsia="宋体"/>
                <w:b/>
                <w:color w:val="auto"/>
                <w:highlight w:val="none"/>
              </w:rPr>
              <w:t>检测项目内容</w:t>
            </w:r>
          </w:p>
        </w:tc>
        <w:tc>
          <w:tcPr>
            <w:tcW w:w="1250" w:type="dxa"/>
            <w:noWrap w:val="0"/>
            <w:vAlign w:val="center"/>
          </w:tcPr>
          <w:p w14:paraId="6165CDC2">
            <w:pPr>
              <w:jc w:val="center"/>
              <w:rPr>
                <w:rFonts w:hint="eastAsia" w:ascii="宋体" w:hAnsi="宋体" w:eastAsia="宋体"/>
                <w:b/>
                <w:color w:val="auto"/>
                <w:highlight w:val="none"/>
              </w:rPr>
            </w:pPr>
            <w:r>
              <w:rPr>
                <w:rFonts w:hint="eastAsia" w:ascii="宋体" w:hAnsi="宋体" w:eastAsia="宋体"/>
                <w:b/>
                <w:color w:val="auto"/>
                <w:highlight w:val="none"/>
              </w:rPr>
              <w:t>合同金额（万元）</w:t>
            </w:r>
          </w:p>
        </w:tc>
        <w:tc>
          <w:tcPr>
            <w:tcW w:w="1450" w:type="dxa"/>
            <w:noWrap w:val="0"/>
            <w:vAlign w:val="center"/>
          </w:tcPr>
          <w:p w14:paraId="525E26DE">
            <w:pPr>
              <w:jc w:val="center"/>
              <w:rPr>
                <w:rFonts w:ascii="宋体" w:hAnsi="宋体" w:eastAsia="宋体"/>
                <w:b/>
                <w:color w:val="auto"/>
                <w:highlight w:val="none"/>
              </w:rPr>
            </w:pPr>
            <w:r>
              <w:rPr>
                <w:rFonts w:hint="eastAsia" w:ascii="宋体" w:hAnsi="宋体" w:eastAsia="宋体"/>
                <w:b/>
                <w:color w:val="auto"/>
                <w:highlight w:val="none"/>
              </w:rPr>
              <w:t>签订时间</w:t>
            </w:r>
          </w:p>
        </w:tc>
      </w:tr>
      <w:tr w14:paraId="65D09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1" w:type="dxa"/>
            <w:noWrap w:val="0"/>
            <w:vAlign w:val="top"/>
          </w:tcPr>
          <w:p w14:paraId="13EEF2B0">
            <w:pPr>
              <w:rPr>
                <w:rFonts w:hint="eastAsia" w:ascii="宋体" w:hAnsi="宋体" w:eastAsia="宋体"/>
                <w:color w:val="auto"/>
                <w:highlight w:val="none"/>
              </w:rPr>
            </w:pPr>
          </w:p>
        </w:tc>
        <w:tc>
          <w:tcPr>
            <w:tcW w:w="1980" w:type="dxa"/>
            <w:noWrap w:val="0"/>
            <w:vAlign w:val="center"/>
          </w:tcPr>
          <w:p w14:paraId="7827D474">
            <w:pPr>
              <w:rPr>
                <w:rFonts w:hint="eastAsia" w:ascii="宋体" w:hAnsi="宋体" w:eastAsia="宋体"/>
                <w:color w:val="auto"/>
                <w:highlight w:val="none"/>
              </w:rPr>
            </w:pPr>
          </w:p>
        </w:tc>
        <w:tc>
          <w:tcPr>
            <w:tcW w:w="1980" w:type="dxa"/>
            <w:noWrap w:val="0"/>
            <w:vAlign w:val="center"/>
          </w:tcPr>
          <w:p w14:paraId="75FEFAD3">
            <w:pPr>
              <w:jc w:val="center"/>
              <w:rPr>
                <w:rFonts w:hint="eastAsia" w:ascii="宋体" w:hAnsi="宋体" w:eastAsia="宋体"/>
                <w:color w:val="auto"/>
                <w:highlight w:val="none"/>
              </w:rPr>
            </w:pPr>
          </w:p>
        </w:tc>
        <w:tc>
          <w:tcPr>
            <w:tcW w:w="2241" w:type="dxa"/>
            <w:noWrap w:val="0"/>
            <w:vAlign w:val="center"/>
          </w:tcPr>
          <w:p w14:paraId="1A8C6C41">
            <w:pPr>
              <w:jc w:val="center"/>
              <w:rPr>
                <w:rFonts w:hint="eastAsia" w:ascii="宋体" w:hAnsi="宋体" w:eastAsia="宋体"/>
                <w:color w:val="auto"/>
                <w:highlight w:val="none"/>
              </w:rPr>
            </w:pPr>
          </w:p>
        </w:tc>
        <w:tc>
          <w:tcPr>
            <w:tcW w:w="1250" w:type="dxa"/>
            <w:noWrap w:val="0"/>
            <w:vAlign w:val="center"/>
          </w:tcPr>
          <w:p w14:paraId="55322FD0">
            <w:pPr>
              <w:jc w:val="center"/>
              <w:rPr>
                <w:rFonts w:hint="eastAsia" w:ascii="宋体" w:hAnsi="宋体" w:eastAsia="宋体"/>
                <w:color w:val="auto"/>
                <w:highlight w:val="none"/>
              </w:rPr>
            </w:pPr>
          </w:p>
        </w:tc>
        <w:tc>
          <w:tcPr>
            <w:tcW w:w="1450" w:type="dxa"/>
            <w:noWrap w:val="0"/>
            <w:vAlign w:val="center"/>
          </w:tcPr>
          <w:p w14:paraId="291EB8C2">
            <w:pPr>
              <w:jc w:val="center"/>
              <w:rPr>
                <w:rFonts w:hint="eastAsia" w:ascii="宋体" w:hAnsi="宋体" w:eastAsia="宋体"/>
                <w:color w:val="auto"/>
                <w:highlight w:val="none"/>
              </w:rPr>
            </w:pPr>
          </w:p>
        </w:tc>
      </w:tr>
      <w:tr w14:paraId="21ADD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1" w:type="dxa"/>
            <w:noWrap w:val="0"/>
            <w:vAlign w:val="top"/>
          </w:tcPr>
          <w:p w14:paraId="52698144">
            <w:pPr>
              <w:rPr>
                <w:rFonts w:hint="eastAsia" w:ascii="宋体" w:hAnsi="宋体" w:eastAsia="宋体"/>
                <w:color w:val="auto"/>
                <w:highlight w:val="none"/>
              </w:rPr>
            </w:pPr>
          </w:p>
        </w:tc>
        <w:tc>
          <w:tcPr>
            <w:tcW w:w="1980" w:type="dxa"/>
            <w:noWrap w:val="0"/>
            <w:vAlign w:val="center"/>
          </w:tcPr>
          <w:p w14:paraId="1CCB63AB">
            <w:pPr>
              <w:rPr>
                <w:rFonts w:hint="eastAsia" w:ascii="宋体" w:hAnsi="宋体" w:eastAsia="宋体"/>
                <w:color w:val="auto"/>
                <w:highlight w:val="none"/>
              </w:rPr>
            </w:pPr>
          </w:p>
        </w:tc>
        <w:tc>
          <w:tcPr>
            <w:tcW w:w="1980" w:type="dxa"/>
            <w:noWrap w:val="0"/>
            <w:vAlign w:val="center"/>
          </w:tcPr>
          <w:p w14:paraId="57F6EAB6">
            <w:pPr>
              <w:jc w:val="center"/>
              <w:rPr>
                <w:rFonts w:hint="eastAsia" w:ascii="宋体" w:hAnsi="宋体" w:eastAsia="宋体"/>
                <w:color w:val="auto"/>
                <w:highlight w:val="none"/>
              </w:rPr>
            </w:pPr>
          </w:p>
        </w:tc>
        <w:tc>
          <w:tcPr>
            <w:tcW w:w="2241" w:type="dxa"/>
            <w:noWrap w:val="0"/>
            <w:vAlign w:val="center"/>
          </w:tcPr>
          <w:p w14:paraId="29112F60">
            <w:pPr>
              <w:jc w:val="center"/>
              <w:rPr>
                <w:rFonts w:hint="eastAsia" w:ascii="宋体" w:hAnsi="宋体" w:eastAsia="宋体"/>
                <w:color w:val="auto"/>
                <w:highlight w:val="none"/>
              </w:rPr>
            </w:pPr>
          </w:p>
        </w:tc>
        <w:tc>
          <w:tcPr>
            <w:tcW w:w="1250" w:type="dxa"/>
            <w:noWrap w:val="0"/>
            <w:vAlign w:val="center"/>
          </w:tcPr>
          <w:p w14:paraId="3DC1C6A0">
            <w:pPr>
              <w:jc w:val="center"/>
              <w:rPr>
                <w:rFonts w:hint="eastAsia" w:ascii="宋体" w:hAnsi="宋体" w:eastAsia="宋体"/>
                <w:color w:val="auto"/>
                <w:highlight w:val="none"/>
              </w:rPr>
            </w:pPr>
          </w:p>
        </w:tc>
        <w:tc>
          <w:tcPr>
            <w:tcW w:w="1450" w:type="dxa"/>
            <w:noWrap w:val="0"/>
            <w:vAlign w:val="center"/>
          </w:tcPr>
          <w:p w14:paraId="22ADBFA1">
            <w:pPr>
              <w:jc w:val="center"/>
              <w:rPr>
                <w:rFonts w:hint="eastAsia" w:ascii="宋体" w:hAnsi="宋体" w:eastAsia="宋体"/>
                <w:color w:val="auto"/>
                <w:highlight w:val="none"/>
              </w:rPr>
            </w:pPr>
          </w:p>
        </w:tc>
      </w:tr>
      <w:tr w14:paraId="4D289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1" w:type="dxa"/>
            <w:noWrap w:val="0"/>
            <w:vAlign w:val="top"/>
          </w:tcPr>
          <w:p w14:paraId="41451356">
            <w:pPr>
              <w:rPr>
                <w:rFonts w:hint="eastAsia" w:ascii="宋体" w:hAnsi="宋体" w:eastAsia="宋体"/>
                <w:color w:val="auto"/>
                <w:highlight w:val="none"/>
              </w:rPr>
            </w:pPr>
          </w:p>
        </w:tc>
        <w:tc>
          <w:tcPr>
            <w:tcW w:w="1980" w:type="dxa"/>
            <w:noWrap w:val="0"/>
            <w:vAlign w:val="center"/>
          </w:tcPr>
          <w:p w14:paraId="7BEB2C97">
            <w:pPr>
              <w:rPr>
                <w:rFonts w:hint="eastAsia" w:ascii="宋体" w:hAnsi="宋体" w:eastAsia="宋体"/>
                <w:color w:val="auto"/>
                <w:highlight w:val="none"/>
              </w:rPr>
            </w:pPr>
          </w:p>
        </w:tc>
        <w:tc>
          <w:tcPr>
            <w:tcW w:w="1980" w:type="dxa"/>
            <w:noWrap w:val="0"/>
            <w:vAlign w:val="center"/>
          </w:tcPr>
          <w:p w14:paraId="713D2163">
            <w:pPr>
              <w:jc w:val="center"/>
              <w:rPr>
                <w:rFonts w:hint="eastAsia" w:ascii="宋体" w:hAnsi="宋体" w:eastAsia="宋体"/>
                <w:color w:val="auto"/>
                <w:highlight w:val="none"/>
              </w:rPr>
            </w:pPr>
          </w:p>
        </w:tc>
        <w:tc>
          <w:tcPr>
            <w:tcW w:w="2241" w:type="dxa"/>
            <w:noWrap w:val="0"/>
            <w:vAlign w:val="center"/>
          </w:tcPr>
          <w:p w14:paraId="12676DAB">
            <w:pPr>
              <w:jc w:val="center"/>
              <w:rPr>
                <w:rFonts w:hint="eastAsia" w:ascii="宋体" w:hAnsi="宋体" w:eastAsia="宋体"/>
                <w:color w:val="auto"/>
                <w:highlight w:val="none"/>
              </w:rPr>
            </w:pPr>
          </w:p>
        </w:tc>
        <w:tc>
          <w:tcPr>
            <w:tcW w:w="1250" w:type="dxa"/>
            <w:noWrap w:val="0"/>
            <w:vAlign w:val="center"/>
          </w:tcPr>
          <w:p w14:paraId="43F4CCCA">
            <w:pPr>
              <w:jc w:val="center"/>
              <w:rPr>
                <w:rFonts w:hint="eastAsia" w:ascii="宋体" w:hAnsi="宋体" w:eastAsia="宋体"/>
                <w:color w:val="auto"/>
                <w:highlight w:val="none"/>
              </w:rPr>
            </w:pPr>
          </w:p>
        </w:tc>
        <w:tc>
          <w:tcPr>
            <w:tcW w:w="1450" w:type="dxa"/>
            <w:noWrap w:val="0"/>
            <w:vAlign w:val="center"/>
          </w:tcPr>
          <w:p w14:paraId="7D5AA6A2">
            <w:pPr>
              <w:jc w:val="center"/>
              <w:rPr>
                <w:rFonts w:hint="eastAsia" w:ascii="宋体" w:hAnsi="宋体" w:eastAsia="宋体"/>
                <w:color w:val="auto"/>
                <w:highlight w:val="none"/>
              </w:rPr>
            </w:pPr>
          </w:p>
        </w:tc>
      </w:tr>
    </w:tbl>
    <w:p w14:paraId="3A01775E">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注：须</w:t>
      </w:r>
      <w:r>
        <w:rPr>
          <w:rFonts w:hint="eastAsia" w:ascii="宋体" w:hAnsi="宋体" w:eastAsia="宋体" w:cs="宋体"/>
          <w:color w:val="auto"/>
          <w:sz w:val="21"/>
          <w:highlight w:val="none"/>
        </w:rPr>
        <w:t>同时提供中标通知书（或免招标证明）和技术服务合同等证明材料原件清晰扫描件并加盖电子印章。类似业绩时间及金额均以合同为准。</w:t>
      </w:r>
    </w:p>
    <w:p w14:paraId="177F20C2">
      <w:pPr>
        <w:spacing w:line="500" w:lineRule="exact"/>
        <w:jc w:val="center"/>
        <w:outlineLvl w:val="1"/>
        <w:rPr>
          <w:rFonts w:hint="eastAsia" w:ascii="宋体" w:hAnsi="宋体" w:eastAsia="宋体" w:cs="宋体"/>
          <w:b/>
          <w:color w:val="auto"/>
          <w:sz w:val="28"/>
          <w:szCs w:val="28"/>
          <w:highlight w:val="none"/>
          <w:lang w:bidi="ar"/>
        </w:rPr>
      </w:pPr>
      <w:bookmarkStart w:id="292" w:name="_Toc5829_WPSOffice_Level1"/>
      <w:bookmarkStart w:id="293" w:name="_Toc526895078"/>
      <w:bookmarkStart w:id="294" w:name="_Toc25827_WPSOffice_Level1"/>
      <w:r>
        <w:rPr>
          <w:rFonts w:ascii="宋体" w:hAnsi="宋体" w:eastAsia="宋体" w:cs="宋体"/>
          <w:b/>
          <w:color w:val="auto"/>
          <w:sz w:val="28"/>
          <w:szCs w:val="28"/>
          <w:highlight w:val="none"/>
          <w:lang w:bidi="ar"/>
        </w:rPr>
        <w:br w:type="page"/>
      </w:r>
      <w:r>
        <w:rPr>
          <w:rFonts w:hint="eastAsia" w:ascii="宋体" w:hAnsi="宋体" w:eastAsia="宋体" w:cs="宋体"/>
          <w:b/>
          <w:color w:val="auto"/>
          <w:sz w:val="28"/>
          <w:szCs w:val="28"/>
          <w:highlight w:val="none"/>
          <w:lang w:bidi="ar"/>
        </w:rPr>
        <w:t>拟投入本项目的主要检测设备一览表</w:t>
      </w:r>
      <w:bookmarkEnd w:id="292"/>
      <w:bookmarkEnd w:id="293"/>
      <w:bookmarkEnd w:id="294"/>
      <w:r>
        <w:rPr>
          <w:rFonts w:hint="eastAsia" w:ascii="宋体" w:hAnsi="宋体" w:eastAsia="宋体" w:cs="宋体"/>
          <w:b/>
          <w:color w:val="auto"/>
          <w:sz w:val="28"/>
          <w:szCs w:val="28"/>
          <w:highlight w:val="none"/>
          <w:lang w:bidi="ar"/>
        </w:rPr>
        <w:t xml:space="preserve"> </w:t>
      </w:r>
    </w:p>
    <w:tbl>
      <w:tblPr>
        <w:tblStyle w:val="3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634"/>
        <w:gridCol w:w="2321"/>
        <w:gridCol w:w="1560"/>
        <w:gridCol w:w="1517"/>
        <w:gridCol w:w="1517"/>
      </w:tblGrid>
      <w:tr w14:paraId="404D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0986113B">
            <w:pPr>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634" w:type="dxa"/>
            <w:noWrap w:val="0"/>
            <w:vAlign w:val="center"/>
          </w:tcPr>
          <w:p w14:paraId="717D5008">
            <w:pPr>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2321" w:type="dxa"/>
            <w:noWrap w:val="0"/>
            <w:vAlign w:val="center"/>
          </w:tcPr>
          <w:p w14:paraId="1B8F6CE1">
            <w:pPr>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检定/校准机构</w:t>
            </w:r>
          </w:p>
        </w:tc>
        <w:tc>
          <w:tcPr>
            <w:tcW w:w="1560" w:type="dxa"/>
            <w:noWrap w:val="0"/>
            <w:vAlign w:val="center"/>
          </w:tcPr>
          <w:p w14:paraId="7552DB52">
            <w:pPr>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有效期</w:t>
            </w:r>
          </w:p>
        </w:tc>
        <w:tc>
          <w:tcPr>
            <w:tcW w:w="1517" w:type="dxa"/>
            <w:noWrap w:val="0"/>
            <w:vAlign w:val="center"/>
          </w:tcPr>
          <w:p w14:paraId="77407A9E">
            <w:pPr>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检定/校准周期</w:t>
            </w:r>
          </w:p>
        </w:tc>
        <w:tc>
          <w:tcPr>
            <w:tcW w:w="1517" w:type="dxa"/>
            <w:noWrap w:val="0"/>
            <w:vAlign w:val="center"/>
          </w:tcPr>
          <w:p w14:paraId="3B0297BD">
            <w:pPr>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是否自有</w:t>
            </w:r>
          </w:p>
        </w:tc>
      </w:tr>
      <w:tr w14:paraId="5A87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24B1AF30">
            <w:pPr>
              <w:snapToGrid w:val="0"/>
              <w:jc w:val="center"/>
              <w:rPr>
                <w:rFonts w:hint="eastAsia" w:ascii="宋体" w:hAnsi="宋体" w:eastAsia="宋体" w:cs="宋体"/>
                <w:color w:val="auto"/>
                <w:sz w:val="28"/>
                <w:szCs w:val="28"/>
                <w:highlight w:val="none"/>
              </w:rPr>
            </w:pPr>
          </w:p>
        </w:tc>
        <w:tc>
          <w:tcPr>
            <w:tcW w:w="1634" w:type="dxa"/>
            <w:noWrap w:val="0"/>
            <w:vAlign w:val="center"/>
          </w:tcPr>
          <w:p w14:paraId="7FDCB08F">
            <w:pPr>
              <w:snapToGrid w:val="0"/>
              <w:jc w:val="center"/>
              <w:rPr>
                <w:rFonts w:hint="eastAsia" w:ascii="宋体" w:hAnsi="宋体" w:eastAsia="宋体" w:cs="宋体"/>
                <w:color w:val="auto"/>
                <w:sz w:val="28"/>
                <w:szCs w:val="28"/>
                <w:highlight w:val="none"/>
              </w:rPr>
            </w:pPr>
          </w:p>
        </w:tc>
        <w:tc>
          <w:tcPr>
            <w:tcW w:w="2321" w:type="dxa"/>
            <w:noWrap w:val="0"/>
            <w:vAlign w:val="center"/>
          </w:tcPr>
          <w:p w14:paraId="1DCA36FE">
            <w:pPr>
              <w:snapToGrid w:val="0"/>
              <w:jc w:val="center"/>
              <w:rPr>
                <w:rFonts w:hint="eastAsia" w:ascii="宋体" w:hAnsi="宋体" w:eastAsia="宋体" w:cs="宋体"/>
                <w:color w:val="auto"/>
                <w:sz w:val="28"/>
                <w:szCs w:val="28"/>
                <w:highlight w:val="none"/>
              </w:rPr>
            </w:pPr>
          </w:p>
        </w:tc>
        <w:tc>
          <w:tcPr>
            <w:tcW w:w="1560" w:type="dxa"/>
            <w:noWrap w:val="0"/>
            <w:vAlign w:val="center"/>
          </w:tcPr>
          <w:p w14:paraId="1C33A027">
            <w:pPr>
              <w:snapToGrid w:val="0"/>
              <w:jc w:val="center"/>
              <w:rPr>
                <w:rFonts w:hint="eastAsia" w:ascii="宋体" w:hAnsi="宋体" w:eastAsia="宋体" w:cs="宋体"/>
                <w:color w:val="auto"/>
                <w:sz w:val="28"/>
                <w:szCs w:val="28"/>
                <w:highlight w:val="none"/>
              </w:rPr>
            </w:pPr>
          </w:p>
        </w:tc>
        <w:tc>
          <w:tcPr>
            <w:tcW w:w="1517" w:type="dxa"/>
            <w:noWrap w:val="0"/>
            <w:vAlign w:val="center"/>
          </w:tcPr>
          <w:p w14:paraId="6207B646">
            <w:pPr>
              <w:snapToGrid w:val="0"/>
              <w:jc w:val="center"/>
              <w:rPr>
                <w:rFonts w:hint="eastAsia" w:ascii="宋体" w:hAnsi="宋体" w:eastAsia="宋体" w:cs="宋体"/>
                <w:color w:val="auto"/>
                <w:sz w:val="28"/>
                <w:szCs w:val="28"/>
                <w:highlight w:val="none"/>
              </w:rPr>
            </w:pPr>
          </w:p>
        </w:tc>
        <w:tc>
          <w:tcPr>
            <w:tcW w:w="1517" w:type="dxa"/>
            <w:noWrap w:val="0"/>
            <w:vAlign w:val="center"/>
          </w:tcPr>
          <w:p w14:paraId="2965A433">
            <w:pPr>
              <w:snapToGrid w:val="0"/>
              <w:jc w:val="center"/>
              <w:rPr>
                <w:rFonts w:hint="eastAsia" w:ascii="宋体" w:hAnsi="宋体" w:eastAsia="宋体" w:cs="宋体"/>
                <w:color w:val="auto"/>
                <w:sz w:val="28"/>
                <w:szCs w:val="28"/>
                <w:highlight w:val="none"/>
              </w:rPr>
            </w:pPr>
          </w:p>
        </w:tc>
      </w:tr>
      <w:tr w14:paraId="7C14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7705B6CB">
            <w:pPr>
              <w:snapToGrid w:val="0"/>
              <w:jc w:val="center"/>
              <w:rPr>
                <w:rFonts w:hint="eastAsia" w:ascii="宋体" w:hAnsi="宋体" w:eastAsia="宋体" w:cs="宋体"/>
                <w:color w:val="auto"/>
                <w:sz w:val="28"/>
                <w:szCs w:val="28"/>
                <w:highlight w:val="none"/>
              </w:rPr>
            </w:pPr>
          </w:p>
        </w:tc>
        <w:tc>
          <w:tcPr>
            <w:tcW w:w="1634" w:type="dxa"/>
            <w:noWrap w:val="0"/>
            <w:vAlign w:val="center"/>
          </w:tcPr>
          <w:p w14:paraId="7D4264E4">
            <w:pPr>
              <w:snapToGrid w:val="0"/>
              <w:jc w:val="center"/>
              <w:rPr>
                <w:rFonts w:hint="eastAsia" w:ascii="宋体" w:hAnsi="宋体" w:eastAsia="宋体" w:cs="宋体"/>
                <w:color w:val="auto"/>
                <w:sz w:val="28"/>
                <w:szCs w:val="28"/>
                <w:highlight w:val="none"/>
              </w:rPr>
            </w:pPr>
          </w:p>
        </w:tc>
        <w:tc>
          <w:tcPr>
            <w:tcW w:w="2321" w:type="dxa"/>
            <w:noWrap w:val="0"/>
            <w:vAlign w:val="center"/>
          </w:tcPr>
          <w:p w14:paraId="5958E79A">
            <w:pPr>
              <w:snapToGrid w:val="0"/>
              <w:jc w:val="center"/>
              <w:rPr>
                <w:rFonts w:hint="eastAsia" w:ascii="宋体" w:hAnsi="宋体" w:eastAsia="宋体" w:cs="宋体"/>
                <w:color w:val="auto"/>
                <w:sz w:val="28"/>
                <w:szCs w:val="28"/>
                <w:highlight w:val="none"/>
              </w:rPr>
            </w:pPr>
          </w:p>
        </w:tc>
        <w:tc>
          <w:tcPr>
            <w:tcW w:w="1560" w:type="dxa"/>
            <w:noWrap w:val="0"/>
            <w:vAlign w:val="center"/>
          </w:tcPr>
          <w:p w14:paraId="6E47A50B">
            <w:pPr>
              <w:snapToGrid w:val="0"/>
              <w:jc w:val="center"/>
              <w:rPr>
                <w:rFonts w:hint="eastAsia" w:ascii="宋体" w:hAnsi="宋体" w:eastAsia="宋体" w:cs="宋体"/>
                <w:color w:val="auto"/>
                <w:sz w:val="28"/>
                <w:szCs w:val="28"/>
                <w:highlight w:val="none"/>
              </w:rPr>
            </w:pPr>
          </w:p>
        </w:tc>
        <w:tc>
          <w:tcPr>
            <w:tcW w:w="1517" w:type="dxa"/>
            <w:noWrap w:val="0"/>
            <w:vAlign w:val="center"/>
          </w:tcPr>
          <w:p w14:paraId="6F8DBC50">
            <w:pPr>
              <w:snapToGrid w:val="0"/>
              <w:jc w:val="center"/>
              <w:rPr>
                <w:rFonts w:hint="eastAsia" w:ascii="宋体" w:hAnsi="宋体" w:eastAsia="宋体" w:cs="宋体"/>
                <w:color w:val="auto"/>
                <w:sz w:val="28"/>
                <w:szCs w:val="28"/>
                <w:highlight w:val="none"/>
              </w:rPr>
            </w:pPr>
          </w:p>
        </w:tc>
        <w:tc>
          <w:tcPr>
            <w:tcW w:w="1517" w:type="dxa"/>
            <w:noWrap w:val="0"/>
            <w:vAlign w:val="center"/>
          </w:tcPr>
          <w:p w14:paraId="64736A54">
            <w:pPr>
              <w:snapToGrid w:val="0"/>
              <w:jc w:val="center"/>
              <w:rPr>
                <w:rFonts w:hint="eastAsia" w:ascii="宋体" w:hAnsi="宋体" w:eastAsia="宋体" w:cs="宋体"/>
                <w:color w:val="auto"/>
                <w:sz w:val="28"/>
                <w:szCs w:val="28"/>
                <w:highlight w:val="none"/>
              </w:rPr>
            </w:pPr>
          </w:p>
        </w:tc>
      </w:tr>
      <w:tr w14:paraId="4AF5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53730D0C">
            <w:pPr>
              <w:snapToGrid w:val="0"/>
              <w:jc w:val="center"/>
              <w:rPr>
                <w:rFonts w:hint="eastAsia" w:ascii="宋体" w:hAnsi="宋体" w:eastAsia="宋体" w:cs="宋体"/>
                <w:color w:val="auto"/>
                <w:sz w:val="28"/>
                <w:szCs w:val="28"/>
                <w:highlight w:val="none"/>
              </w:rPr>
            </w:pPr>
          </w:p>
        </w:tc>
        <w:tc>
          <w:tcPr>
            <w:tcW w:w="1634" w:type="dxa"/>
            <w:noWrap w:val="0"/>
            <w:vAlign w:val="center"/>
          </w:tcPr>
          <w:p w14:paraId="74AA21F8">
            <w:pPr>
              <w:snapToGrid w:val="0"/>
              <w:jc w:val="center"/>
              <w:rPr>
                <w:rFonts w:hint="eastAsia" w:ascii="宋体" w:hAnsi="宋体" w:eastAsia="宋体" w:cs="宋体"/>
                <w:color w:val="auto"/>
                <w:sz w:val="28"/>
                <w:szCs w:val="28"/>
                <w:highlight w:val="none"/>
              </w:rPr>
            </w:pPr>
          </w:p>
        </w:tc>
        <w:tc>
          <w:tcPr>
            <w:tcW w:w="2321" w:type="dxa"/>
            <w:noWrap w:val="0"/>
            <w:vAlign w:val="center"/>
          </w:tcPr>
          <w:p w14:paraId="1B7A5F5B">
            <w:pPr>
              <w:snapToGrid w:val="0"/>
              <w:jc w:val="center"/>
              <w:rPr>
                <w:rFonts w:hint="eastAsia" w:ascii="宋体" w:hAnsi="宋体" w:eastAsia="宋体" w:cs="宋体"/>
                <w:color w:val="auto"/>
                <w:sz w:val="28"/>
                <w:szCs w:val="28"/>
                <w:highlight w:val="none"/>
              </w:rPr>
            </w:pPr>
          </w:p>
        </w:tc>
        <w:tc>
          <w:tcPr>
            <w:tcW w:w="1560" w:type="dxa"/>
            <w:noWrap w:val="0"/>
            <w:vAlign w:val="center"/>
          </w:tcPr>
          <w:p w14:paraId="6CCC4773">
            <w:pPr>
              <w:snapToGrid w:val="0"/>
              <w:jc w:val="center"/>
              <w:rPr>
                <w:rFonts w:hint="eastAsia" w:ascii="宋体" w:hAnsi="宋体" w:eastAsia="宋体" w:cs="宋体"/>
                <w:color w:val="auto"/>
                <w:sz w:val="28"/>
                <w:szCs w:val="28"/>
                <w:highlight w:val="none"/>
              </w:rPr>
            </w:pPr>
          </w:p>
        </w:tc>
        <w:tc>
          <w:tcPr>
            <w:tcW w:w="1517" w:type="dxa"/>
            <w:noWrap w:val="0"/>
            <w:vAlign w:val="center"/>
          </w:tcPr>
          <w:p w14:paraId="2E262F48">
            <w:pPr>
              <w:snapToGrid w:val="0"/>
              <w:jc w:val="center"/>
              <w:rPr>
                <w:rFonts w:hint="eastAsia" w:ascii="宋体" w:hAnsi="宋体" w:eastAsia="宋体" w:cs="宋体"/>
                <w:color w:val="auto"/>
                <w:sz w:val="28"/>
                <w:szCs w:val="28"/>
                <w:highlight w:val="none"/>
              </w:rPr>
            </w:pPr>
          </w:p>
        </w:tc>
        <w:tc>
          <w:tcPr>
            <w:tcW w:w="1517" w:type="dxa"/>
            <w:noWrap w:val="0"/>
            <w:vAlign w:val="center"/>
          </w:tcPr>
          <w:p w14:paraId="5D1A60B7">
            <w:pPr>
              <w:snapToGrid w:val="0"/>
              <w:jc w:val="center"/>
              <w:rPr>
                <w:rFonts w:hint="eastAsia" w:ascii="宋体" w:hAnsi="宋体" w:eastAsia="宋体" w:cs="宋体"/>
                <w:color w:val="auto"/>
                <w:sz w:val="28"/>
                <w:szCs w:val="28"/>
                <w:highlight w:val="none"/>
              </w:rPr>
            </w:pPr>
          </w:p>
        </w:tc>
      </w:tr>
      <w:tr w14:paraId="0355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1ED9D909">
            <w:pPr>
              <w:snapToGrid w:val="0"/>
              <w:jc w:val="center"/>
              <w:rPr>
                <w:rFonts w:hint="eastAsia" w:ascii="宋体" w:hAnsi="宋体" w:eastAsia="宋体" w:cs="宋体"/>
                <w:color w:val="auto"/>
                <w:sz w:val="28"/>
                <w:szCs w:val="28"/>
                <w:highlight w:val="none"/>
              </w:rPr>
            </w:pPr>
          </w:p>
        </w:tc>
        <w:tc>
          <w:tcPr>
            <w:tcW w:w="1634" w:type="dxa"/>
            <w:noWrap w:val="0"/>
            <w:vAlign w:val="center"/>
          </w:tcPr>
          <w:p w14:paraId="43D0AEE8">
            <w:pPr>
              <w:snapToGrid w:val="0"/>
              <w:jc w:val="center"/>
              <w:rPr>
                <w:rFonts w:hint="eastAsia" w:ascii="宋体" w:hAnsi="宋体" w:eastAsia="宋体" w:cs="宋体"/>
                <w:color w:val="auto"/>
                <w:sz w:val="28"/>
                <w:szCs w:val="28"/>
                <w:highlight w:val="none"/>
              </w:rPr>
            </w:pPr>
          </w:p>
        </w:tc>
        <w:tc>
          <w:tcPr>
            <w:tcW w:w="2321" w:type="dxa"/>
            <w:noWrap w:val="0"/>
            <w:vAlign w:val="center"/>
          </w:tcPr>
          <w:p w14:paraId="7638D24D">
            <w:pPr>
              <w:snapToGrid w:val="0"/>
              <w:jc w:val="center"/>
              <w:rPr>
                <w:rFonts w:hint="eastAsia" w:ascii="宋体" w:hAnsi="宋体" w:eastAsia="宋体" w:cs="宋体"/>
                <w:color w:val="auto"/>
                <w:sz w:val="28"/>
                <w:szCs w:val="28"/>
                <w:highlight w:val="none"/>
              </w:rPr>
            </w:pPr>
          </w:p>
        </w:tc>
        <w:tc>
          <w:tcPr>
            <w:tcW w:w="1560" w:type="dxa"/>
            <w:noWrap w:val="0"/>
            <w:vAlign w:val="center"/>
          </w:tcPr>
          <w:p w14:paraId="38FAFBB8">
            <w:pPr>
              <w:snapToGrid w:val="0"/>
              <w:jc w:val="center"/>
              <w:rPr>
                <w:rFonts w:hint="eastAsia" w:ascii="宋体" w:hAnsi="宋体" w:eastAsia="宋体" w:cs="宋体"/>
                <w:color w:val="auto"/>
                <w:sz w:val="28"/>
                <w:szCs w:val="28"/>
                <w:highlight w:val="none"/>
              </w:rPr>
            </w:pPr>
          </w:p>
        </w:tc>
        <w:tc>
          <w:tcPr>
            <w:tcW w:w="1517" w:type="dxa"/>
            <w:noWrap w:val="0"/>
            <w:vAlign w:val="center"/>
          </w:tcPr>
          <w:p w14:paraId="0BEA8C7F">
            <w:pPr>
              <w:snapToGrid w:val="0"/>
              <w:jc w:val="center"/>
              <w:rPr>
                <w:rFonts w:hint="eastAsia" w:ascii="宋体" w:hAnsi="宋体" w:eastAsia="宋体" w:cs="宋体"/>
                <w:color w:val="auto"/>
                <w:sz w:val="28"/>
                <w:szCs w:val="28"/>
                <w:highlight w:val="none"/>
              </w:rPr>
            </w:pPr>
          </w:p>
        </w:tc>
        <w:tc>
          <w:tcPr>
            <w:tcW w:w="1517" w:type="dxa"/>
            <w:noWrap w:val="0"/>
            <w:vAlign w:val="center"/>
          </w:tcPr>
          <w:p w14:paraId="2E0D175D">
            <w:pPr>
              <w:snapToGrid w:val="0"/>
              <w:jc w:val="center"/>
              <w:rPr>
                <w:rFonts w:hint="eastAsia" w:ascii="宋体" w:hAnsi="宋体" w:eastAsia="宋体" w:cs="宋体"/>
                <w:color w:val="auto"/>
                <w:sz w:val="28"/>
                <w:szCs w:val="28"/>
                <w:highlight w:val="none"/>
              </w:rPr>
            </w:pPr>
          </w:p>
        </w:tc>
      </w:tr>
      <w:tr w14:paraId="7209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05EB10A0">
            <w:pPr>
              <w:snapToGrid w:val="0"/>
              <w:jc w:val="center"/>
              <w:rPr>
                <w:rFonts w:hint="eastAsia" w:ascii="宋体" w:hAnsi="宋体" w:eastAsia="宋体" w:cs="宋体"/>
                <w:color w:val="auto"/>
                <w:sz w:val="28"/>
                <w:szCs w:val="28"/>
                <w:highlight w:val="none"/>
              </w:rPr>
            </w:pPr>
          </w:p>
        </w:tc>
        <w:tc>
          <w:tcPr>
            <w:tcW w:w="1634" w:type="dxa"/>
            <w:noWrap w:val="0"/>
            <w:vAlign w:val="center"/>
          </w:tcPr>
          <w:p w14:paraId="642B4A50">
            <w:pPr>
              <w:snapToGrid w:val="0"/>
              <w:jc w:val="center"/>
              <w:rPr>
                <w:rFonts w:hint="eastAsia" w:ascii="宋体" w:hAnsi="宋体" w:eastAsia="宋体" w:cs="宋体"/>
                <w:color w:val="auto"/>
                <w:sz w:val="28"/>
                <w:szCs w:val="28"/>
                <w:highlight w:val="none"/>
              </w:rPr>
            </w:pPr>
          </w:p>
        </w:tc>
        <w:tc>
          <w:tcPr>
            <w:tcW w:w="2321" w:type="dxa"/>
            <w:noWrap w:val="0"/>
            <w:vAlign w:val="center"/>
          </w:tcPr>
          <w:p w14:paraId="700D853F">
            <w:pPr>
              <w:snapToGrid w:val="0"/>
              <w:jc w:val="center"/>
              <w:rPr>
                <w:rFonts w:hint="eastAsia" w:ascii="宋体" w:hAnsi="宋体" w:eastAsia="宋体" w:cs="宋体"/>
                <w:color w:val="auto"/>
                <w:sz w:val="28"/>
                <w:szCs w:val="28"/>
                <w:highlight w:val="none"/>
              </w:rPr>
            </w:pPr>
          </w:p>
        </w:tc>
        <w:tc>
          <w:tcPr>
            <w:tcW w:w="1560" w:type="dxa"/>
            <w:noWrap w:val="0"/>
            <w:vAlign w:val="center"/>
          </w:tcPr>
          <w:p w14:paraId="68E42F9B">
            <w:pPr>
              <w:snapToGrid w:val="0"/>
              <w:jc w:val="center"/>
              <w:rPr>
                <w:rFonts w:hint="eastAsia" w:ascii="宋体" w:hAnsi="宋体" w:eastAsia="宋体" w:cs="宋体"/>
                <w:color w:val="auto"/>
                <w:sz w:val="28"/>
                <w:szCs w:val="28"/>
                <w:highlight w:val="none"/>
              </w:rPr>
            </w:pPr>
          </w:p>
        </w:tc>
        <w:tc>
          <w:tcPr>
            <w:tcW w:w="1517" w:type="dxa"/>
            <w:noWrap w:val="0"/>
            <w:vAlign w:val="center"/>
          </w:tcPr>
          <w:p w14:paraId="082E9B68">
            <w:pPr>
              <w:snapToGrid w:val="0"/>
              <w:jc w:val="center"/>
              <w:rPr>
                <w:rFonts w:hint="eastAsia" w:ascii="宋体" w:hAnsi="宋体" w:eastAsia="宋体" w:cs="宋体"/>
                <w:color w:val="auto"/>
                <w:sz w:val="28"/>
                <w:szCs w:val="28"/>
                <w:highlight w:val="none"/>
              </w:rPr>
            </w:pPr>
          </w:p>
        </w:tc>
        <w:tc>
          <w:tcPr>
            <w:tcW w:w="1517" w:type="dxa"/>
            <w:noWrap w:val="0"/>
            <w:vAlign w:val="center"/>
          </w:tcPr>
          <w:p w14:paraId="67ED4F9B">
            <w:pPr>
              <w:snapToGrid w:val="0"/>
              <w:jc w:val="center"/>
              <w:rPr>
                <w:rFonts w:hint="eastAsia" w:ascii="宋体" w:hAnsi="宋体" w:eastAsia="宋体" w:cs="宋体"/>
                <w:color w:val="auto"/>
                <w:sz w:val="28"/>
                <w:szCs w:val="28"/>
                <w:highlight w:val="none"/>
              </w:rPr>
            </w:pPr>
          </w:p>
        </w:tc>
      </w:tr>
      <w:tr w14:paraId="0CB4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27" w:type="dxa"/>
            <w:noWrap w:val="0"/>
            <w:vAlign w:val="center"/>
          </w:tcPr>
          <w:p w14:paraId="136957EB">
            <w:pPr>
              <w:snapToGrid w:val="0"/>
              <w:jc w:val="center"/>
              <w:rPr>
                <w:rFonts w:hint="eastAsia" w:ascii="宋体" w:hAnsi="宋体" w:eastAsia="宋体" w:cs="宋体"/>
                <w:color w:val="auto"/>
                <w:sz w:val="28"/>
                <w:szCs w:val="28"/>
                <w:highlight w:val="none"/>
              </w:rPr>
            </w:pPr>
          </w:p>
        </w:tc>
        <w:tc>
          <w:tcPr>
            <w:tcW w:w="1634" w:type="dxa"/>
            <w:noWrap w:val="0"/>
            <w:vAlign w:val="center"/>
          </w:tcPr>
          <w:p w14:paraId="408AD256">
            <w:pPr>
              <w:snapToGrid w:val="0"/>
              <w:jc w:val="center"/>
              <w:rPr>
                <w:rFonts w:hint="eastAsia" w:ascii="宋体" w:hAnsi="宋体" w:eastAsia="宋体" w:cs="宋体"/>
                <w:color w:val="auto"/>
                <w:sz w:val="28"/>
                <w:szCs w:val="28"/>
                <w:highlight w:val="none"/>
              </w:rPr>
            </w:pPr>
          </w:p>
        </w:tc>
        <w:tc>
          <w:tcPr>
            <w:tcW w:w="2321" w:type="dxa"/>
            <w:noWrap w:val="0"/>
            <w:vAlign w:val="center"/>
          </w:tcPr>
          <w:p w14:paraId="61A28699">
            <w:pPr>
              <w:snapToGrid w:val="0"/>
              <w:jc w:val="center"/>
              <w:rPr>
                <w:rFonts w:hint="eastAsia" w:ascii="宋体" w:hAnsi="宋体" w:eastAsia="宋体" w:cs="宋体"/>
                <w:color w:val="auto"/>
                <w:sz w:val="28"/>
                <w:szCs w:val="28"/>
                <w:highlight w:val="none"/>
              </w:rPr>
            </w:pPr>
          </w:p>
        </w:tc>
        <w:tc>
          <w:tcPr>
            <w:tcW w:w="1560" w:type="dxa"/>
            <w:noWrap w:val="0"/>
            <w:vAlign w:val="center"/>
          </w:tcPr>
          <w:p w14:paraId="3B3A52EB">
            <w:pPr>
              <w:snapToGrid w:val="0"/>
              <w:jc w:val="center"/>
              <w:rPr>
                <w:rFonts w:hint="eastAsia" w:ascii="宋体" w:hAnsi="宋体" w:eastAsia="宋体" w:cs="宋体"/>
                <w:color w:val="auto"/>
                <w:sz w:val="28"/>
                <w:szCs w:val="28"/>
                <w:highlight w:val="none"/>
              </w:rPr>
            </w:pPr>
          </w:p>
        </w:tc>
        <w:tc>
          <w:tcPr>
            <w:tcW w:w="1517" w:type="dxa"/>
            <w:noWrap w:val="0"/>
            <w:vAlign w:val="center"/>
          </w:tcPr>
          <w:p w14:paraId="63E5A465">
            <w:pPr>
              <w:snapToGrid w:val="0"/>
              <w:jc w:val="center"/>
              <w:rPr>
                <w:rFonts w:hint="eastAsia" w:ascii="宋体" w:hAnsi="宋体" w:eastAsia="宋体" w:cs="宋体"/>
                <w:color w:val="auto"/>
                <w:sz w:val="28"/>
                <w:szCs w:val="28"/>
                <w:highlight w:val="none"/>
              </w:rPr>
            </w:pPr>
          </w:p>
        </w:tc>
        <w:tc>
          <w:tcPr>
            <w:tcW w:w="1517" w:type="dxa"/>
            <w:noWrap w:val="0"/>
            <w:vAlign w:val="center"/>
          </w:tcPr>
          <w:p w14:paraId="30E8D781">
            <w:pPr>
              <w:snapToGrid w:val="0"/>
              <w:jc w:val="center"/>
              <w:rPr>
                <w:rFonts w:hint="eastAsia" w:ascii="宋体" w:hAnsi="宋体" w:eastAsia="宋体" w:cs="宋体"/>
                <w:color w:val="auto"/>
                <w:sz w:val="28"/>
                <w:szCs w:val="28"/>
                <w:highlight w:val="none"/>
              </w:rPr>
            </w:pPr>
          </w:p>
        </w:tc>
      </w:tr>
      <w:tr w14:paraId="603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627" w:type="dxa"/>
            <w:noWrap w:val="0"/>
            <w:vAlign w:val="center"/>
          </w:tcPr>
          <w:p w14:paraId="520B3F6F">
            <w:pPr>
              <w:snapToGrid w:val="0"/>
              <w:jc w:val="center"/>
              <w:rPr>
                <w:rFonts w:hint="eastAsia" w:ascii="宋体" w:hAnsi="宋体" w:eastAsia="宋体" w:cs="宋体"/>
                <w:color w:val="auto"/>
                <w:sz w:val="28"/>
                <w:szCs w:val="28"/>
                <w:highlight w:val="none"/>
              </w:rPr>
            </w:pPr>
          </w:p>
        </w:tc>
        <w:tc>
          <w:tcPr>
            <w:tcW w:w="1634" w:type="dxa"/>
            <w:noWrap w:val="0"/>
            <w:vAlign w:val="center"/>
          </w:tcPr>
          <w:p w14:paraId="0B1CAD14">
            <w:pPr>
              <w:snapToGrid w:val="0"/>
              <w:jc w:val="center"/>
              <w:rPr>
                <w:rFonts w:hint="eastAsia" w:ascii="宋体" w:hAnsi="宋体" w:eastAsia="宋体" w:cs="宋体"/>
                <w:color w:val="auto"/>
                <w:sz w:val="28"/>
                <w:szCs w:val="28"/>
                <w:highlight w:val="none"/>
              </w:rPr>
            </w:pPr>
          </w:p>
        </w:tc>
        <w:tc>
          <w:tcPr>
            <w:tcW w:w="2321" w:type="dxa"/>
            <w:noWrap w:val="0"/>
            <w:vAlign w:val="center"/>
          </w:tcPr>
          <w:p w14:paraId="060F58DD">
            <w:pPr>
              <w:snapToGrid w:val="0"/>
              <w:jc w:val="center"/>
              <w:rPr>
                <w:rFonts w:hint="eastAsia" w:ascii="宋体" w:hAnsi="宋体" w:eastAsia="宋体" w:cs="宋体"/>
                <w:color w:val="auto"/>
                <w:sz w:val="28"/>
                <w:szCs w:val="28"/>
                <w:highlight w:val="none"/>
              </w:rPr>
            </w:pPr>
          </w:p>
        </w:tc>
        <w:tc>
          <w:tcPr>
            <w:tcW w:w="1560" w:type="dxa"/>
            <w:noWrap w:val="0"/>
            <w:vAlign w:val="center"/>
          </w:tcPr>
          <w:p w14:paraId="29A1DD9C">
            <w:pPr>
              <w:snapToGrid w:val="0"/>
              <w:jc w:val="center"/>
              <w:rPr>
                <w:rFonts w:hint="eastAsia" w:ascii="宋体" w:hAnsi="宋体" w:eastAsia="宋体" w:cs="宋体"/>
                <w:color w:val="auto"/>
                <w:sz w:val="28"/>
                <w:szCs w:val="28"/>
                <w:highlight w:val="none"/>
              </w:rPr>
            </w:pPr>
          </w:p>
        </w:tc>
        <w:tc>
          <w:tcPr>
            <w:tcW w:w="1517" w:type="dxa"/>
            <w:noWrap w:val="0"/>
            <w:vAlign w:val="center"/>
          </w:tcPr>
          <w:p w14:paraId="7E6B9BAF">
            <w:pPr>
              <w:snapToGrid w:val="0"/>
              <w:jc w:val="center"/>
              <w:rPr>
                <w:rFonts w:hint="eastAsia" w:ascii="宋体" w:hAnsi="宋体" w:eastAsia="宋体" w:cs="宋体"/>
                <w:color w:val="auto"/>
                <w:sz w:val="28"/>
                <w:szCs w:val="28"/>
                <w:highlight w:val="none"/>
              </w:rPr>
            </w:pPr>
          </w:p>
        </w:tc>
        <w:tc>
          <w:tcPr>
            <w:tcW w:w="1517" w:type="dxa"/>
            <w:noWrap w:val="0"/>
            <w:vAlign w:val="center"/>
          </w:tcPr>
          <w:p w14:paraId="4A59CAB1">
            <w:pPr>
              <w:snapToGrid w:val="0"/>
              <w:jc w:val="center"/>
              <w:rPr>
                <w:rFonts w:hint="eastAsia" w:ascii="宋体" w:hAnsi="宋体" w:eastAsia="宋体" w:cs="宋体"/>
                <w:color w:val="auto"/>
                <w:sz w:val="28"/>
                <w:szCs w:val="28"/>
                <w:highlight w:val="none"/>
              </w:rPr>
            </w:pPr>
          </w:p>
        </w:tc>
      </w:tr>
    </w:tbl>
    <w:p w14:paraId="52E5FF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注：检测设备要求：</w:t>
      </w:r>
      <w:r>
        <w:rPr>
          <w:rFonts w:hint="eastAsia" w:ascii="宋体" w:hAnsi="宋体" w:eastAsia="宋体" w:cs="宋体"/>
          <w:color w:val="auto"/>
          <w:sz w:val="21"/>
          <w:highlight w:val="none"/>
        </w:rPr>
        <w:t>若为自有，需提供检测仪器设备的检定证书、发票的原件清晰扫描件并加盖电子印章，若为租赁，则需提供租赁合同原件清晰扫描件并加盖电子印章。</w:t>
      </w:r>
    </w:p>
    <w:p w14:paraId="3255E2FF">
      <w:pPr>
        <w:spacing w:after="0" w:line="400" w:lineRule="exact"/>
        <w:rPr>
          <w:rFonts w:hint="eastAsia" w:ascii="宋体" w:hAnsi="宋体" w:eastAsia="宋体" w:cs="宋体"/>
          <w:color w:val="auto"/>
          <w:sz w:val="21"/>
          <w:szCs w:val="21"/>
          <w:highlight w:val="none"/>
        </w:rPr>
      </w:pPr>
    </w:p>
    <w:p w14:paraId="58C2AB8D">
      <w:pPr>
        <w:ind w:firstLine="440" w:firstLineChars="200"/>
        <w:rPr>
          <w:rFonts w:hint="eastAsia"/>
          <w:color w:val="auto"/>
          <w:highlight w:val="none"/>
        </w:rPr>
      </w:pPr>
    </w:p>
    <w:p w14:paraId="170A055B">
      <w:pPr>
        <w:rPr>
          <w:highlight w:val="none"/>
        </w:rPr>
      </w:pPr>
    </w:p>
    <w:sectPr>
      <w:footerReference r:id="rId6" w:type="default"/>
      <w:pgSz w:w="11850" w:h="16783"/>
      <w:pgMar w:top="1190" w:right="720" w:bottom="720" w:left="72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DD1D">
    <w:pPr>
      <w:spacing w:after="0"/>
      <w:ind w:lef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E5EDB">
                          <w:pPr>
                            <w:pStyle w:val="2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76E5EDB">
                    <w:pPr>
                      <w:pStyle w:val="25"/>
                    </w:pPr>
                    <w:r>
                      <w:fldChar w:fldCharType="begin"/>
                    </w:r>
                    <w:r>
                      <w:instrText xml:space="preserve"> PAGE  \* MERGEFORMAT </w:instrText>
                    </w:r>
                    <w:r>
                      <w:fldChar w:fldCharType="separate"/>
                    </w:r>
                    <w:r>
                      <w:t>37</w:t>
                    </w:r>
                    <w:r>
                      <w:fldChar w:fldCharType="end"/>
                    </w:r>
                  </w:p>
                </w:txbxContent>
              </v:textbox>
            </v:shap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1489">
    <w:pPr>
      <w:spacing w:after="0"/>
      <w:ind w:lef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421C5">
                          <w:pPr>
                            <w:pStyle w:val="25"/>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D0421C5">
                    <w:pPr>
                      <w:pStyle w:val="25"/>
                    </w:pPr>
                    <w:r>
                      <w:fldChar w:fldCharType="begin"/>
                    </w:r>
                    <w:r>
                      <w:instrText xml:space="preserve"> PAGE  \* MERGEFORMAT </w:instrText>
                    </w:r>
                    <w:r>
                      <w:fldChar w:fldCharType="separate"/>
                    </w:r>
                    <w:r>
                      <w:t>62</w:t>
                    </w:r>
                    <w:r>
                      <w:fldChar w:fldCharType="end"/>
                    </w:r>
                  </w:p>
                </w:txbxContent>
              </v:textbox>
            </v:shape>
          </w:pict>
        </mc:Fallback>
      </mc:AlternateContent>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E50AE"/>
    <w:multiLevelType w:val="multilevel"/>
    <w:tmpl w:val="0BAE50AE"/>
    <w:lvl w:ilvl="0" w:tentative="0">
      <w:start w:val="6"/>
      <w:numFmt w:val="ideographDigital"/>
      <w:lvlText w:val="%1、"/>
      <w:lvlJc w:val="left"/>
      <w:pPr>
        <w:ind w:left="898"/>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55"/>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75"/>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95"/>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715"/>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435"/>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55"/>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75"/>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95"/>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
    <w:nsid w:val="0D8B3914"/>
    <w:multiLevelType w:val="multilevel"/>
    <w:tmpl w:val="0D8B3914"/>
    <w:lvl w:ilvl="0" w:tentative="0">
      <w:start w:val="9"/>
      <w:numFmt w:val="japaneseCounting"/>
      <w:lvlText w:val="%1、"/>
      <w:lvlJc w:val="left"/>
      <w:pPr>
        <w:ind w:left="1134"/>
      </w:pPr>
      <w:rPr>
        <w:rFonts w:ascii="宋体" w:hAnsi="宋体" w:eastAsia="宋体" w:cs="宋体"/>
        <w:b w:val="0"/>
        <w:i w:val="0"/>
        <w:strike w:val="0"/>
        <w:dstrike w:val="0"/>
        <w:color w:val="000000"/>
        <w:sz w:val="21"/>
        <w:szCs w:val="21"/>
        <w:u w:val="none" w:color="000000"/>
        <w:shd w:val="clear" w:color="auto" w:fill="auto"/>
        <w:vertAlign w:val="baseline"/>
        <w:lang w:val="en-US"/>
      </w:rPr>
    </w:lvl>
    <w:lvl w:ilvl="1" w:tentative="0">
      <w:start w:val="1"/>
      <w:numFmt w:val="lowerLetter"/>
      <w:lvlText w:val="%2"/>
      <w:lvlJc w:val="left"/>
      <w:pPr>
        <w:ind w:left="1791"/>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11"/>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31"/>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51"/>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71"/>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391"/>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11"/>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31"/>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0FFF6469"/>
    <w:multiLevelType w:val="multilevel"/>
    <w:tmpl w:val="0FFF6469"/>
    <w:lvl w:ilvl="0" w:tentative="0">
      <w:start w:val="1"/>
      <w:numFmt w:val="decimal"/>
      <w:lvlText w:val="（%1）"/>
      <w:lvlJc w:val="left"/>
      <w:pPr>
        <w:ind w:left="718"/>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798"/>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18"/>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38"/>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58"/>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78"/>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398"/>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18"/>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38"/>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37E0610"/>
    <w:multiLevelType w:val="multilevel"/>
    <w:tmpl w:val="137E0610"/>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1A8A65DF"/>
    <w:multiLevelType w:val="multilevel"/>
    <w:tmpl w:val="1A8A65DF"/>
    <w:lvl w:ilvl="0" w:tentative="0">
      <w:start w:val="1"/>
      <w:numFmt w:val="decimal"/>
      <w:lvlText w:val="（%1）"/>
      <w:lvlJc w:val="left"/>
      <w:pPr>
        <w:ind w:left="20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1F1F2196"/>
    <w:multiLevelType w:val="multilevel"/>
    <w:tmpl w:val="1F1F2196"/>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364C2F52"/>
    <w:multiLevelType w:val="multilevel"/>
    <w:tmpl w:val="364C2F52"/>
    <w:lvl w:ilvl="0" w:tentative="0">
      <w:start w:val="1"/>
      <w:numFmt w:val="decimal"/>
      <w:lvlText w:val="（%1）"/>
      <w:lvlJc w:val="left"/>
      <w:pPr>
        <w:ind w:left="20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7">
    <w:nsid w:val="3F393EE7"/>
    <w:multiLevelType w:val="multilevel"/>
    <w:tmpl w:val="3F393EE7"/>
    <w:lvl w:ilvl="0" w:tentative="0">
      <w:start w:val="1"/>
      <w:numFmt w:val="decimal"/>
      <w:lvlText w:val="（%1）"/>
      <w:lvlJc w:val="left"/>
      <w:pPr>
        <w:ind w:left="314"/>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8">
    <w:nsid w:val="5AD61D25"/>
    <w:multiLevelType w:val="multilevel"/>
    <w:tmpl w:val="5AD61D25"/>
    <w:lvl w:ilvl="0" w:tentative="0">
      <w:start w:val="1"/>
      <w:numFmt w:val="decimal"/>
      <w:lvlText w:val="（%1）"/>
      <w:lvlJc w:val="left"/>
      <w:pPr>
        <w:ind w:left="993"/>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9">
    <w:nsid w:val="6A9528AD"/>
    <w:multiLevelType w:val="multilevel"/>
    <w:tmpl w:val="6A9528AD"/>
    <w:lvl w:ilvl="0" w:tentative="0">
      <w:start w:val="3"/>
      <w:numFmt w:val="decimal"/>
      <w:pStyle w:val="104"/>
      <w:lvlText w:val="（%1）"/>
      <w:lvlJc w:val="left"/>
      <w:pPr>
        <w:ind w:left="84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0">
    <w:nsid w:val="6DB226D1"/>
    <w:multiLevelType w:val="multilevel"/>
    <w:tmpl w:val="6DB226D1"/>
    <w:lvl w:ilvl="0" w:tentative="0">
      <w:start w:val="2"/>
      <w:numFmt w:val="ideographDigital"/>
      <w:lvlText w:val="%1、"/>
      <w:lvlJc w:val="left"/>
      <w:pPr>
        <w:ind w:left="898"/>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55"/>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75"/>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95"/>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715"/>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435"/>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55"/>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75"/>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95"/>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1">
    <w:nsid w:val="70C63477"/>
    <w:multiLevelType w:val="multilevel"/>
    <w:tmpl w:val="70C63477"/>
    <w:lvl w:ilvl="0" w:tentative="0">
      <w:start w:val="1"/>
      <w:numFmt w:val="decimal"/>
      <w:lvlText w:val="（%1）"/>
      <w:lvlJc w:val="left"/>
      <w:pPr>
        <w:ind w:left="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2">
    <w:nsid w:val="72DF1664"/>
    <w:multiLevelType w:val="multilevel"/>
    <w:tmpl w:val="72DF1664"/>
    <w:lvl w:ilvl="0" w:tentative="0">
      <w:start w:val="1"/>
      <w:numFmt w:val="decimal"/>
      <w:lvlText w:val="（%1）"/>
      <w:lvlJc w:val="left"/>
      <w:pPr>
        <w:ind w:left="709"/>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9"/>
  </w:num>
  <w:num w:numId="2">
    <w:abstractNumId w:val="11"/>
  </w:num>
  <w:num w:numId="3">
    <w:abstractNumId w:val="5"/>
  </w:num>
  <w:num w:numId="4">
    <w:abstractNumId w:val="7"/>
  </w:num>
  <w:num w:numId="5">
    <w:abstractNumId w:val="2"/>
  </w:num>
  <w:num w:numId="6">
    <w:abstractNumId w:val="8"/>
  </w:num>
  <w:num w:numId="7">
    <w:abstractNumId w:val="3"/>
  </w:num>
  <w:num w:numId="8">
    <w:abstractNumId w:val="4"/>
  </w:num>
  <w:num w:numId="9">
    <w:abstractNumId w:val="6"/>
  </w:num>
  <w:num w:numId="10">
    <w:abstractNumId w:val="12"/>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TQ2YzRhYmMyZjYyMmYwMjA1NjY5NDAzOThhYTkifQ=="/>
  </w:docVars>
  <w:rsids>
    <w:rsidRoot w:val="008B690E"/>
    <w:rsid w:val="00005912"/>
    <w:rsid w:val="000103DE"/>
    <w:rsid w:val="0002022A"/>
    <w:rsid w:val="00020813"/>
    <w:rsid w:val="00021E77"/>
    <w:rsid w:val="00024536"/>
    <w:rsid w:val="00025DB0"/>
    <w:rsid w:val="00027A01"/>
    <w:rsid w:val="00037291"/>
    <w:rsid w:val="000407E5"/>
    <w:rsid w:val="00056717"/>
    <w:rsid w:val="000573B5"/>
    <w:rsid w:val="00061894"/>
    <w:rsid w:val="00061A7C"/>
    <w:rsid w:val="00066FAE"/>
    <w:rsid w:val="00067E2A"/>
    <w:rsid w:val="00074279"/>
    <w:rsid w:val="00074A54"/>
    <w:rsid w:val="00074DBF"/>
    <w:rsid w:val="00076250"/>
    <w:rsid w:val="000816D8"/>
    <w:rsid w:val="000867DA"/>
    <w:rsid w:val="000A11D8"/>
    <w:rsid w:val="000A2CA3"/>
    <w:rsid w:val="000A6101"/>
    <w:rsid w:val="000B1FAD"/>
    <w:rsid w:val="000B3CB5"/>
    <w:rsid w:val="000B60B6"/>
    <w:rsid w:val="000C2317"/>
    <w:rsid w:val="000D19D4"/>
    <w:rsid w:val="000D4056"/>
    <w:rsid w:val="000E03FF"/>
    <w:rsid w:val="000E0851"/>
    <w:rsid w:val="000E144A"/>
    <w:rsid w:val="000E2A91"/>
    <w:rsid w:val="000E68DF"/>
    <w:rsid w:val="000F08A7"/>
    <w:rsid w:val="000F2E10"/>
    <w:rsid w:val="000F552E"/>
    <w:rsid w:val="000F60F6"/>
    <w:rsid w:val="000F664B"/>
    <w:rsid w:val="000F6B2E"/>
    <w:rsid w:val="00101BBD"/>
    <w:rsid w:val="0011465B"/>
    <w:rsid w:val="00114A1A"/>
    <w:rsid w:val="00116DD9"/>
    <w:rsid w:val="00120844"/>
    <w:rsid w:val="00120F40"/>
    <w:rsid w:val="00122FEC"/>
    <w:rsid w:val="00123942"/>
    <w:rsid w:val="001303DA"/>
    <w:rsid w:val="00134DF6"/>
    <w:rsid w:val="00135B10"/>
    <w:rsid w:val="001377AF"/>
    <w:rsid w:val="001377DB"/>
    <w:rsid w:val="00140529"/>
    <w:rsid w:val="00143B4F"/>
    <w:rsid w:val="001516F6"/>
    <w:rsid w:val="00152FD0"/>
    <w:rsid w:val="00157415"/>
    <w:rsid w:val="00157EB6"/>
    <w:rsid w:val="0016200C"/>
    <w:rsid w:val="0017182C"/>
    <w:rsid w:val="001763CB"/>
    <w:rsid w:val="00176720"/>
    <w:rsid w:val="00176769"/>
    <w:rsid w:val="00181262"/>
    <w:rsid w:val="00195D98"/>
    <w:rsid w:val="001A29DA"/>
    <w:rsid w:val="001A6C7B"/>
    <w:rsid w:val="001B1C19"/>
    <w:rsid w:val="001B4E7D"/>
    <w:rsid w:val="001D7A30"/>
    <w:rsid w:val="001E712C"/>
    <w:rsid w:val="001E7366"/>
    <w:rsid w:val="001F5079"/>
    <w:rsid w:val="00201586"/>
    <w:rsid w:val="00203ACA"/>
    <w:rsid w:val="0020434D"/>
    <w:rsid w:val="002078EC"/>
    <w:rsid w:val="0021063F"/>
    <w:rsid w:val="002142F4"/>
    <w:rsid w:val="00217B8F"/>
    <w:rsid w:val="00220099"/>
    <w:rsid w:val="00220179"/>
    <w:rsid w:val="002238B9"/>
    <w:rsid w:val="002267AF"/>
    <w:rsid w:val="00230F61"/>
    <w:rsid w:val="002314AA"/>
    <w:rsid w:val="00231BD2"/>
    <w:rsid w:val="002326FB"/>
    <w:rsid w:val="00242877"/>
    <w:rsid w:val="00242939"/>
    <w:rsid w:val="002461B8"/>
    <w:rsid w:val="002466E5"/>
    <w:rsid w:val="00255F8E"/>
    <w:rsid w:val="00256CAB"/>
    <w:rsid w:val="0025731D"/>
    <w:rsid w:val="00266080"/>
    <w:rsid w:val="00266555"/>
    <w:rsid w:val="00281485"/>
    <w:rsid w:val="00281639"/>
    <w:rsid w:val="00283D31"/>
    <w:rsid w:val="00295EBA"/>
    <w:rsid w:val="002965FC"/>
    <w:rsid w:val="00297EB5"/>
    <w:rsid w:val="002A43A3"/>
    <w:rsid w:val="002B0FCB"/>
    <w:rsid w:val="002B52D3"/>
    <w:rsid w:val="002C0142"/>
    <w:rsid w:val="002C0742"/>
    <w:rsid w:val="002C3088"/>
    <w:rsid w:val="002C48CB"/>
    <w:rsid w:val="002C7301"/>
    <w:rsid w:val="002D1165"/>
    <w:rsid w:val="002D4424"/>
    <w:rsid w:val="002D6C08"/>
    <w:rsid w:val="002D7E5D"/>
    <w:rsid w:val="002E07F0"/>
    <w:rsid w:val="002E3B39"/>
    <w:rsid w:val="002E61FD"/>
    <w:rsid w:val="003044D4"/>
    <w:rsid w:val="00305598"/>
    <w:rsid w:val="003102E4"/>
    <w:rsid w:val="00310610"/>
    <w:rsid w:val="00320FF4"/>
    <w:rsid w:val="0032133A"/>
    <w:rsid w:val="003216F4"/>
    <w:rsid w:val="00324AF9"/>
    <w:rsid w:val="00326669"/>
    <w:rsid w:val="00326F17"/>
    <w:rsid w:val="00333FB0"/>
    <w:rsid w:val="0033765A"/>
    <w:rsid w:val="003409AE"/>
    <w:rsid w:val="00341D7C"/>
    <w:rsid w:val="00341D80"/>
    <w:rsid w:val="00347CE7"/>
    <w:rsid w:val="00353027"/>
    <w:rsid w:val="0035436A"/>
    <w:rsid w:val="003661E4"/>
    <w:rsid w:val="00366DC8"/>
    <w:rsid w:val="00386656"/>
    <w:rsid w:val="00391536"/>
    <w:rsid w:val="0039305B"/>
    <w:rsid w:val="0039389E"/>
    <w:rsid w:val="00395A26"/>
    <w:rsid w:val="00395D5E"/>
    <w:rsid w:val="003A676B"/>
    <w:rsid w:val="003B11BC"/>
    <w:rsid w:val="003B2126"/>
    <w:rsid w:val="003B2532"/>
    <w:rsid w:val="003B66CC"/>
    <w:rsid w:val="003B7FCB"/>
    <w:rsid w:val="003C28F1"/>
    <w:rsid w:val="003C2FC9"/>
    <w:rsid w:val="003C5BE0"/>
    <w:rsid w:val="003D027F"/>
    <w:rsid w:val="003D38F0"/>
    <w:rsid w:val="003D7373"/>
    <w:rsid w:val="003E1216"/>
    <w:rsid w:val="003E6BA6"/>
    <w:rsid w:val="003F18DB"/>
    <w:rsid w:val="003F2A24"/>
    <w:rsid w:val="003F3EC9"/>
    <w:rsid w:val="00403A56"/>
    <w:rsid w:val="00404598"/>
    <w:rsid w:val="00412EBF"/>
    <w:rsid w:val="0041762B"/>
    <w:rsid w:val="004224B6"/>
    <w:rsid w:val="00422722"/>
    <w:rsid w:val="0042656A"/>
    <w:rsid w:val="00432195"/>
    <w:rsid w:val="004369DD"/>
    <w:rsid w:val="004401CB"/>
    <w:rsid w:val="00443D0C"/>
    <w:rsid w:val="0045216A"/>
    <w:rsid w:val="00455590"/>
    <w:rsid w:val="004675F4"/>
    <w:rsid w:val="00473FF4"/>
    <w:rsid w:val="004806D8"/>
    <w:rsid w:val="00482F24"/>
    <w:rsid w:val="00492F24"/>
    <w:rsid w:val="004A7F55"/>
    <w:rsid w:val="004B17A5"/>
    <w:rsid w:val="004B32B4"/>
    <w:rsid w:val="004B6FE8"/>
    <w:rsid w:val="004C208E"/>
    <w:rsid w:val="004C37C4"/>
    <w:rsid w:val="004C4335"/>
    <w:rsid w:val="004C7ABA"/>
    <w:rsid w:val="004C7EC4"/>
    <w:rsid w:val="004D057D"/>
    <w:rsid w:val="004D4DF6"/>
    <w:rsid w:val="004D518B"/>
    <w:rsid w:val="004D6CE0"/>
    <w:rsid w:val="004E01A8"/>
    <w:rsid w:val="004E16B8"/>
    <w:rsid w:val="004E220D"/>
    <w:rsid w:val="004E2789"/>
    <w:rsid w:val="004E326C"/>
    <w:rsid w:val="004E413F"/>
    <w:rsid w:val="004E4F70"/>
    <w:rsid w:val="004E6316"/>
    <w:rsid w:val="004F01B5"/>
    <w:rsid w:val="004F1580"/>
    <w:rsid w:val="004F59DF"/>
    <w:rsid w:val="004F5AB6"/>
    <w:rsid w:val="004F5EAB"/>
    <w:rsid w:val="00512CA6"/>
    <w:rsid w:val="00515DEC"/>
    <w:rsid w:val="0051712E"/>
    <w:rsid w:val="00520F6D"/>
    <w:rsid w:val="00521DD0"/>
    <w:rsid w:val="00521F87"/>
    <w:rsid w:val="005252D6"/>
    <w:rsid w:val="005258BA"/>
    <w:rsid w:val="0052718A"/>
    <w:rsid w:val="00530E43"/>
    <w:rsid w:val="0053433E"/>
    <w:rsid w:val="0054238A"/>
    <w:rsid w:val="00543252"/>
    <w:rsid w:val="00543B4C"/>
    <w:rsid w:val="00543E39"/>
    <w:rsid w:val="00556652"/>
    <w:rsid w:val="00557DB0"/>
    <w:rsid w:val="00561635"/>
    <w:rsid w:val="00563FEE"/>
    <w:rsid w:val="00570323"/>
    <w:rsid w:val="005815EE"/>
    <w:rsid w:val="0058346B"/>
    <w:rsid w:val="00587109"/>
    <w:rsid w:val="00587C82"/>
    <w:rsid w:val="00590049"/>
    <w:rsid w:val="00590CFA"/>
    <w:rsid w:val="00592F53"/>
    <w:rsid w:val="005A4533"/>
    <w:rsid w:val="005A4AB4"/>
    <w:rsid w:val="005A55E2"/>
    <w:rsid w:val="005A6397"/>
    <w:rsid w:val="005A7DD7"/>
    <w:rsid w:val="005B13DE"/>
    <w:rsid w:val="005B2A5D"/>
    <w:rsid w:val="005B4624"/>
    <w:rsid w:val="005B7B94"/>
    <w:rsid w:val="005C0FE2"/>
    <w:rsid w:val="005D50C3"/>
    <w:rsid w:val="005E53C8"/>
    <w:rsid w:val="005E5B51"/>
    <w:rsid w:val="005F241B"/>
    <w:rsid w:val="005F3C23"/>
    <w:rsid w:val="005F4843"/>
    <w:rsid w:val="005F538E"/>
    <w:rsid w:val="005F6AFD"/>
    <w:rsid w:val="00601B40"/>
    <w:rsid w:val="00602FDD"/>
    <w:rsid w:val="006068A8"/>
    <w:rsid w:val="00613AEE"/>
    <w:rsid w:val="006155D6"/>
    <w:rsid w:val="00616675"/>
    <w:rsid w:val="00616ABA"/>
    <w:rsid w:val="00617CDD"/>
    <w:rsid w:val="006248F1"/>
    <w:rsid w:val="00627089"/>
    <w:rsid w:val="00631F64"/>
    <w:rsid w:val="006321E3"/>
    <w:rsid w:val="00637902"/>
    <w:rsid w:val="006424B5"/>
    <w:rsid w:val="00644FEB"/>
    <w:rsid w:val="006469D9"/>
    <w:rsid w:val="00646D6C"/>
    <w:rsid w:val="00651D32"/>
    <w:rsid w:val="0065537E"/>
    <w:rsid w:val="00657D13"/>
    <w:rsid w:val="00661F3B"/>
    <w:rsid w:val="00670F9A"/>
    <w:rsid w:val="00683CAB"/>
    <w:rsid w:val="00686899"/>
    <w:rsid w:val="00687BCB"/>
    <w:rsid w:val="006911F9"/>
    <w:rsid w:val="00693FE5"/>
    <w:rsid w:val="006A7679"/>
    <w:rsid w:val="006B04EB"/>
    <w:rsid w:val="006B1584"/>
    <w:rsid w:val="006B3A86"/>
    <w:rsid w:val="006C5361"/>
    <w:rsid w:val="006C5F63"/>
    <w:rsid w:val="006C6C5A"/>
    <w:rsid w:val="006D10C9"/>
    <w:rsid w:val="006D3868"/>
    <w:rsid w:val="006D3ADA"/>
    <w:rsid w:val="006D59EC"/>
    <w:rsid w:val="006D7189"/>
    <w:rsid w:val="006E5863"/>
    <w:rsid w:val="006E5B24"/>
    <w:rsid w:val="006E63D3"/>
    <w:rsid w:val="006E731D"/>
    <w:rsid w:val="006F3809"/>
    <w:rsid w:val="007033E6"/>
    <w:rsid w:val="00703A8F"/>
    <w:rsid w:val="00705F49"/>
    <w:rsid w:val="00710A28"/>
    <w:rsid w:val="00713297"/>
    <w:rsid w:val="0071528F"/>
    <w:rsid w:val="00717215"/>
    <w:rsid w:val="0072063B"/>
    <w:rsid w:val="0072215A"/>
    <w:rsid w:val="0072452E"/>
    <w:rsid w:val="007339B3"/>
    <w:rsid w:val="00734B44"/>
    <w:rsid w:val="007357AC"/>
    <w:rsid w:val="00737230"/>
    <w:rsid w:val="0074450B"/>
    <w:rsid w:val="00750C34"/>
    <w:rsid w:val="00754B9C"/>
    <w:rsid w:val="00755220"/>
    <w:rsid w:val="00771DB5"/>
    <w:rsid w:val="007720F3"/>
    <w:rsid w:val="00773924"/>
    <w:rsid w:val="007764E6"/>
    <w:rsid w:val="00780963"/>
    <w:rsid w:val="00782C85"/>
    <w:rsid w:val="00782D5B"/>
    <w:rsid w:val="00786B0A"/>
    <w:rsid w:val="00787991"/>
    <w:rsid w:val="00791E7C"/>
    <w:rsid w:val="007A37F8"/>
    <w:rsid w:val="007A6198"/>
    <w:rsid w:val="007B2111"/>
    <w:rsid w:val="007B23F7"/>
    <w:rsid w:val="007C02D1"/>
    <w:rsid w:val="007C4B1E"/>
    <w:rsid w:val="007C56E8"/>
    <w:rsid w:val="007C598A"/>
    <w:rsid w:val="007C5E32"/>
    <w:rsid w:val="007D4015"/>
    <w:rsid w:val="007E3652"/>
    <w:rsid w:val="007E46F1"/>
    <w:rsid w:val="007E6658"/>
    <w:rsid w:val="007F41F6"/>
    <w:rsid w:val="007F7B87"/>
    <w:rsid w:val="0080124B"/>
    <w:rsid w:val="008018D9"/>
    <w:rsid w:val="00810934"/>
    <w:rsid w:val="00814457"/>
    <w:rsid w:val="008214A7"/>
    <w:rsid w:val="00823056"/>
    <w:rsid w:val="00825EAB"/>
    <w:rsid w:val="00826DFD"/>
    <w:rsid w:val="00832726"/>
    <w:rsid w:val="00837E80"/>
    <w:rsid w:val="00851035"/>
    <w:rsid w:val="0085588E"/>
    <w:rsid w:val="00857BD1"/>
    <w:rsid w:val="00857F27"/>
    <w:rsid w:val="008621BC"/>
    <w:rsid w:val="00862619"/>
    <w:rsid w:val="008664D4"/>
    <w:rsid w:val="00871567"/>
    <w:rsid w:val="00876B00"/>
    <w:rsid w:val="00880D03"/>
    <w:rsid w:val="008853E0"/>
    <w:rsid w:val="00887846"/>
    <w:rsid w:val="00890598"/>
    <w:rsid w:val="0089204E"/>
    <w:rsid w:val="008935F8"/>
    <w:rsid w:val="008959AF"/>
    <w:rsid w:val="00897B5F"/>
    <w:rsid w:val="008A1859"/>
    <w:rsid w:val="008A3615"/>
    <w:rsid w:val="008A38B3"/>
    <w:rsid w:val="008A45D5"/>
    <w:rsid w:val="008A6AD0"/>
    <w:rsid w:val="008B23FD"/>
    <w:rsid w:val="008B30D2"/>
    <w:rsid w:val="008B690E"/>
    <w:rsid w:val="008C3083"/>
    <w:rsid w:val="008C47DB"/>
    <w:rsid w:val="008C6F75"/>
    <w:rsid w:val="008D3E28"/>
    <w:rsid w:val="008E368A"/>
    <w:rsid w:val="008E5D02"/>
    <w:rsid w:val="008F5C1D"/>
    <w:rsid w:val="008F68BE"/>
    <w:rsid w:val="008F7FEB"/>
    <w:rsid w:val="00904287"/>
    <w:rsid w:val="0091134D"/>
    <w:rsid w:val="009125CA"/>
    <w:rsid w:val="009226B0"/>
    <w:rsid w:val="009269A3"/>
    <w:rsid w:val="00942C10"/>
    <w:rsid w:val="00942E7B"/>
    <w:rsid w:val="00944499"/>
    <w:rsid w:val="00945A1F"/>
    <w:rsid w:val="009503DA"/>
    <w:rsid w:val="00953436"/>
    <w:rsid w:val="009571EC"/>
    <w:rsid w:val="0096023D"/>
    <w:rsid w:val="00964FCE"/>
    <w:rsid w:val="0096650A"/>
    <w:rsid w:val="009737FE"/>
    <w:rsid w:val="00973F1D"/>
    <w:rsid w:val="00976FA2"/>
    <w:rsid w:val="009847D4"/>
    <w:rsid w:val="00987043"/>
    <w:rsid w:val="00991499"/>
    <w:rsid w:val="009928E9"/>
    <w:rsid w:val="00992BA0"/>
    <w:rsid w:val="00994E71"/>
    <w:rsid w:val="009967DA"/>
    <w:rsid w:val="009A1D1D"/>
    <w:rsid w:val="009A485B"/>
    <w:rsid w:val="009B7424"/>
    <w:rsid w:val="009C0E2C"/>
    <w:rsid w:val="009C1BA5"/>
    <w:rsid w:val="009C45B2"/>
    <w:rsid w:val="009C5BA0"/>
    <w:rsid w:val="009D19E2"/>
    <w:rsid w:val="009D37ED"/>
    <w:rsid w:val="009E1761"/>
    <w:rsid w:val="009E2976"/>
    <w:rsid w:val="009E3477"/>
    <w:rsid w:val="009E435F"/>
    <w:rsid w:val="00A004FF"/>
    <w:rsid w:val="00A11C11"/>
    <w:rsid w:val="00A140B4"/>
    <w:rsid w:val="00A16BE3"/>
    <w:rsid w:val="00A3404C"/>
    <w:rsid w:val="00A35E83"/>
    <w:rsid w:val="00A5484A"/>
    <w:rsid w:val="00A57BF7"/>
    <w:rsid w:val="00A71784"/>
    <w:rsid w:val="00A75B6E"/>
    <w:rsid w:val="00A75CE8"/>
    <w:rsid w:val="00AA0214"/>
    <w:rsid w:val="00AA23FB"/>
    <w:rsid w:val="00AA4B16"/>
    <w:rsid w:val="00AA5283"/>
    <w:rsid w:val="00AA67BE"/>
    <w:rsid w:val="00AA6BA7"/>
    <w:rsid w:val="00AB3AA9"/>
    <w:rsid w:val="00AB6247"/>
    <w:rsid w:val="00AC3119"/>
    <w:rsid w:val="00AC624F"/>
    <w:rsid w:val="00AC66CB"/>
    <w:rsid w:val="00AD3386"/>
    <w:rsid w:val="00AD4A0B"/>
    <w:rsid w:val="00AE2B47"/>
    <w:rsid w:val="00AE5E2D"/>
    <w:rsid w:val="00AE772E"/>
    <w:rsid w:val="00AF601C"/>
    <w:rsid w:val="00B04016"/>
    <w:rsid w:val="00B116DE"/>
    <w:rsid w:val="00B1170C"/>
    <w:rsid w:val="00B1255E"/>
    <w:rsid w:val="00B13A50"/>
    <w:rsid w:val="00B17C50"/>
    <w:rsid w:val="00B214FC"/>
    <w:rsid w:val="00B23703"/>
    <w:rsid w:val="00B241EB"/>
    <w:rsid w:val="00B44AD2"/>
    <w:rsid w:val="00B457ED"/>
    <w:rsid w:val="00B50A0A"/>
    <w:rsid w:val="00B52C41"/>
    <w:rsid w:val="00B53C6B"/>
    <w:rsid w:val="00B57FC1"/>
    <w:rsid w:val="00B60CCF"/>
    <w:rsid w:val="00B60F1F"/>
    <w:rsid w:val="00B611F7"/>
    <w:rsid w:val="00B70DA4"/>
    <w:rsid w:val="00B725AC"/>
    <w:rsid w:val="00B748A0"/>
    <w:rsid w:val="00B74C98"/>
    <w:rsid w:val="00B75231"/>
    <w:rsid w:val="00B75741"/>
    <w:rsid w:val="00B75AEF"/>
    <w:rsid w:val="00B762BB"/>
    <w:rsid w:val="00B76D2B"/>
    <w:rsid w:val="00B82499"/>
    <w:rsid w:val="00B82614"/>
    <w:rsid w:val="00B82B0D"/>
    <w:rsid w:val="00B83317"/>
    <w:rsid w:val="00B87FC0"/>
    <w:rsid w:val="00B930ED"/>
    <w:rsid w:val="00B971C8"/>
    <w:rsid w:val="00BA4442"/>
    <w:rsid w:val="00BA4B87"/>
    <w:rsid w:val="00BA667A"/>
    <w:rsid w:val="00BB173B"/>
    <w:rsid w:val="00BC2743"/>
    <w:rsid w:val="00BC34EA"/>
    <w:rsid w:val="00BC6419"/>
    <w:rsid w:val="00BD1D63"/>
    <w:rsid w:val="00BD502E"/>
    <w:rsid w:val="00BE2100"/>
    <w:rsid w:val="00BE57CA"/>
    <w:rsid w:val="00BE7C99"/>
    <w:rsid w:val="00C013E4"/>
    <w:rsid w:val="00C05B48"/>
    <w:rsid w:val="00C072A9"/>
    <w:rsid w:val="00C12F16"/>
    <w:rsid w:val="00C14912"/>
    <w:rsid w:val="00C21676"/>
    <w:rsid w:val="00C24D7C"/>
    <w:rsid w:val="00C269AC"/>
    <w:rsid w:val="00C27664"/>
    <w:rsid w:val="00C27BF2"/>
    <w:rsid w:val="00C31348"/>
    <w:rsid w:val="00C40527"/>
    <w:rsid w:val="00C42C98"/>
    <w:rsid w:val="00C44718"/>
    <w:rsid w:val="00C604AC"/>
    <w:rsid w:val="00C6769E"/>
    <w:rsid w:val="00C7276F"/>
    <w:rsid w:val="00C742B4"/>
    <w:rsid w:val="00C74BE6"/>
    <w:rsid w:val="00C75144"/>
    <w:rsid w:val="00C808D3"/>
    <w:rsid w:val="00C85104"/>
    <w:rsid w:val="00C941FC"/>
    <w:rsid w:val="00C94D08"/>
    <w:rsid w:val="00C976CA"/>
    <w:rsid w:val="00CA0E63"/>
    <w:rsid w:val="00CA13D0"/>
    <w:rsid w:val="00CA1881"/>
    <w:rsid w:val="00CA2A6E"/>
    <w:rsid w:val="00CA5CA3"/>
    <w:rsid w:val="00CA6B67"/>
    <w:rsid w:val="00CB005E"/>
    <w:rsid w:val="00CB0812"/>
    <w:rsid w:val="00CB0D26"/>
    <w:rsid w:val="00CB20DD"/>
    <w:rsid w:val="00CB7A4F"/>
    <w:rsid w:val="00CB7B77"/>
    <w:rsid w:val="00CC1E5A"/>
    <w:rsid w:val="00CC2972"/>
    <w:rsid w:val="00CC6255"/>
    <w:rsid w:val="00CC7BD7"/>
    <w:rsid w:val="00CD07DC"/>
    <w:rsid w:val="00CD26E3"/>
    <w:rsid w:val="00CD6F62"/>
    <w:rsid w:val="00CE1E33"/>
    <w:rsid w:val="00CE5FBC"/>
    <w:rsid w:val="00CF11AB"/>
    <w:rsid w:val="00CF2C04"/>
    <w:rsid w:val="00CF4692"/>
    <w:rsid w:val="00CF53AF"/>
    <w:rsid w:val="00D100B5"/>
    <w:rsid w:val="00D10DC8"/>
    <w:rsid w:val="00D1379B"/>
    <w:rsid w:val="00D207B6"/>
    <w:rsid w:val="00D33927"/>
    <w:rsid w:val="00D3547B"/>
    <w:rsid w:val="00D452AE"/>
    <w:rsid w:val="00D5381D"/>
    <w:rsid w:val="00D57AA8"/>
    <w:rsid w:val="00D605E7"/>
    <w:rsid w:val="00D659D6"/>
    <w:rsid w:val="00D677A5"/>
    <w:rsid w:val="00D73F17"/>
    <w:rsid w:val="00D75562"/>
    <w:rsid w:val="00D75D3C"/>
    <w:rsid w:val="00D77C9B"/>
    <w:rsid w:val="00D823F9"/>
    <w:rsid w:val="00D851B7"/>
    <w:rsid w:val="00DA09DF"/>
    <w:rsid w:val="00DA3DA3"/>
    <w:rsid w:val="00DA3F43"/>
    <w:rsid w:val="00DB7067"/>
    <w:rsid w:val="00DC31E6"/>
    <w:rsid w:val="00DC49F8"/>
    <w:rsid w:val="00DD1048"/>
    <w:rsid w:val="00DD44C9"/>
    <w:rsid w:val="00DD461A"/>
    <w:rsid w:val="00DE2858"/>
    <w:rsid w:val="00DE78D6"/>
    <w:rsid w:val="00DF0ACE"/>
    <w:rsid w:val="00E0201D"/>
    <w:rsid w:val="00E03272"/>
    <w:rsid w:val="00E04A53"/>
    <w:rsid w:val="00E04EF4"/>
    <w:rsid w:val="00E0519B"/>
    <w:rsid w:val="00E12260"/>
    <w:rsid w:val="00E175A3"/>
    <w:rsid w:val="00E211A2"/>
    <w:rsid w:val="00E21946"/>
    <w:rsid w:val="00E22755"/>
    <w:rsid w:val="00E412EF"/>
    <w:rsid w:val="00E41356"/>
    <w:rsid w:val="00E444B3"/>
    <w:rsid w:val="00E464DB"/>
    <w:rsid w:val="00E571FC"/>
    <w:rsid w:val="00E62036"/>
    <w:rsid w:val="00E66550"/>
    <w:rsid w:val="00E76168"/>
    <w:rsid w:val="00E83963"/>
    <w:rsid w:val="00E9028D"/>
    <w:rsid w:val="00E90442"/>
    <w:rsid w:val="00E947D6"/>
    <w:rsid w:val="00EA1FDB"/>
    <w:rsid w:val="00EA462C"/>
    <w:rsid w:val="00EA7559"/>
    <w:rsid w:val="00EB42A3"/>
    <w:rsid w:val="00EB69D5"/>
    <w:rsid w:val="00EC08E9"/>
    <w:rsid w:val="00EC730C"/>
    <w:rsid w:val="00ED4C4A"/>
    <w:rsid w:val="00ED7EA9"/>
    <w:rsid w:val="00EE7208"/>
    <w:rsid w:val="00EF0874"/>
    <w:rsid w:val="00EF11CF"/>
    <w:rsid w:val="00EF1F7F"/>
    <w:rsid w:val="00EF36F1"/>
    <w:rsid w:val="00EF4DF6"/>
    <w:rsid w:val="00EF4E3F"/>
    <w:rsid w:val="00EF7688"/>
    <w:rsid w:val="00F028BC"/>
    <w:rsid w:val="00F02F6B"/>
    <w:rsid w:val="00F12660"/>
    <w:rsid w:val="00F129CA"/>
    <w:rsid w:val="00F16D86"/>
    <w:rsid w:val="00F201EE"/>
    <w:rsid w:val="00F250EE"/>
    <w:rsid w:val="00F32545"/>
    <w:rsid w:val="00F3317B"/>
    <w:rsid w:val="00F367A3"/>
    <w:rsid w:val="00F44054"/>
    <w:rsid w:val="00F465E2"/>
    <w:rsid w:val="00F5577C"/>
    <w:rsid w:val="00F55A1B"/>
    <w:rsid w:val="00F66426"/>
    <w:rsid w:val="00F667AB"/>
    <w:rsid w:val="00F70E5C"/>
    <w:rsid w:val="00F71E6D"/>
    <w:rsid w:val="00F727C2"/>
    <w:rsid w:val="00F755F7"/>
    <w:rsid w:val="00F86840"/>
    <w:rsid w:val="00F90B68"/>
    <w:rsid w:val="00F91B54"/>
    <w:rsid w:val="00FA1F82"/>
    <w:rsid w:val="00FA2C4B"/>
    <w:rsid w:val="00FA3170"/>
    <w:rsid w:val="00FA332C"/>
    <w:rsid w:val="00FA358F"/>
    <w:rsid w:val="00FA3851"/>
    <w:rsid w:val="00FA4B58"/>
    <w:rsid w:val="00FA686B"/>
    <w:rsid w:val="00FB4E09"/>
    <w:rsid w:val="00FC1096"/>
    <w:rsid w:val="00FC1DEC"/>
    <w:rsid w:val="00FC2315"/>
    <w:rsid w:val="00FC23DC"/>
    <w:rsid w:val="00FC4739"/>
    <w:rsid w:val="00FC7869"/>
    <w:rsid w:val="00FC7B99"/>
    <w:rsid w:val="00FD1DF0"/>
    <w:rsid w:val="00FD7D01"/>
    <w:rsid w:val="00FF67DF"/>
    <w:rsid w:val="011D75C8"/>
    <w:rsid w:val="01775C73"/>
    <w:rsid w:val="018207C5"/>
    <w:rsid w:val="01D63896"/>
    <w:rsid w:val="01DB5697"/>
    <w:rsid w:val="01E25384"/>
    <w:rsid w:val="02075382"/>
    <w:rsid w:val="02141ED1"/>
    <w:rsid w:val="021C2E4E"/>
    <w:rsid w:val="0293255D"/>
    <w:rsid w:val="033360D3"/>
    <w:rsid w:val="03B0423B"/>
    <w:rsid w:val="03E108C4"/>
    <w:rsid w:val="0403496E"/>
    <w:rsid w:val="040F324D"/>
    <w:rsid w:val="04407A2C"/>
    <w:rsid w:val="044A3BE3"/>
    <w:rsid w:val="052909A3"/>
    <w:rsid w:val="053439F6"/>
    <w:rsid w:val="0561129A"/>
    <w:rsid w:val="05D155D5"/>
    <w:rsid w:val="05F321E1"/>
    <w:rsid w:val="05FF4185"/>
    <w:rsid w:val="062724D7"/>
    <w:rsid w:val="067275D1"/>
    <w:rsid w:val="068432E8"/>
    <w:rsid w:val="06C30492"/>
    <w:rsid w:val="072B0FB7"/>
    <w:rsid w:val="07471006"/>
    <w:rsid w:val="07746E01"/>
    <w:rsid w:val="08504131"/>
    <w:rsid w:val="0897149A"/>
    <w:rsid w:val="08C104FB"/>
    <w:rsid w:val="09261243"/>
    <w:rsid w:val="096802A0"/>
    <w:rsid w:val="0B447D69"/>
    <w:rsid w:val="0B56285B"/>
    <w:rsid w:val="0BAB2580"/>
    <w:rsid w:val="0BAF4933"/>
    <w:rsid w:val="0BB1381E"/>
    <w:rsid w:val="0BB73677"/>
    <w:rsid w:val="0C096542"/>
    <w:rsid w:val="0C15756F"/>
    <w:rsid w:val="0C3675A7"/>
    <w:rsid w:val="0C8F3D96"/>
    <w:rsid w:val="0C932DBF"/>
    <w:rsid w:val="0C944AB1"/>
    <w:rsid w:val="0CA35E9A"/>
    <w:rsid w:val="0D0644B5"/>
    <w:rsid w:val="0D4079FF"/>
    <w:rsid w:val="0D4D1729"/>
    <w:rsid w:val="0DA90E87"/>
    <w:rsid w:val="0DC03983"/>
    <w:rsid w:val="0EC046DA"/>
    <w:rsid w:val="0EDA1CB8"/>
    <w:rsid w:val="0F0968E1"/>
    <w:rsid w:val="0F1F1ED5"/>
    <w:rsid w:val="0FA209D4"/>
    <w:rsid w:val="0FC846C0"/>
    <w:rsid w:val="0FE86544"/>
    <w:rsid w:val="100702BA"/>
    <w:rsid w:val="10603EBB"/>
    <w:rsid w:val="10797721"/>
    <w:rsid w:val="10A36062"/>
    <w:rsid w:val="10B514DF"/>
    <w:rsid w:val="112A22DF"/>
    <w:rsid w:val="117B327F"/>
    <w:rsid w:val="11AF1C4D"/>
    <w:rsid w:val="12083C0A"/>
    <w:rsid w:val="122B630F"/>
    <w:rsid w:val="1232769D"/>
    <w:rsid w:val="126B3142"/>
    <w:rsid w:val="13430A04"/>
    <w:rsid w:val="13957ECA"/>
    <w:rsid w:val="13B73B06"/>
    <w:rsid w:val="13C26C88"/>
    <w:rsid w:val="13D14911"/>
    <w:rsid w:val="14A125D6"/>
    <w:rsid w:val="14A74718"/>
    <w:rsid w:val="14DE1237"/>
    <w:rsid w:val="15421821"/>
    <w:rsid w:val="158B7520"/>
    <w:rsid w:val="15BF63AD"/>
    <w:rsid w:val="16AB312D"/>
    <w:rsid w:val="170157D3"/>
    <w:rsid w:val="17A74689"/>
    <w:rsid w:val="17C21C73"/>
    <w:rsid w:val="18253800"/>
    <w:rsid w:val="185A0855"/>
    <w:rsid w:val="1863726C"/>
    <w:rsid w:val="187D53EA"/>
    <w:rsid w:val="18826305"/>
    <w:rsid w:val="18EE0108"/>
    <w:rsid w:val="19BB6084"/>
    <w:rsid w:val="19C332D1"/>
    <w:rsid w:val="19CC5E7D"/>
    <w:rsid w:val="19F55B8A"/>
    <w:rsid w:val="1ABD7C7A"/>
    <w:rsid w:val="1ACB7BCF"/>
    <w:rsid w:val="1AE31178"/>
    <w:rsid w:val="1B3C688B"/>
    <w:rsid w:val="1B410F4F"/>
    <w:rsid w:val="1B835B95"/>
    <w:rsid w:val="1BBF5CEB"/>
    <w:rsid w:val="1BC7449E"/>
    <w:rsid w:val="1BFF19BA"/>
    <w:rsid w:val="1C57316A"/>
    <w:rsid w:val="1C794364"/>
    <w:rsid w:val="1C9E2C70"/>
    <w:rsid w:val="1D073861"/>
    <w:rsid w:val="1D4C53B1"/>
    <w:rsid w:val="1D882867"/>
    <w:rsid w:val="1DD84656"/>
    <w:rsid w:val="1EA61404"/>
    <w:rsid w:val="1EBB7FFB"/>
    <w:rsid w:val="1EC23EDC"/>
    <w:rsid w:val="1EC32AF0"/>
    <w:rsid w:val="1F436F19"/>
    <w:rsid w:val="1F7F0D7B"/>
    <w:rsid w:val="1FC116D9"/>
    <w:rsid w:val="20A92065"/>
    <w:rsid w:val="20B929D2"/>
    <w:rsid w:val="211B5248"/>
    <w:rsid w:val="214C6ADA"/>
    <w:rsid w:val="21791EC4"/>
    <w:rsid w:val="21C73BB1"/>
    <w:rsid w:val="21EE0D4D"/>
    <w:rsid w:val="220D0E01"/>
    <w:rsid w:val="22646818"/>
    <w:rsid w:val="228661B5"/>
    <w:rsid w:val="22B45EAC"/>
    <w:rsid w:val="23056984"/>
    <w:rsid w:val="23072480"/>
    <w:rsid w:val="233B7B8F"/>
    <w:rsid w:val="23BA65FE"/>
    <w:rsid w:val="240C0FF4"/>
    <w:rsid w:val="24532FB8"/>
    <w:rsid w:val="246206F2"/>
    <w:rsid w:val="24714648"/>
    <w:rsid w:val="24BC5C6E"/>
    <w:rsid w:val="24D24662"/>
    <w:rsid w:val="25397812"/>
    <w:rsid w:val="25473008"/>
    <w:rsid w:val="25595B7D"/>
    <w:rsid w:val="25BF1B44"/>
    <w:rsid w:val="260354E8"/>
    <w:rsid w:val="268538B3"/>
    <w:rsid w:val="269702EB"/>
    <w:rsid w:val="269B006D"/>
    <w:rsid w:val="269E24A1"/>
    <w:rsid w:val="26A11814"/>
    <w:rsid w:val="26A61FB0"/>
    <w:rsid w:val="26D65DA2"/>
    <w:rsid w:val="26DD1EA0"/>
    <w:rsid w:val="26ED34D0"/>
    <w:rsid w:val="2858552C"/>
    <w:rsid w:val="289C366A"/>
    <w:rsid w:val="28A44550"/>
    <w:rsid w:val="28DA4193"/>
    <w:rsid w:val="2A5450BE"/>
    <w:rsid w:val="2A777EEB"/>
    <w:rsid w:val="2A7C662C"/>
    <w:rsid w:val="2A7D1EA1"/>
    <w:rsid w:val="2B076830"/>
    <w:rsid w:val="2B53751B"/>
    <w:rsid w:val="2B7C1D29"/>
    <w:rsid w:val="2B7E52A9"/>
    <w:rsid w:val="2BB574F0"/>
    <w:rsid w:val="2BF7455D"/>
    <w:rsid w:val="2C223034"/>
    <w:rsid w:val="2CE0184F"/>
    <w:rsid w:val="2CE36E99"/>
    <w:rsid w:val="2D256417"/>
    <w:rsid w:val="2D9D4774"/>
    <w:rsid w:val="2E0B28FA"/>
    <w:rsid w:val="2E6D4D12"/>
    <w:rsid w:val="2E9C4841"/>
    <w:rsid w:val="2F9432ED"/>
    <w:rsid w:val="2FA9736E"/>
    <w:rsid w:val="2FE767AD"/>
    <w:rsid w:val="302A5A00"/>
    <w:rsid w:val="303B01C0"/>
    <w:rsid w:val="30A939E9"/>
    <w:rsid w:val="30DD2A72"/>
    <w:rsid w:val="317A735C"/>
    <w:rsid w:val="31AD731B"/>
    <w:rsid w:val="3236153B"/>
    <w:rsid w:val="337F0D7E"/>
    <w:rsid w:val="337F6063"/>
    <w:rsid w:val="33AE67B6"/>
    <w:rsid w:val="33B74752"/>
    <w:rsid w:val="344F003A"/>
    <w:rsid w:val="347A6B54"/>
    <w:rsid w:val="349F3E58"/>
    <w:rsid w:val="34E84728"/>
    <w:rsid w:val="355D27C5"/>
    <w:rsid w:val="357E0CC8"/>
    <w:rsid w:val="358A6F45"/>
    <w:rsid w:val="35A32CA2"/>
    <w:rsid w:val="35BB0D82"/>
    <w:rsid w:val="35E804DE"/>
    <w:rsid w:val="366F5FF3"/>
    <w:rsid w:val="36810660"/>
    <w:rsid w:val="36A75FFC"/>
    <w:rsid w:val="36FD79CA"/>
    <w:rsid w:val="37277261"/>
    <w:rsid w:val="372907BF"/>
    <w:rsid w:val="37485522"/>
    <w:rsid w:val="37753A04"/>
    <w:rsid w:val="37AF3A5A"/>
    <w:rsid w:val="37B91BB6"/>
    <w:rsid w:val="384220A1"/>
    <w:rsid w:val="386304FE"/>
    <w:rsid w:val="3947069B"/>
    <w:rsid w:val="39BA1394"/>
    <w:rsid w:val="39BC5FA2"/>
    <w:rsid w:val="3A5F091E"/>
    <w:rsid w:val="3A6B67E0"/>
    <w:rsid w:val="3B107A60"/>
    <w:rsid w:val="3B296DE6"/>
    <w:rsid w:val="3BFF341C"/>
    <w:rsid w:val="3C1D3872"/>
    <w:rsid w:val="3C8B1F5C"/>
    <w:rsid w:val="3CB67C19"/>
    <w:rsid w:val="3CD24451"/>
    <w:rsid w:val="3CF22F2D"/>
    <w:rsid w:val="3D2110AF"/>
    <w:rsid w:val="3D251A29"/>
    <w:rsid w:val="3E2B1A65"/>
    <w:rsid w:val="3E6073A6"/>
    <w:rsid w:val="3ED037B4"/>
    <w:rsid w:val="3F3441A5"/>
    <w:rsid w:val="3FA34E83"/>
    <w:rsid w:val="3FB33722"/>
    <w:rsid w:val="40292628"/>
    <w:rsid w:val="40A70A61"/>
    <w:rsid w:val="420974D6"/>
    <w:rsid w:val="420E03DD"/>
    <w:rsid w:val="42906723"/>
    <w:rsid w:val="42F2418B"/>
    <w:rsid w:val="42F96C84"/>
    <w:rsid w:val="43036DCC"/>
    <w:rsid w:val="432170BE"/>
    <w:rsid w:val="43244531"/>
    <w:rsid w:val="4371258F"/>
    <w:rsid w:val="43F17362"/>
    <w:rsid w:val="442D4220"/>
    <w:rsid w:val="446123DF"/>
    <w:rsid w:val="44901E7E"/>
    <w:rsid w:val="44A303E8"/>
    <w:rsid w:val="44A56D0F"/>
    <w:rsid w:val="44DD24AA"/>
    <w:rsid w:val="45352A25"/>
    <w:rsid w:val="45426C9D"/>
    <w:rsid w:val="45735B22"/>
    <w:rsid w:val="46996FBF"/>
    <w:rsid w:val="46AB6F76"/>
    <w:rsid w:val="46B1432D"/>
    <w:rsid w:val="46F279D4"/>
    <w:rsid w:val="47080D9D"/>
    <w:rsid w:val="47184577"/>
    <w:rsid w:val="473241D7"/>
    <w:rsid w:val="47497A76"/>
    <w:rsid w:val="476A335D"/>
    <w:rsid w:val="47743369"/>
    <w:rsid w:val="479A7985"/>
    <w:rsid w:val="47C77269"/>
    <w:rsid w:val="47CE52FC"/>
    <w:rsid w:val="480F3A01"/>
    <w:rsid w:val="48274110"/>
    <w:rsid w:val="482C6463"/>
    <w:rsid w:val="489D2DBB"/>
    <w:rsid w:val="495479A6"/>
    <w:rsid w:val="497B570A"/>
    <w:rsid w:val="499E686A"/>
    <w:rsid w:val="49EF3A3D"/>
    <w:rsid w:val="4A1728BD"/>
    <w:rsid w:val="4A5B3877"/>
    <w:rsid w:val="4A5C2598"/>
    <w:rsid w:val="4A9042B9"/>
    <w:rsid w:val="4ABA51EA"/>
    <w:rsid w:val="4AD55D56"/>
    <w:rsid w:val="4AF860BE"/>
    <w:rsid w:val="4B50629D"/>
    <w:rsid w:val="4B82208D"/>
    <w:rsid w:val="4C044A14"/>
    <w:rsid w:val="4C144720"/>
    <w:rsid w:val="4D3326FE"/>
    <w:rsid w:val="4D7D299B"/>
    <w:rsid w:val="4DC530E9"/>
    <w:rsid w:val="4E1C4B2A"/>
    <w:rsid w:val="4E291C51"/>
    <w:rsid w:val="4E2E44B5"/>
    <w:rsid w:val="4E945D6D"/>
    <w:rsid w:val="4EB827B2"/>
    <w:rsid w:val="4EBB2708"/>
    <w:rsid w:val="4EC026C2"/>
    <w:rsid w:val="4EC45450"/>
    <w:rsid w:val="4F5F7240"/>
    <w:rsid w:val="4FA26F09"/>
    <w:rsid w:val="4FB57ED9"/>
    <w:rsid w:val="50123467"/>
    <w:rsid w:val="501B3D71"/>
    <w:rsid w:val="50586EFE"/>
    <w:rsid w:val="50DF4008"/>
    <w:rsid w:val="5110585B"/>
    <w:rsid w:val="51293FA8"/>
    <w:rsid w:val="51367E5E"/>
    <w:rsid w:val="51455EDF"/>
    <w:rsid w:val="51817A9E"/>
    <w:rsid w:val="51EE2099"/>
    <w:rsid w:val="52181704"/>
    <w:rsid w:val="52233172"/>
    <w:rsid w:val="522A1089"/>
    <w:rsid w:val="531A4676"/>
    <w:rsid w:val="53244928"/>
    <w:rsid w:val="532A7601"/>
    <w:rsid w:val="53493E7F"/>
    <w:rsid w:val="534A7FE3"/>
    <w:rsid w:val="535F2962"/>
    <w:rsid w:val="53B92A73"/>
    <w:rsid w:val="53F528A2"/>
    <w:rsid w:val="54265FE3"/>
    <w:rsid w:val="54270AC0"/>
    <w:rsid w:val="545013F1"/>
    <w:rsid w:val="546B0778"/>
    <w:rsid w:val="54D54029"/>
    <w:rsid w:val="54EC1551"/>
    <w:rsid w:val="559425F1"/>
    <w:rsid w:val="560A6B90"/>
    <w:rsid w:val="570B1AB1"/>
    <w:rsid w:val="57120114"/>
    <w:rsid w:val="57153A3D"/>
    <w:rsid w:val="574C0DD8"/>
    <w:rsid w:val="57603931"/>
    <w:rsid w:val="57A11D07"/>
    <w:rsid w:val="57D66F07"/>
    <w:rsid w:val="585A65D3"/>
    <w:rsid w:val="5875669C"/>
    <w:rsid w:val="58F21BFC"/>
    <w:rsid w:val="59452A4D"/>
    <w:rsid w:val="594F1018"/>
    <w:rsid w:val="596357C0"/>
    <w:rsid w:val="599302F2"/>
    <w:rsid w:val="59A340FC"/>
    <w:rsid w:val="59A41675"/>
    <w:rsid w:val="59F8198A"/>
    <w:rsid w:val="5A0A5DD6"/>
    <w:rsid w:val="5A8C5A92"/>
    <w:rsid w:val="5AAF59A9"/>
    <w:rsid w:val="5AC0550D"/>
    <w:rsid w:val="5B0D0578"/>
    <w:rsid w:val="5B1B2053"/>
    <w:rsid w:val="5B4428CB"/>
    <w:rsid w:val="5B503CBD"/>
    <w:rsid w:val="5B6708EB"/>
    <w:rsid w:val="5BA803AB"/>
    <w:rsid w:val="5BC02444"/>
    <w:rsid w:val="5BC54328"/>
    <w:rsid w:val="5C482E07"/>
    <w:rsid w:val="5C5A3290"/>
    <w:rsid w:val="5C6B25C7"/>
    <w:rsid w:val="5CC22F54"/>
    <w:rsid w:val="5CD77707"/>
    <w:rsid w:val="5D2C7ED0"/>
    <w:rsid w:val="5D4E341A"/>
    <w:rsid w:val="5D5B70A6"/>
    <w:rsid w:val="5D6B11D5"/>
    <w:rsid w:val="5D7F76B5"/>
    <w:rsid w:val="5DAD63E5"/>
    <w:rsid w:val="5DB12BD3"/>
    <w:rsid w:val="5E290FA3"/>
    <w:rsid w:val="5E550E71"/>
    <w:rsid w:val="5E56295E"/>
    <w:rsid w:val="5E663B03"/>
    <w:rsid w:val="5E804E2D"/>
    <w:rsid w:val="5E8224DC"/>
    <w:rsid w:val="5E8278AF"/>
    <w:rsid w:val="5EF63033"/>
    <w:rsid w:val="5F1912AE"/>
    <w:rsid w:val="5F621E5F"/>
    <w:rsid w:val="5FBD301C"/>
    <w:rsid w:val="60025229"/>
    <w:rsid w:val="600A6CB1"/>
    <w:rsid w:val="60450C26"/>
    <w:rsid w:val="604638DA"/>
    <w:rsid w:val="60CF38D6"/>
    <w:rsid w:val="60D23A2F"/>
    <w:rsid w:val="610378F7"/>
    <w:rsid w:val="610F61EF"/>
    <w:rsid w:val="6118702B"/>
    <w:rsid w:val="616B1851"/>
    <w:rsid w:val="6174012C"/>
    <w:rsid w:val="61853758"/>
    <w:rsid w:val="61AD3C17"/>
    <w:rsid w:val="61C47D97"/>
    <w:rsid w:val="61CC3377"/>
    <w:rsid w:val="61EE5FDE"/>
    <w:rsid w:val="620C399B"/>
    <w:rsid w:val="62291F8D"/>
    <w:rsid w:val="62334248"/>
    <w:rsid w:val="623D275A"/>
    <w:rsid w:val="62910D56"/>
    <w:rsid w:val="62C57A20"/>
    <w:rsid w:val="63195B92"/>
    <w:rsid w:val="63221855"/>
    <w:rsid w:val="633C2E4D"/>
    <w:rsid w:val="63440DE8"/>
    <w:rsid w:val="634E6E67"/>
    <w:rsid w:val="637D547F"/>
    <w:rsid w:val="63927A90"/>
    <w:rsid w:val="63BB462F"/>
    <w:rsid w:val="6429154F"/>
    <w:rsid w:val="64540CC2"/>
    <w:rsid w:val="64693D97"/>
    <w:rsid w:val="647C1507"/>
    <w:rsid w:val="653762AC"/>
    <w:rsid w:val="65406251"/>
    <w:rsid w:val="659661D8"/>
    <w:rsid w:val="66420634"/>
    <w:rsid w:val="66644AC0"/>
    <w:rsid w:val="66CC09DC"/>
    <w:rsid w:val="66D25D91"/>
    <w:rsid w:val="674F00B7"/>
    <w:rsid w:val="675D4646"/>
    <w:rsid w:val="67A673E9"/>
    <w:rsid w:val="67A75E1D"/>
    <w:rsid w:val="67EF016C"/>
    <w:rsid w:val="68684E0E"/>
    <w:rsid w:val="687F4FE2"/>
    <w:rsid w:val="689773CF"/>
    <w:rsid w:val="68FA6F6E"/>
    <w:rsid w:val="6A195DA3"/>
    <w:rsid w:val="6A2C05E5"/>
    <w:rsid w:val="6A3902B4"/>
    <w:rsid w:val="6A5561C6"/>
    <w:rsid w:val="6AA06B45"/>
    <w:rsid w:val="6AEC1C54"/>
    <w:rsid w:val="6B410A37"/>
    <w:rsid w:val="6B4440F9"/>
    <w:rsid w:val="6B60558E"/>
    <w:rsid w:val="6B9823CB"/>
    <w:rsid w:val="6BB32772"/>
    <w:rsid w:val="6C2C667B"/>
    <w:rsid w:val="6C9159AB"/>
    <w:rsid w:val="6D17110A"/>
    <w:rsid w:val="6D6F67E1"/>
    <w:rsid w:val="6DA672BC"/>
    <w:rsid w:val="6DE811E4"/>
    <w:rsid w:val="6E293FFB"/>
    <w:rsid w:val="6E452AF3"/>
    <w:rsid w:val="6EAB14DE"/>
    <w:rsid w:val="6EE449F0"/>
    <w:rsid w:val="6F3D3E54"/>
    <w:rsid w:val="6F61709F"/>
    <w:rsid w:val="6F9712CC"/>
    <w:rsid w:val="6FFF631E"/>
    <w:rsid w:val="70093240"/>
    <w:rsid w:val="70206ABC"/>
    <w:rsid w:val="704079FC"/>
    <w:rsid w:val="70467D11"/>
    <w:rsid w:val="708471C5"/>
    <w:rsid w:val="725A2373"/>
    <w:rsid w:val="72A85432"/>
    <w:rsid w:val="72E063D1"/>
    <w:rsid w:val="7332697C"/>
    <w:rsid w:val="73F25917"/>
    <w:rsid w:val="747C66B6"/>
    <w:rsid w:val="751678CE"/>
    <w:rsid w:val="752410FD"/>
    <w:rsid w:val="752E4FC5"/>
    <w:rsid w:val="7554327F"/>
    <w:rsid w:val="75AD241A"/>
    <w:rsid w:val="76BE7EE3"/>
    <w:rsid w:val="76DB2945"/>
    <w:rsid w:val="76E27EE5"/>
    <w:rsid w:val="773A6571"/>
    <w:rsid w:val="7761651E"/>
    <w:rsid w:val="778C7250"/>
    <w:rsid w:val="77E37F3B"/>
    <w:rsid w:val="77E62E83"/>
    <w:rsid w:val="78054E3F"/>
    <w:rsid w:val="78C90208"/>
    <w:rsid w:val="790F4F87"/>
    <w:rsid w:val="79142ABE"/>
    <w:rsid w:val="79465002"/>
    <w:rsid w:val="79E76B38"/>
    <w:rsid w:val="7A1E26AF"/>
    <w:rsid w:val="7A49044A"/>
    <w:rsid w:val="7ACD45DE"/>
    <w:rsid w:val="7B0C1557"/>
    <w:rsid w:val="7B2A3058"/>
    <w:rsid w:val="7B45232B"/>
    <w:rsid w:val="7B897EF6"/>
    <w:rsid w:val="7BBD6CF5"/>
    <w:rsid w:val="7BD87B15"/>
    <w:rsid w:val="7C80044E"/>
    <w:rsid w:val="7CE94BD8"/>
    <w:rsid w:val="7D26545E"/>
    <w:rsid w:val="7DE24E14"/>
    <w:rsid w:val="7E9755DB"/>
    <w:rsid w:val="7EB02D10"/>
    <w:rsid w:val="7EF65BCD"/>
    <w:rsid w:val="7F2C21C7"/>
    <w:rsid w:val="7F8447B7"/>
    <w:rsid w:val="7FA569A3"/>
    <w:rsid w:val="7FD27A6F"/>
    <w:rsid w:val="7FDA7E75"/>
    <w:rsid w:val="7FEB4313"/>
    <w:rsid w:val="7FFA74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iPriority="0" w:semiHidden="0" w:name="Body Text 2"/>
    <w:lsdException w:qFormat="1" w:uiPriority="99"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Calibri" w:cs="Calibri"/>
      <w:color w:val="000000"/>
      <w:kern w:val="2"/>
      <w:sz w:val="22"/>
      <w:szCs w:val="22"/>
      <w:lang w:val="en-US" w:eastAsia="zh-CN" w:bidi="ar-SA"/>
    </w:rPr>
  </w:style>
  <w:style w:type="paragraph" w:styleId="3">
    <w:name w:val="heading 1"/>
    <w:next w:val="1"/>
    <w:link w:val="47"/>
    <w:qFormat/>
    <w:uiPriority w:val="99"/>
    <w:pPr>
      <w:keepNext/>
      <w:keepLines/>
      <w:spacing w:after="503" w:line="264" w:lineRule="auto"/>
      <w:ind w:left="10" w:right="122" w:hanging="10"/>
      <w:outlineLvl w:val="0"/>
    </w:pPr>
    <w:rPr>
      <w:rFonts w:ascii="黑体" w:hAnsi="黑体" w:eastAsia="黑体" w:cs="Times New Roman"/>
      <w:color w:val="000000"/>
      <w:sz w:val="32"/>
      <w:lang w:val="en-US" w:eastAsia="zh-CN" w:bidi="ar-SA"/>
    </w:rPr>
  </w:style>
  <w:style w:type="paragraph" w:styleId="4">
    <w:name w:val="heading 2"/>
    <w:basedOn w:val="1"/>
    <w:next w:val="1"/>
    <w:link w:val="48"/>
    <w:qFormat/>
    <w:uiPriority w:val="9"/>
    <w:pPr>
      <w:keepNext/>
      <w:keepLines/>
      <w:spacing w:after="172" w:line="265" w:lineRule="auto"/>
      <w:ind w:left="10" w:right="117" w:hanging="10"/>
      <w:outlineLvl w:val="1"/>
    </w:pPr>
    <w:rPr>
      <w:rFonts w:ascii="黑体" w:hAnsi="黑体" w:eastAsia="黑体"/>
      <w:color w:val="000000"/>
      <w:sz w:val="28"/>
      <w:lang w:bidi="ar-SA"/>
    </w:rPr>
  </w:style>
  <w:style w:type="paragraph" w:styleId="5">
    <w:name w:val="heading 3"/>
    <w:next w:val="1"/>
    <w:link w:val="49"/>
    <w:qFormat/>
    <w:uiPriority w:val="0"/>
    <w:pPr>
      <w:keepNext/>
      <w:keepLines/>
      <w:spacing w:after="172" w:line="265" w:lineRule="auto"/>
      <w:ind w:left="10" w:right="117" w:hanging="10"/>
      <w:outlineLvl w:val="2"/>
    </w:pPr>
    <w:rPr>
      <w:rFonts w:ascii="黑体" w:hAnsi="黑体" w:eastAsia="黑体" w:cs="Times New Roman"/>
      <w:color w:val="000000"/>
      <w:sz w:val="28"/>
      <w:lang w:val="en-US" w:eastAsia="zh-CN" w:bidi="ar-SA"/>
    </w:rPr>
  </w:style>
  <w:style w:type="paragraph" w:styleId="6">
    <w:name w:val="heading 4"/>
    <w:next w:val="1"/>
    <w:link w:val="50"/>
    <w:qFormat/>
    <w:uiPriority w:val="0"/>
    <w:pPr>
      <w:keepNext/>
      <w:keepLines/>
      <w:spacing w:after="172" w:line="265" w:lineRule="auto"/>
      <w:ind w:left="10" w:right="117" w:hanging="10"/>
      <w:outlineLvl w:val="3"/>
    </w:pPr>
    <w:rPr>
      <w:rFonts w:ascii="黑体" w:hAnsi="黑体" w:eastAsia="黑体" w:cs="Times New Roman"/>
      <w:color w:val="000000"/>
      <w:sz w:val="28"/>
      <w:lang w:val="en-US" w:eastAsia="zh-CN" w:bidi="ar-SA"/>
    </w:rPr>
  </w:style>
  <w:style w:type="paragraph" w:styleId="7">
    <w:name w:val="heading 5"/>
    <w:next w:val="1"/>
    <w:link w:val="51"/>
    <w:qFormat/>
    <w:uiPriority w:val="0"/>
    <w:pPr>
      <w:keepNext/>
      <w:keepLines/>
      <w:spacing w:after="172" w:line="265" w:lineRule="auto"/>
      <w:ind w:left="10" w:right="117" w:hanging="10"/>
      <w:outlineLvl w:val="4"/>
    </w:pPr>
    <w:rPr>
      <w:rFonts w:ascii="黑体" w:hAnsi="黑体" w:eastAsia="黑体" w:cs="Times New Roman"/>
      <w:color w:val="000000"/>
      <w:sz w:val="28"/>
      <w:lang w:val="en-US" w:eastAsia="zh-CN" w:bidi="ar-SA"/>
    </w:rPr>
  </w:style>
  <w:style w:type="paragraph" w:styleId="8">
    <w:name w:val="heading 6"/>
    <w:next w:val="1"/>
    <w:link w:val="52"/>
    <w:qFormat/>
    <w:uiPriority w:val="0"/>
    <w:pPr>
      <w:keepNext/>
      <w:keepLines/>
      <w:spacing w:after="172" w:line="265" w:lineRule="auto"/>
      <w:ind w:left="10" w:right="117" w:hanging="10"/>
      <w:outlineLvl w:val="5"/>
    </w:pPr>
    <w:rPr>
      <w:rFonts w:ascii="黑体" w:hAnsi="黑体" w:eastAsia="黑体" w:cs="Times New Roman"/>
      <w:color w:val="000000"/>
      <w:sz w:val="28"/>
      <w:lang w:val="en-US" w:eastAsia="zh-CN" w:bidi="ar-SA"/>
    </w:rPr>
  </w:style>
  <w:style w:type="paragraph" w:styleId="9">
    <w:name w:val="heading 7"/>
    <w:next w:val="1"/>
    <w:link w:val="53"/>
    <w:qFormat/>
    <w:uiPriority w:val="0"/>
    <w:pPr>
      <w:keepNext/>
      <w:keepLines/>
      <w:spacing w:after="172" w:line="265" w:lineRule="auto"/>
      <w:ind w:left="10" w:right="117" w:hanging="10"/>
      <w:outlineLvl w:val="6"/>
    </w:pPr>
    <w:rPr>
      <w:rFonts w:ascii="黑体" w:hAnsi="黑体" w:eastAsia="黑体" w:cs="Times New Roman"/>
      <w:color w:val="000000"/>
      <w:sz w:val="28"/>
      <w:lang w:val="en-US" w:eastAsia="zh-CN" w:bidi="ar-SA"/>
    </w:rPr>
  </w:style>
  <w:style w:type="paragraph" w:styleId="10">
    <w:name w:val="heading 8"/>
    <w:next w:val="1"/>
    <w:link w:val="54"/>
    <w:qFormat/>
    <w:uiPriority w:val="0"/>
    <w:pPr>
      <w:keepNext/>
      <w:keepLines/>
      <w:spacing w:after="172" w:line="265" w:lineRule="auto"/>
      <w:ind w:left="10" w:right="117" w:hanging="10"/>
      <w:outlineLvl w:val="7"/>
    </w:pPr>
    <w:rPr>
      <w:rFonts w:ascii="黑体" w:hAnsi="黑体" w:eastAsia="黑体" w:cs="Times New Roman"/>
      <w:color w:val="000000"/>
      <w:sz w:val="28"/>
      <w:lang w:val="en-US" w:eastAsia="zh-CN" w:bidi="ar-SA"/>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Plain Text"/>
    <w:basedOn w:val="1"/>
    <w:next w:val="1"/>
    <w:link w:val="59"/>
    <w:qFormat/>
    <w:uiPriority w:val="99"/>
    <w:rPr>
      <w:rFonts w:ascii="宋体" w:hAnsi="Courier New" w:cs="Times New Roman"/>
    </w:rPr>
  </w:style>
  <w:style w:type="paragraph" w:styleId="11">
    <w:name w:val="toc 7"/>
    <w:basedOn w:val="1"/>
    <w:next w:val="1"/>
    <w:unhideWhenUsed/>
    <w:qFormat/>
    <w:uiPriority w:val="39"/>
    <w:pPr>
      <w:widowControl w:val="0"/>
      <w:spacing w:after="0" w:line="240" w:lineRule="auto"/>
      <w:ind w:left="2520" w:leftChars="1200"/>
      <w:jc w:val="both"/>
    </w:pPr>
    <w:rPr>
      <w:rFonts w:ascii="等线" w:hAnsi="等线" w:eastAsia="等线" w:cs="Times New Roman"/>
      <w:color w:val="auto"/>
      <w:sz w:val="21"/>
    </w:rPr>
  </w:style>
  <w:style w:type="paragraph" w:styleId="12">
    <w:name w:val="Normal Indent"/>
    <w:basedOn w:val="1"/>
    <w:next w:val="1"/>
    <w:link w:val="46"/>
    <w:qFormat/>
    <w:uiPriority w:val="0"/>
    <w:pPr>
      <w:widowControl w:val="0"/>
      <w:spacing w:after="0" w:line="240" w:lineRule="auto"/>
      <w:ind w:firstLine="420"/>
      <w:jc w:val="both"/>
    </w:pPr>
    <w:rPr>
      <w:rFonts w:ascii="宋体" w:eastAsia="宋体" w:cs="Times New Roman"/>
      <w:color w:val="auto"/>
      <w:kern w:val="0"/>
      <w:sz w:val="34"/>
      <w:szCs w:val="20"/>
    </w:rPr>
  </w:style>
  <w:style w:type="paragraph" w:styleId="13">
    <w:name w:val="Document Map"/>
    <w:basedOn w:val="1"/>
    <w:link w:val="55"/>
    <w:unhideWhenUsed/>
    <w:qFormat/>
    <w:uiPriority w:val="99"/>
    <w:rPr>
      <w:rFonts w:ascii="宋体" w:hAnsi="Calibri" w:eastAsia="宋体" w:cs="Times New Roman"/>
      <w:sz w:val="18"/>
      <w:szCs w:val="18"/>
    </w:rPr>
  </w:style>
  <w:style w:type="paragraph" w:styleId="14">
    <w:name w:val="annotation text"/>
    <w:basedOn w:val="1"/>
    <w:link w:val="56"/>
    <w:unhideWhenUsed/>
    <w:qFormat/>
    <w:uiPriority w:val="99"/>
    <w:rPr>
      <w:rFonts w:ascii="Calibri" w:hAnsi="Calibri" w:cs="Times New Roman"/>
    </w:rPr>
  </w:style>
  <w:style w:type="paragraph" w:styleId="15">
    <w:name w:val="Body Text 3"/>
    <w:basedOn w:val="1"/>
    <w:unhideWhenUsed/>
    <w:qFormat/>
    <w:uiPriority w:val="99"/>
    <w:pPr>
      <w:spacing w:after="120"/>
    </w:pPr>
    <w:rPr>
      <w:sz w:val="16"/>
      <w:szCs w:val="16"/>
    </w:rPr>
  </w:style>
  <w:style w:type="paragraph" w:styleId="16">
    <w:name w:val="Body Text"/>
    <w:basedOn w:val="1"/>
    <w:next w:val="1"/>
    <w:link w:val="57"/>
    <w:unhideWhenUsed/>
    <w:qFormat/>
    <w:uiPriority w:val="99"/>
    <w:pPr>
      <w:spacing w:after="120"/>
    </w:pPr>
    <w:rPr>
      <w:rFonts w:ascii="Calibri" w:hAnsi="Calibri" w:cs="Times New Roman"/>
    </w:rPr>
  </w:style>
  <w:style w:type="paragraph" w:styleId="17">
    <w:name w:val="Body Text Indent"/>
    <w:basedOn w:val="1"/>
    <w:next w:val="18"/>
    <w:link w:val="58"/>
    <w:unhideWhenUsed/>
    <w:qFormat/>
    <w:uiPriority w:val="99"/>
    <w:pPr>
      <w:spacing w:after="120"/>
      <w:ind w:left="420" w:leftChars="200"/>
    </w:pPr>
    <w:rPr>
      <w:rFonts w:ascii="Calibri" w:hAnsi="Calibri" w:cs="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unhideWhenUsed/>
    <w:qFormat/>
    <w:uiPriority w:val="39"/>
    <w:pPr>
      <w:widowControl w:val="0"/>
      <w:spacing w:after="0" w:line="240" w:lineRule="auto"/>
      <w:ind w:left="1680" w:leftChars="800"/>
      <w:jc w:val="both"/>
    </w:pPr>
    <w:rPr>
      <w:rFonts w:ascii="等线" w:hAnsi="等线" w:eastAsia="等线" w:cs="Times New Roman"/>
      <w:color w:val="auto"/>
      <w:sz w:val="21"/>
    </w:rPr>
  </w:style>
  <w:style w:type="paragraph" w:styleId="20">
    <w:name w:val="toc 3"/>
    <w:next w:val="1"/>
    <w:qFormat/>
    <w:uiPriority w:val="39"/>
    <w:pPr>
      <w:spacing w:after="6" w:line="258" w:lineRule="auto"/>
      <w:ind w:left="865" w:right="134" w:hanging="10"/>
      <w:jc w:val="both"/>
    </w:pPr>
    <w:rPr>
      <w:rFonts w:ascii="Times New Roman" w:hAnsi="Times New Roman" w:eastAsia="Calibri" w:cs="Calibri"/>
      <w:color w:val="000000"/>
      <w:kern w:val="2"/>
      <w:sz w:val="21"/>
      <w:szCs w:val="22"/>
      <w:lang w:val="en-US" w:eastAsia="zh-CN" w:bidi="ar-SA"/>
    </w:rPr>
  </w:style>
  <w:style w:type="paragraph" w:styleId="21">
    <w:name w:val="toc 8"/>
    <w:basedOn w:val="1"/>
    <w:next w:val="1"/>
    <w:unhideWhenUsed/>
    <w:qFormat/>
    <w:uiPriority w:val="39"/>
    <w:pPr>
      <w:widowControl w:val="0"/>
      <w:spacing w:after="0" w:line="240" w:lineRule="auto"/>
      <w:ind w:left="2940" w:leftChars="1400"/>
      <w:jc w:val="both"/>
    </w:pPr>
    <w:rPr>
      <w:rFonts w:ascii="等线" w:hAnsi="等线" w:eastAsia="等线" w:cs="Times New Roman"/>
      <w:color w:val="auto"/>
      <w:sz w:val="21"/>
    </w:rPr>
  </w:style>
  <w:style w:type="paragraph" w:styleId="22">
    <w:name w:val="Date"/>
    <w:basedOn w:val="1"/>
    <w:next w:val="1"/>
    <w:link w:val="60"/>
    <w:qFormat/>
    <w:uiPriority w:val="0"/>
    <w:pPr>
      <w:widowControl w:val="0"/>
      <w:spacing w:after="0" w:line="240" w:lineRule="auto"/>
      <w:jc w:val="both"/>
    </w:pPr>
    <w:rPr>
      <w:rFonts w:eastAsia="宋体" w:cs="Times New Roman"/>
      <w:color w:val="auto"/>
      <w:sz w:val="28"/>
      <w:szCs w:val="20"/>
    </w:rPr>
  </w:style>
  <w:style w:type="paragraph" w:styleId="23">
    <w:name w:val="Body Text Indent 2"/>
    <w:basedOn w:val="1"/>
    <w:link w:val="61"/>
    <w:qFormat/>
    <w:uiPriority w:val="99"/>
    <w:pPr>
      <w:widowControl w:val="0"/>
      <w:tabs>
        <w:tab w:val="left" w:pos="1785"/>
      </w:tabs>
      <w:snapToGrid w:val="0"/>
      <w:spacing w:after="120" w:line="360" w:lineRule="auto"/>
      <w:ind w:left="1995" w:hanging="630"/>
      <w:jc w:val="both"/>
    </w:pPr>
    <w:rPr>
      <w:rFonts w:ascii="宋体" w:eastAsia="宋体" w:cs="Times New Roman"/>
      <w:color w:val="auto"/>
      <w:sz w:val="28"/>
      <w:szCs w:val="20"/>
    </w:rPr>
  </w:style>
  <w:style w:type="paragraph" w:styleId="24">
    <w:name w:val="Balloon Text"/>
    <w:basedOn w:val="1"/>
    <w:link w:val="62"/>
    <w:unhideWhenUsed/>
    <w:qFormat/>
    <w:uiPriority w:val="99"/>
    <w:pPr>
      <w:spacing w:after="0" w:line="240" w:lineRule="auto"/>
    </w:pPr>
    <w:rPr>
      <w:rFonts w:ascii="Calibri" w:hAnsi="Calibri" w:cs="Times New Roman"/>
      <w:sz w:val="18"/>
      <w:szCs w:val="18"/>
    </w:rPr>
  </w:style>
  <w:style w:type="paragraph" w:styleId="25">
    <w:name w:val="footer"/>
    <w:basedOn w:val="1"/>
    <w:link w:val="63"/>
    <w:unhideWhenUsed/>
    <w:qFormat/>
    <w:uiPriority w:val="99"/>
    <w:pPr>
      <w:tabs>
        <w:tab w:val="center" w:pos="4153"/>
        <w:tab w:val="right" w:pos="8306"/>
      </w:tabs>
      <w:snapToGrid w:val="0"/>
      <w:spacing w:line="240" w:lineRule="auto"/>
    </w:pPr>
    <w:rPr>
      <w:rFonts w:ascii="Calibri" w:hAnsi="Calibri" w:cs="Times New Roman"/>
      <w:sz w:val="18"/>
      <w:szCs w:val="18"/>
    </w:rPr>
  </w:style>
  <w:style w:type="paragraph" w:styleId="26">
    <w:name w:val="header"/>
    <w:basedOn w:val="1"/>
    <w:link w:val="64"/>
    <w:unhideWhenUsed/>
    <w:qFormat/>
    <w:uiPriority w:val="99"/>
    <w:pPr>
      <w:pBdr>
        <w:bottom w:val="single" w:color="auto" w:sz="6" w:space="1"/>
      </w:pBdr>
      <w:tabs>
        <w:tab w:val="center" w:pos="4153"/>
        <w:tab w:val="right" w:pos="8306"/>
      </w:tabs>
      <w:snapToGrid w:val="0"/>
      <w:spacing w:line="240" w:lineRule="auto"/>
      <w:jc w:val="center"/>
    </w:pPr>
    <w:rPr>
      <w:rFonts w:ascii="Calibri" w:hAnsi="Calibri" w:cs="Times New Roman"/>
      <w:sz w:val="18"/>
      <w:szCs w:val="18"/>
    </w:rPr>
  </w:style>
  <w:style w:type="paragraph" w:styleId="27">
    <w:name w:val="toc 1"/>
    <w:next w:val="1"/>
    <w:qFormat/>
    <w:uiPriority w:val="99"/>
    <w:pPr>
      <w:spacing w:after="6" w:line="258" w:lineRule="auto"/>
      <w:ind w:left="445" w:right="134" w:hanging="10"/>
      <w:jc w:val="both"/>
    </w:pPr>
    <w:rPr>
      <w:rFonts w:ascii="Times New Roman" w:hAnsi="Times New Roman" w:eastAsia="Calibri" w:cs="Calibri"/>
      <w:color w:val="000000"/>
      <w:kern w:val="2"/>
      <w:sz w:val="21"/>
      <w:szCs w:val="22"/>
      <w:lang w:val="en-US" w:eastAsia="zh-CN" w:bidi="ar-SA"/>
    </w:rPr>
  </w:style>
  <w:style w:type="paragraph" w:styleId="28">
    <w:name w:val="toc 4"/>
    <w:next w:val="1"/>
    <w:qFormat/>
    <w:uiPriority w:val="39"/>
    <w:pPr>
      <w:spacing w:after="6" w:line="258" w:lineRule="auto"/>
      <w:ind w:left="847" w:right="129" w:hanging="10"/>
      <w:jc w:val="both"/>
    </w:pPr>
    <w:rPr>
      <w:rFonts w:ascii="Times New Roman" w:hAnsi="Times New Roman" w:eastAsia="Calibri" w:cs="Calibri"/>
      <w:color w:val="000000"/>
      <w:kern w:val="2"/>
      <w:sz w:val="21"/>
      <w:szCs w:val="22"/>
      <w:lang w:val="en-US" w:eastAsia="zh-CN" w:bidi="ar-SA"/>
    </w:rPr>
  </w:style>
  <w:style w:type="paragraph" w:styleId="29">
    <w:name w:val="toc 6"/>
    <w:basedOn w:val="1"/>
    <w:next w:val="1"/>
    <w:unhideWhenUsed/>
    <w:qFormat/>
    <w:uiPriority w:val="39"/>
    <w:pPr>
      <w:widowControl w:val="0"/>
      <w:spacing w:after="0" w:line="240" w:lineRule="auto"/>
      <w:ind w:left="2100" w:leftChars="1000"/>
      <w:jc w:val="both"/>
    </w:pPr>
    <w:rPr>
      <w:rFonts w:ascii="等线" w:hAnsi="等线" w:eastAsia="等线" w:cs="Times New Roman"/>
      <w:color w:val="auto"/>
      <w:sz w:val="21"/>
    </w:rPr>
  </w:style>
  <w:style w:type="paragraph" w:styleId="30">
    <w:name w:val="Body Text Indent 3"/>
    <w:basedOn w:val="1"/>
    <w:link w:val="65"/>
    <w:qFormat/>
    <w:uiPriority w:val="0"/>
    <w:pPr>
      <w:widowControl w:val="0"/>
      <w:spacing w:after="0" w:line="360" w:lineRule="auto"/>
      <w:ind w:left="1079" w:leftChars="114" w:hanging="840" w:hangingChars="350"/>
      <w:jc w:val="both"/>
    </w:pPr>
    <w:rPr>
      <w:rFonts w:ascii="宋体" w:hAnsi="宋体" w:eastAsia="宋体" w:cs="Times New Roman"/>
      <w:color w:val="auto"/>
      <w:sz w:val="24"/>
      <w:szCs w:val="24"/>
    </w:rPr>
  </w:style>
  <w:style w:type="paragraph" w:styleId="31">
    <w:name w:val="toc 2"/>
    <w:next w:val="1"/>
    <w:qFormat/>
    <w:uiPriority w:val="99"/>
    <w:pPr>
      <w:spacing w:after="6" w:line="258" w:lineRule="auto"/>
      <w:ind w:left="430" w:right="127" w:hanging="10"/>
      <w:jc w:val="both"/>
    </w:pPr>
    <w:rPr>
      <w:rFonts w:ascii="Times New Roman" w:hAnsi="Times New Roman" w:eastAsia="Calibri" w:cs="Calibri"/>
      <w:color w:val="000000"/>
      <w:kern w:val="2"/>
      <w:sz w:val="21"/>
      <w:szCs w:val="22"/>
      <w:lang w:val="en-US" w:eastAsia="zh-CN" w:bidi="ar-SA"/>
    </w:rPr>
  </w:style>
  <w:style w:type="paragraph" w:styleId="32">
    <w:name w:val="toc 9"/>
    <w:basedOn w:val="1"/>
    <w:next w:val="1"/>
    <w:unhideWhenUsed/>
    <w:qFormat/>
    <w:uiPriority w:val="39"/>
    <w:pPr>
      <w:widowControl w:val="0"/>
      <w:spacing w:after="0" w:line="240" w:lineRule="auto"/>
      <w:ind w:left="3360" w:leftChars="1600"/>
      <w:jc w:val="both"/>
    </w:pPr>
    <w:rPr>
      <w:rFonts w:ascii="等线" w:hAnsi="等线" w:eastAsia="等线" w:cs="Times New Roman"/>
      <w:color w:val="auto"/>
      <w:sz w:val="21"/>
    </w:rPr>
  </w:style>
  <w:style w:type="paragraph" w:styleId="33">
    <w:name w:val="Body Text 2"/>
    <w:basedOn w:val="1"/>
    <w:unhideWhenUsed/>
    <w:qFormat/>
    <w:uiPriority w:val="0"/>
    <w:rPr>
      <w:rFonts w:ascii="宋体" w:hAnsi="宋体" w:eastAsia="楷体_GB2312"/>
      <w:kern w:val="0"/>
      <w:sz w:val="20"/>
      <w:szCs w:val="24"/>
      <w:u w:val="single"/>
    </w:rPr>
  </w:style>
  <w:style w:type="paragraph" w:styleId="34">
    <w:name w:val="Normal (Web)"/>
    <w:basedOn w:val="1"/>
    <w:qFormat/>
    <w:uiPriority w:val="0"/>
    <w:pPr>
      <w:spacing w:after="113" w:line="225" w:lineRule="atLeast"/>
    </w:pPr>
    <w:rPr>
      <w:rFonts w:ascii="Helvetica" w:hAnsi="Helvetica" w:eastAsia="宋体" w:cs="宋体"/>
      <w:color w:val="auto"/>
      <w:kern w:val="0"/>
      <w:sz w:val="16"/>
      <w:szCs w:val="16"/>
    </w:rPr>
  </w:style>
  <w:style w:type="paragraph" w:styleId="35">
    <w:name w:val="annotation subject"/>
    <w:basedOn w:val="14"/>
    <w:next w:val="14"/>
    <w:link w:val="66"/>
    <w:unhideWhenUsed/>
    <w:qFormat/>
    <w:uiPriority w:val="0"/>
    <w:rPr>
      <w:b/>
      <w:bCs/>
    </w:rPr>
  </w:style>
  <w:style w:type="paragraph" w:styleId="36">
    <w:name w:val="Body Text First Indent"/>
    <w:basedOn w:val="16"/>
    <w:link w:val="67"/>
    <w:unhideWhenUsed/>
    <w:qFormat/>
    <w:uiPriority w:val="99"/>
    <w:pPr>
      <w:ind w:firstLine="420" w:firstLineChars="100"/>
    </w:pPr>
  </w:style>
  <w:style w:type="paragraph" w:styleId="37">
    <w:name w:val="Body Text First Indent 2"/>
    <w:basedOn w:val="1"/>
    <w:unhideWhenUsed/>
    <w:qFormat/>
    <w:uiPriority w:val="0"/>
    <w:pPr>
      <w:spacing w:after="120"/>
      <w:ind w:left="420" w:leftChars="200" w:firstLine="420" w:firstLineChars="20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99"/>
  </w:style>
  <w:style w:type="character" w:styleId="43">
    <w:name w:val="FollowedHyperlink"/>
    <w:unhideWhenUsed/>
    <w:qFormat/>
    <w:uiPriority w:val="99"/>
    <w:rPr>
      <w:color w:val="800080"/>
      <w:u w:val="single"/>
    </w:rPr>
  </w:style>
  <w:style w:type="character" w:styleId="44">
    <w:name w:val="Hyperlink"/>
    <w:unhideWhenUsed/>
    <w:qFormat/>
    <w:uiPriority w:val="99"/>
    <w:rPr>
      <w:color w:val="0563C1"/>
      <w:u w:val="single"/>
    </w:rPr>
  </w:style>
  <w:style w:type="character" w:styleId="45">
    <w:name w:val="annotation reference"/>
    <w:unhideWhenUsed/>
    <w:qFormat/>
    <w:uiPriority w:val="99"/>
    <w:rPr>
      <w:sz w:val="21"/>
      <w:szCs w:val="21"/>
    </w:rPr>
  </w:style>
  <w:style w:type="character" w:customStyle="1" w:styleId="46">
    <w:name w:val="正文缩进 字符"/>
    <w:link w:val="12"/>
    <w:qFormat/>
    <w:locked/>
    <w:uiPriority w:val="0"/>
    <w:rPr>
      <w:rFonts w:ascii="宋体"/>
      <w:sz w:val="34"/>
    </w:rPr>
  </w:style>
  <w:style w:type="character" w:customStyle="1" w:styleId="47">
    <w:name w:val="标题 1 字符"/>
    <w:link w:val="3"/>
    <w:qFormat/>
    <w:uiPriority w:val="99"/>
    <w:rPr>
      <w:rFonts w:ascii="黑体" w:hAnsi="黑体" w:eastAsia="黑体"/>
      <w:color w:val="000000"/>
      <w:sz w:val="32"/>
      <w:lang w:bidi="ar-SA"/>
    </w:rPr>
  </w:style>
  <w:style w:type="character" w:customStyle="1" w:styleId="48">
    <w:name w:val="标题 2 字符"/>
    <w:link w:val="4"/>
    <w:qFormat/>
    <w:uiPriority w:val="9"/>
    <w:rPr>
      <w:rFonts w:ascii="黑体" w:hAnsi="黑体" w:eastAsia="黑体"/>
      <w:color w:val="000000"/>
      <w:sz w:val="28"/>
      <w:lang w:bidi="ar-SA"/>
    </w:rPr>
  </w:style>
  <w:style w:type="character" w:customStyle="1" w:styleId="49">
    <w:name w:val="标题 3 字符"/>
    <w:link w:val="5"/>
    <w:qFormat/>
    <w:uiPriority w:val="0"/>
    <w:rPr>
      <w:rFonts w:ascii="黑体" w:hAnsi="黑体" w:eastAsia="黑体"/>
      <w:color w:val="000000"/>
      <w:sz w:val="28"/>
      <w:lang w:bidi="ar-SA"/>
    </w:rPr>
  </w:style>
  <w:style w:type="character" w:customStyle="1" w:styleId="50">
    <w:name w:val="标题 4 字符"/>
    <w:link w:val="6"/>
    <w:qFormat/>
    <w:uiPriority w:val="0"/>
    <w:rPr>
      <w:rFonts w:ascii="黑体" w:hAnsi="黑体" w:eastAsia="黑体"/>
      <w:color w:val="000000"/>
      <w:sz w:val="28"/>
      <w:lang w:bidi="ar-SA"/>
    </w:rPr>
  </w:style>
  <w:style w:type="character" w:customStyle="1" w:styleId="51">
    <w:name w:val="标题 5 字符"/>
    <w:link w:val="7"/>
    <w:qFormat/>
    <w:uiPriority w:val="0"/>
    <w:rPr>
      <w:rFonts w:ascii="黑体" w:hAnsi="黑体" w:eastAsia="黑体"/>
      <w:color w:val="000000"/>
      <w:sz w:val="28"/>
      <w:lang w:bidi="ar-SA"/>
    </w:rPr>
  </w:style>
  <w:style w:type="character" w:customStyle="1" w:styleId="52">
    <w:name w:val="标题 6 字符"/>
    <w:link w:val="8"/>
    <w:qFormat/>
    <w:uiPriority w:val="0"/>
    <w:rPr>
      <w:rFonts w:ascii="黑体" w:hAnsi="黑体" w:eastAsia="黑体"/>
      <w:color w:val="000000"/>
      <w:sz w:val="28"/>
      <w:lang w:bidi="ar-SA"/>
    </w:rPr>
  </w:style>
  <w:style w:type="character" w:customStyle="1" w:styleId="53">
    <w:name w:val="标题 7 字符"/>
    <w:link w:val="9"/>
    <w:qFormat/>
    <w:uiPriority w:val="0"/>
    <w:rPr>
      <w:rFonts w:ascii="黑体" w:hAnsi="黑体" w:eastAsia="黑体"/>
      <w:color w:val="000000"/>
      <w:sz w:val="28"/>
      <w:lang w:bidi="ar-SA"/>
    </w:rPr>
  </w:style>
  <w:style w:type="character" w:customStyle="1" w:styleId="54">
    <w:name w:val="标题 8 字符"/>
    <w:link w:val="10"/>
    <w:qFormat/>
    <w:uiPriority w:val="0"/>
    <w:rPr>
      <w:rFonts w:ascii="黑体" w:hAnsi="黑体" w:eastAsia="黑体"/>
      <w:color w:val="000000"/>
      <w:sz w:val="28"/>
      <w:lang w:bidi="ar-SA"/>
    </w:rPr>
  </w:style>
  <w:style w:type="character" w:customStyle="1" w:styleId="55">
    <w:name w:val="文档结构图 字符"/>
    <w:link w:val="13"/>
    <w:semiHidden/>
    <w:qFormat/>
    <w:uiPriority w:val="99"/>
    <w:rPr>
      <w:rFonts w:ascii="宋体" w:hAnsi="Calibri" w:cs="Calibri"/>
      <w:color w:val="000000"/>
      <w:kern w:val="2"/>
      <w:sz w:val="18"/>
      <w:szCs w:val="18"/>
    </w:rPr>
  </w:style>
  <w:style w:type="character" w:customStyle="1" w:styleId="56">
    <w:name w:val="批注文字 字符"/>
    <w:link w:val="14"/>
    <w:qFormat/>
    <w:uiPriority w:val="99"/>
    <w:rPr>
      <w:rFonts w:ascii="Calibri" w:hAnsi="Calibri" w:eastAsia="Calibri" w:cs="Calibri"/>
      <w:color w:val="000000"/>
      <w:kern w:val="2"/>
      <w:sz w:val="22"/>
      <w:szCs w:val="22"/>
    </w:rPr>
  </w:style>
  <w:style w:type="character" w:customStyle="1" w:styleId="57">
    <w:name w:val="正文文本 字符"/>
    <w:link w:val="16"/>
    <w:semiHidden/>
    <w:qFormat/>
    <w:uiPriority w:val="99"/>
    <w:rPr>
      <w:rFonts w:ascii="Calibri" w:hAnsi="Calibri" w:eastAsia="Calibri" w:cs="Calibri"/>
      <w:color w:val="000000"/>
      <w:kern w:val="2"/>
      <w:sz w:val="22"/>
      <w:szCs w:val="22"/>
    </w:rPr>
  </w:style>
  <w:style w:type="character" w:customStyle="1" w:styleId="58">
    <w:name w:val="正文文本缩进 字符"/>
    <w:link w:val="17"/>
    <w:semiHidden/>
    <w:qFormat/>
    <w:uiPriority w:val="99"/>
    <w:rPr>
      <w:rFonts w:ascii="Calibri" w:hAnsi="Calibri" w:eastAsia="Calibri" w:cs="Calibri"/>
      <w:color w:val="000000"/>
      <w:kern w:val="2"/>
      <w:sz w:val="22"/>
      <w:szCs w:val="22"/>
    </w:rPr>
  </w:style>
  <w:style w:type="character" w:customStyle="1" w:styleId="59">
    <w:name w:val="纯文本 字符"/>
    <w:link w:val="2"/>
    <w:qFormat/>
    <w:uiPriority w:val="99"/>
    <w:rPr>
      <w:rFonts w:ascii="宋体" w:hAnsi="Courier New" w:eastAsia="Calibri" w:cs="Calibri"/>
      <w:color w:val="000000"/>
      <w:kern w:val="2"/>
      <w:sz w:val="22"/>
      <w:szCs w:val="22"/>
    </w:rPr>
  </w:style>
  <w:style w:type="character" w:customStyle="1" w:styleId="60">
    <w:name w:val="日期 字符"/>
    <w:link w:val="22"/>
    <w:qFormat/>
    <w:uiPriority w:val="0"/>
    <w:rPr>
      <w:kern w:val="2"/>
      <w:sz w:val="28"/>
    </w:rPr>
  </w:style>
  <w:style w:type="character" w:customStyle="1" w:styleId="61">
    <w:name w:val="正文文本缩进 2 字符"/>
    <w:link w:val="23"/>
    <w:qFormat/>
    <w:uiPriority w:val="99"/>
    <w:rPr>
      <w:rFonts w:ascii="宋体"/>
      <w:kern w:val="2"/>
      <w:sz w:val="28"/>
    </w:rPr>
  </w:style>
  <w:style w:type="character" w:customStyle="1" w:styleId="62">
    <w:name w:val="批注框文本 字符"/>
    <w:link w:val="24"/>
    <w:semiHidden/>
    <w:qFormat/>
    <w:uiPriority w:val="99"/>
    <w:rPr>
      <w:rFonts w:ascii="Calibri" w:hAnsi="Calibri" w:eastAsia="Calibri" w:cs="Calibri"/>
      <w:color w:val="000000"/>
      <w:kern w:val="2"/>
      <w:sz w:val="18"/>
      <w:szCs w:val="18"/>
    </w:rPr>
  </w:style>
  <w:style w:type="character" w:customStyle="1" w:styleId="63">
    <w:name w:val="页脚 字符"/>
    <w:link w:val="25"/>
    <w:qFormat/>
    <w:uiPriority w:val="99"/>
    <w:rPr>
      <w:rFonts w:ascii="Calibri" w:hAnsi="Calibri" w:eastAsia="Calibri" w:cs="Calibri"/>
      <w:color w:val="000000"/>
      <w:kern w:val="2"/>
      <w:sz w:val="18"/>
      <w:szCs w:val="18"/>
    </w:rPr>
  </w:style>
  <w:style w:type="character" w:customStyle="1" w:styleId="64">
    <w:name w:val="页眉 字符"/>
    <w:link w:val="26"/>
    <w:qFormat/>
    <w:uiPriority w:val="99"/>
    <w:rPr>
      <w:rFonts w:ascii="Calibri" w:hAnsi="Calibri" w:eastAsia="Calibri" w:cs="Calibri"/>
      <w:color w:val="000000"/>
      <w:kern w:val="2"/>
      <w:sz w:val="18"/>
      <w:szCs w:val="18"/>
    </w:rPr>
  </w:style>
  <w:style w:type="character" w:customStyle="1" w:styleId="65">
    <w:name w:val="正文文本缩进 3 字符"/>
    <w:link w:val="30"/>
    <w:qFormat/>
    <w:uiPriority w:val="0"/>
    <w:rPr>
      <w:rFonts w:ascii="宋体" w:hAnsi="宋体"/>
      <w:kern w:val="2"/>
      <w:sz w:val="24"/>
      <w:szCs w:val="24"/>
    </w:rPr>
  </w:style>
  <w:style w:type="character" w:customStyle="1" w:styleId="66">
    <w:name w:val="批注主题 字符"/>
    <w:link w:val="35"/>
    <w:qFormat/>
    <w:uiPriority w:val="0"/>
    <w:rPr>
      <w:rFonts w:ascii="Calibri" w:hAnsi="Calibri" w:eastAsia="Calibri" w:cs="Calibri"/>
      <w:b/>
      <w:bCs/>
      <w:color w:val="000000"/>
      <w:kern w:val="2"/>
      <w:sz w:val="22"/>
      <w:szCs w:val="22"/>
    </w:rPr>
  </w:style>
  <w:style w:type="character" w:customStyle="1" w:styleId="67">
    <w:name w:val="正文首行缩进 字符"/>
    <w:link w:val="36"/>
    <w:qFormat/>
    <w:uiPriority w:val="99"/>
  </w:style>
  <w:style w:type="paragraph" w:customStyle="1" w:styleId="68">
    <w:name w:val="Default"/>
    <w:next w:val="6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6'"/>
    <w:basedOn w:val="1"/>
    <w:next w:val="70"/>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0">
    <w:name w:val="AOHead3"/>
    <w:basedOn w:val="1"/>
    <w:next w:val="1"/>
    <w:qFormat/>
    <w:uiPriority w:val="0"/>
    <w:pPr>
      <w:spacing w:line="360" w:lineRule="auto"/>
      <w:ind w:left="1260"/>
      <w:outlineLvl w:val="2"/>
    </w:pPr>
    <w:rPr>
      <w:color w:val="0000FF"/>
    </w:rPr>
  </w:style>
  <w:style w:type="paragraph" w:customStyle="1" w:styleId="71">
    <w:name w:val="_Style 3"/>
    <w:basedOn w:val="1"/>
    <w:qFormat/>
    <w:uiPriority w:val="0"/>
    <w:pPr>
      <w:ind w:firstLine="420" w:firstLineChars="200"/>
    </w:pPr>
    <w:rPr>
      <w:rFonts w:ascii="Times New Roman" w:hAnsi="Times New Roman" w:eastAsia="宋体" w:cs="Times New Roman"/>
      <w:sz w:val="20"/>
    </w:rPr>
  </w:style>
  <w:style w:type="paragraph" w:customStyle="1" w:styleId="72">
    <w:name w:val="样式2"/>
    <w:basedOn w:val="4"/>
    <w:qFormat/>
    <w:uiPriority w:val="0"/>
    <w:pPr>
      <w:widowControl w:val="0"/>
      <w:numPr>
        <w:ilvl w:val="2"/>
        <w:numId w:val="0"/>
      </w:numPr>
      <w:tabs>
        <w:tab w:val="left" w:pos="1200"/>
      </w:tabs>
      <w:spacing w:before="260" w:after="260" w:line="413" w:lineRule="auto"/>
      <w:ind w:right="0"/>
      <w:jc w:val="center"/>
    </w:pPr>
    <w:rPr>
      <w:rFonts w:ascii="Arial" w:hAnsi="Arial" w:eastAsia="华文中宋"/>
      <w:b/>
      <w:bCs/>
      <w:color w:val="auto"/>
      <w:kern w:val="2"/>
      <w:sz w:val="36"/>
      <w:szCs w:val="36"/>
    </w:rPr>
  </w:style>
  <w:style w:type="character" w:customStyle="1" w:styleId="73">
    <w:name w:val="日期 Char1"/>
    <w:semiHidden/>
    <w:qFormat/>
    <w:uiPriority w:val="99"/>
    <w:rPr>
      <w:rFonts w:ascii="Calibri" w:hAnsi="Calibri" w:eastAsia="Calibri" w:cs="Calibri"/>
      <w:color w:val="000000"/>
      <w:kern w:val="2"/>
      <w:sz w:val="22"/>
      <w:szCs w:val="22"/>
    </w:rPr>
  </w:style>
  <w:style w:type="character" w:customStyle="1" w:styleId="74">
    <w:name w:val="font21"/>
    <w:qFormat/>
    <w:uiPriority w:val="0"/>
    <w:rPr>
      <w:rFonts w:hint="eastAsia" w:ascii="宋体" w:hAnsi="宋体" w:eastAsia="宋体" w:cs="宋体"/>
      <w:color w:val="000000"/>
      <w:sz w:val="22"/>
      <w:szCs w:val="22"/>
      <w:u w:val="none"/>
    </w:rPr>
  </w:style>
  <w:style w:type="character" w:customStyle="1" w:styleId="75">
    <w:name w:val="font81"/>
    <w:qFormat/>
    <w:uiPriority w:val="0"/>
    <w:rPr>
      <w:rFonts w:hint="default" w:ascii="Times New Roman" w:hAnsi="Times New Roman" w:cs="Times New Roman"/>
      <w:color w:val="000000"/>
      <w:sz w:val="21"/>
      <w:szCs w:val="21"/>
      <w:u w:val="none"/>
    </w:rPr>
  </w:style>
  <w:style w:type="character" w:customStyle="1" w:styleId="76">
    <w:name w:val="font51"/>
    <w:qFormat/>
    <w:uiPriority w:val="0"/>
    <w:rPr>
      <w:rFonts w:hint="default" w:ascii="Times New Roman" w:hAnsi="Times New Roman" w:cs="Times New Roman"/>
      <w:color w:val="000000"/>
      <w:sz w:val="21"/>
      <w:szCs w:val="21"/>
      <w:u w:val="none"/>
    </w:rPr>
  </w:style>
  <w:style w:type="character" w:customStyle="1" w:styleId="77">
    <w:name w:val="未处理的提及"/>
    <w:unhideWhenUsed/>
    <w:qFormat/>
    <w:uiPriority w:val="99"/>
    <w:rPr>
      <w:color w:val="605E5C"/>
      <w:shd w:val="clear" w:color="auto" w:fill="E1DFDD"/>
    </w:rPr>
  </w:style>
  <w:style w:type="character" w:customStyle="1" w:styleId="78">
    <w:name w:val="font31"/>
    <w:qFormat/>
    <w:uiPriority w:val="0"/>
    <w:rPr>
      <w:rFonts w:hint="eastAsia" w:ascii="宋体" w:hAnsi="宋体" w:eastAsia="宋体" w:cs="宋体"/>
      <w:color w:val="000000"/>
      <w:sz w:val="21"/>
      <w:szCs w:val="21"/>
      <w:u w:val="none"/>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正文文本缩进 2 Char1"/>
    <w:semiHidden/>
    <w:qFormat/>
    <w:uiPriority w:val="99"/>
    <w:rPr>
      <w:rFonts w:ascii="Calibri" w:hAnsi="Calibri" w:eastAsia="Calibri" w:cs="Calibri"/>
      <w:color w:val="000000"/>
      <w:kern w:val="2"/>
      <w:sz w:val="22"/>
      <w:szCs w:val="22"/>
    </w:rPr>
  </w:style>
  <w:style w:type="character" w:customStyle="1" w:styleId="81">
    <w:name w:val="Span_underline"/>
    <w:qFormat/>
    <w:uiPriority w:val="0"/>
    <w:rPr>
      <w:u w:val="single"/>
    </w:rPr>
  </w:style>
  <w:style w:type="character" w:customStyle="1" w:styleId="82">
    <w:name w:val="文一 Char"/>
    <w:link w:val="83"/>
    <w:qFormat/>
    <w:uiPriority w:val="0"/>
    <w:rPr>
      <w:rFonts w:ascii="Calibri" w:hAnsi="Calibri" w:eastAsia="Calibri"/>
      <w:snapToGrid w:val="0"/>
      <w:color w:val="000000"/>
      <w:spacing w:val="4"/>
      <w:kern w:val="2"/>
      <w:sz w:val="24"/>
      <w:szCs w:val="22"/>
    </w:rPr>
  </w:style>
  <w:style w:type="paragraph" w:customStyle="1" w:styleId="83">
    <w:name w:val="文一"/>
    <w:basedOn w:val="1"/>
    <w:link w:val="82"/>
    <w:qFormat/>
    <w:uiPriority w:val="0"/>
    <w:pPr>
      <w:topLinePunct/>
      <w:adjustRightInd w:val="0"/>
      <w:snapToGrid w:val="0"/>
      <w:spacing w:line="360" w:lineRule="auto"/>
      <w:ind w:firstLine="200" w:firstLineChars="200"/>
    </w:pPr>
    <w:rPr>
      <w:rFonts w:ascii="Calibri" w:hAnsi="Calibri" w:cs="Times New Roman"/>
      <w:snapToGrid w:val="0"/>
      <w:spacing w:val="4"/>
      <w:sz w:val="24"/>
    </w:rPr>
  </w:style>
  <w:style w:type="character" w:customStyle="1" w:styleId="84">
    <w:name w:val="apple-style-span"/>
    <w:qFormat/>
    <w:uiPriority w:val="99"/>
  </w:style>
  <w:style w:type="character" w:customStyle="1" w:styleId="85">
    <w:name w:val="font11"/>
    <w:qFormat/>
    <w:uiPriority w:val="0"/>
    <w:rPr>
      <w:rFonts w:hint="eastAsia" w:ascii="宋体" w:hAnsi="宋体" w:eastAsia="宋体" w:cs="宋体"/>
      <w:color w:val="000000"/>
      <w:sz w:val="22"/>
      <w:szCs w:val="22"/>
      <w:u w:val="none"/>
      <w:vertAlign w:val="superscript"/>
    </w:rPr>
  </w:style>
  <w:style w:type="paragraph" w:customStyle="1" w:styleId="86">
    <w:name w:val="xl92"/>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8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4"/>
      <w:szCs w:val="24"/>
    </w:rPr>
  </w:style>
  <w:style w:type="paragraph" w:customStyle="1" w:styleId="88">
    <w:name w:val="xl76"/>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4"/>
      <w:szCs w:val="24"/>
    </w:rPr>
  </w:style>
  <w:style w:type="paragraph" w:customStyle="1" w:styleId="89">
    <w:name w:val="xl81"/>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90">
    <w:name w:val="xl90"/>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91">
    <w:name w:val="xl85"/>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92">
    <w:name w:val="xl93"/>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93">
    <w:name w:val=" Char"/>
    <w:basedOn w:val="1"/>
    <w:qFormat/>
    <w:uiPriority w:val="0"/>
    <w:pPr>
      <w:widowControl w:val="0"/>
      <w:spacing w:after="0" w:line="240" w:lineRule="auto"/>
      <w:jc w:val="both"/>
    </w:pPr>
    <w:rPr>
      <w:rFonts w:ascii="Times New Roman" w:hAnsi="Times New Roman" w:eastAsia="宋体" w:cs="Times New Roman"/>
      <w:color w:val="auto"/>
      <w:sz w:val="30"/>
      <w:szCs w:val="24"/>
    </w:rPr>
  </w:style>
  <w:style w:type="paragraph" w:customStyle="1" w:styleId="94">
    <w:name w:val="xl77"/>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4"/>
      <w:szCs w:val="24"/>
    </w:rPr>
  </w:style>
  <w:style w:type="paragraph" w:customStyle="1" w:styleId="95">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96">
    <w:name w:val="xl11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9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8"/>
      <w:szCs w:val="28"/>
    </w:rPr>
  </w:style>
  <w:style w:type="paragraph" w:customStyle="1" w:styleId="98">
    <w:name w:val="xl8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99">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00">
    <w:name w:val="xl106"/>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01">
    <w:name w:val="xl10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02">
    <w:name w:val="xl11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03">
    <w:name w:val="表头"/>
    <w:basedOn w:val="1"/>
    <w:qFormat/>
    <w:uiPriority w:val="99"/>
    <w:pPr>
      <w:widowControl w:val="0"/>
      <w:spacing w:after="0" w:line="360" w:lineRule="auto"/>
      <w:jc w:val="center"/>
    </w:pPr>
    <w:rPr>
      <w:rFonts w:ascii="黑体" w:hAnsi="Times New Roman" w:eastAsia="黑体" w:cs="Times New Roman"/>
      <w:color w:val="auto"/>
      <w:kern w:val="0"/>
      <w:sz w:val="24"/>
      <w:szCs w:val="20"/>
    </w:rPr>
  </w:style>
  <w:style w:type="paragraph" w:customStyle="1" w:styleId="104">
    <w:name w:val="样式 样式 标题 2 + 小四 + 段后: 0.5 行"/>
    <w:basedOn w:val="1"/>
    <w:qFormat/>
    <w:uiPriority w:val="0"/>
    <w:pPr>
      <w:keepNext/>
      <w:keepLines/>
      <w:widowControl w:val="0"/>
      <w:numPr>
        <w:ilvl w:val="0"/>
        <w:numId w:val="1"/>
      </w:numPr>
      <w:tabs>
        <w:tab w:val="left" w:pos="360"/>
      </w:tabs>
      <w:adjustRightInd w:val="0"/>
      <w:spacing w:after="156" w:afterLines="50" w:line="360" w:lineRule="auto"/>
      <w:textAlignment w:val="baseline"/>
      <w:outlineLvl w:val="1"/>
    </w:pPr>
    <w:rPr>
      <w:rFonts w:ascii="Times New Roman" w:hAnsi="Times New Roman" w:eastAsia="黑体" w:cs="Times New Roman"/>
      <w:b/>
      <w:bCs/>
      <w:color w:val="auto"/>
      <w:kern w:val="0"/>
      <w:sz w:val="28"/>
      <w:szCs w:val="28"/>
    </w:rPr>
  </w:style>
  <w:style w:type="paragraph" w:customStyle="1" w:styleId="105">
    <w:name w:val="xl104"/>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06">
    <w:name w:val="xl8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07">
    <w:name w:val="xl10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108">
    <w:name w:val="xl65"/>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109">
    <w:name w:val="_Style 40"/>
    <w:next w:val="1"/>
    <w:qFormat/>
    <w:uiPriority w:val="99"/>
    <w:pPr>
      <w:spacing w:after="160" w:line="259" w:lineRule="auto"/>
    </w:pPr>
    <w:rPr>
      <w:rFonts w:ascii="Times New Roman" w:hAnsi="Times New Roman" w:eastAsia="Calibri" w:cs="Calibri"/>
      <w:color w:val="000000"/>
      <w:kern w:val="2"/>
      <w:sz w:val="22"/>
      <w:szCs w:val="22"/>
      <w:lang w:val="en-US" w:eastAsia="zh-CN" w:bidi="ar-SA"/>
    </w:rPr>
  </w:style>
  <w:style w:type="paragraph" w:customStyle="1" w:styleId="110">
    <w:name w:val="xl94"/>
    <w:basedOn w:val="1"/>
    <w:qFormat/>
    <w:uiPriority w:val="0"/>
    <w:pPr>
      <w:pBdr>
        <w:lef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11">
    <w:name w:val="xl97"/>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1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宋体" w:cs="Arial"/>
      <w:color w:val="auto"/>
      <w:kern w:val="0"/>
      <w:sz w:val="24"/>
      <w:szCs w:val="24"/>
    </w:rPr>
  </w:style>
  <w:style w:type="paragraph" w:customStyle="1" w:styleId="113">
    <w:name w:val=" Char Char Char Char Char Char Char"/>
    <w:basedOn w:val="1"/>
    <w:qFormat/>
    <w:uiPriority w:val="0"/>
    <w:pPr>
      <w:spacing w:line="240" w:lineRule="exact"/>
    </w:pPr>
    <w:rPr>
      <w:rFonts w:ascii="Verdana" w:hAnsi="Verdana" w:eastAsia="仿宋_GB2312" w:cs="Times New Roman"/>
      <w:color w:val="auto"/>
      <w:kern w:val="0"/>
      <w:sz w:val="30"/>
      <w:szCs w:val="30"/>
      <w:lang w:eastAsia="en-US"/>
    </w:rPr>
  </w:style>
  <w:style w:type="paragraph" w:styleId="1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xl91"/>
    <w:basedOn w:val="1"/>
    <w:qFormat/>
    <w:uiPriority w:val="0"/>
    <w:pPr>
      <w:pBdr>
        <w:top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16">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17">
    <w:name w:val="WPSOffice手动目录 2"/>
    <w:qFormat/>
    <w:uiPriority w:val="0"/>
    <w:pPr>
      <w:ind w:leftChars="200"/>
    </w:pPr>
    <w:rPr>
      <w:rFonts w:ascii="Times New Roman" w:hAnsi="Times New Roman" w:eastAsia="宋体" w:cs="Times New Roman"/>
      <w:lang w:val="en-US" w:eastAsia="zh-CN" w:bidi="ar-SA"/>
    </w:rPr>
  </w:style>
  <w:style w:type="paragraph" w:styleId="118">
    <w:name w:val="List Paragraph"/>
    <w:basedOn w:val="1"/>
    <w:qFormat/>
    <w:uiPriority w:val="0"/>
    <w:pPr>
      <w:ind w:firstLine="420" w:firstLineChars="200"/>
    </w:pPr>
  </w:style>
  <w:style w:type="paragraph" w:customStyle="1" w:styleId="119">
    <w:name w:val="xl8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20">
    <w:name w:val="xl10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12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color w:val="auto"/>
      <w:kern w:val="0"/>
      <w:sz w:val="24"/>
      <w:szCs w:val="24"/>
    </w:rPr>
  </w:style>
  <w:style w:type="paragraph" w:customStyle="1" w:styleId="122">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98"/>
    <w:basedOn w:val="1"/>
    <w:qFormat/>
    <w:uiPriority w:val="0"/>
    <w:pPr>
      <w:pBdr>
        <w:lef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2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4"/>
      <w:szCs w:val="24"/>
    </w:rPr>
  </w:style>
  <w:style w:type="paragraph" w:customStyle="1" w:styleId="125">
    <w:name w:val="xl10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126">
    <w:name w:val="xl110"/>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27">
    <w:name w:val="xl78"/>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4"/>
      <w:szCs w:val="24"/>
    </w:rPr>
  </w:style>
  <w:style w:type="paragraph" w:customStyle="1" w:styleId="128">
    <w:name w:val="p16"/>
    <w:basedOn w:val="1"/>
    <w:qFormat/>
    <w:uiPriority w:val="0"/>
    <w:pPr>
      <w:spacing w:after="0" w:line="240" w:lineRule="auto"/>
      <w:jc w:val="both"/>
    </w:pPr>
    <w:rPr>
      <w:rFonts w:ascii="Times New Roman" w:hAnsi="Times New Roman" w:eastAsia="宋体" w:cs="Times New Roman"/>
      <w:color w:val="auto"/>
      <w:kern w:val="0"/>
      <w:sz w:val="21"/>
      <w:szCs w:val="21"/>
    </w:rPr>
  </w:style>
  <w:style w:type="paragraph" w:customStyle="1" w:styleId="129">
    <w:name w:val="xl113"/>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30">
    <w:name w:val="p0"/>
    <w:basedOn w:val="1"/>
    <w:qFormat/>
    <w:uiPriority w:val="0"/>
    <w:pPr>
      <w:spacing w:before="75" w:after="75"/>
    </w:pPr>
    <w:rPr>
      <w:rFonts w:ascii="宋体" w:hAnsi="宋体" w:cs="宋体"/>
      <w:kern w:val="0"/>
      <w:sz w:val="24"/>
      <w:szCs w:val="24"/>
    </w:rPr>
  </w:style>
  <w:style w:type="paragraph" w:customStyle="1" w:styleId="131">
    <w:name w:val="_Style 130"/>
    <w:qFormat/>
    <w:uiPriority w:val="99"/>
    <w:rPr>
      <w:rFonts w:ascii="Times New Roman" w:hAnsi="Times New Roman" w:eastAsia="Calibri" w:cs="Calibri"/>
      <w:color w:val="000000"/>
      <w:kern w:val="2"/>
      <w:sz w:val="22"/>
      <w:szCs w:val="22"/>
      <w:lang w:val="en-US" w:eastAsia="zh-CN" w:bidi="ar-SA"/>
    </w:rPr>
  </w:style>
  <w:style w:type="paragraph" w:customStyle="1" w:styleId="132">
    <w:name w:val="Char Char Char1 Char"/>
    <w:basedOn w:val="13"/>
    <w:qFormat/>
    <w:uiPriority w:val="0"/>
    <w:pPr>
      <w:widowControl w:val="0"/>
      <w:shd w:val="clear" w:color="auto" w:fill="000080"/>
      <w:spacing w:after="0" w:line="240" w:lineRule="auto"/>
      <w:jc w:val="both"/>
    </w:pPr>
    <w:rPr>
      <w:rFonts w:ascii="Tahoma" w:hAnsi="Tahoma"/>
      <w:color w:val="auto"/>
      <w:sz w:val="24"/>
      <w:szCs w:val="24"/>
    </w:rPr>
  </w:style>
  <w:style w:type="paragraph" w:customStyle="1" w:styleId="133">
    <w:name w:val="xl115"/>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both"/>
      <w:textAlignment w:val="center"/>
    </w:pPr>
    <w:rPr>
      <w:rFonts w:ascii="宋体" w:hAnsi="宋体" w:eastAsia="宋体" w:cs="宋体"/>
      <w:color w:val="auto"/>
      <w:kern w:val="0"/>
      <w:sz w:val="20"/>
      <w:szCs w:val="20"/>
    </w:rPr>
  </w:style>
  <w:style w:type="paragraph" w:customStyle="1" w:styleId="134">
    <w:name w:val="xl82"/>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135">
    <w:name w:val="xl99"/>
    <w:basedOn w:val="1"/>
    <w:qFormat/>
    <w:uiPriority w:val="0"/>
    <w:pPr>
      <w:pBdr>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36">
    <w:name w:val="reader-word-layer"/>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137">
    <w:name w:val="xl108"/>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4"/>
      <w:szCs w:val="24"/>
    </w:rPr>
  </w:style>
  <w:style w:type="paragraph" w:customStyle="1" w:styleId="13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9">
    <w:name w:val="Body text|1"/>
    <w:basedOn w:val="1"/>
    <w:qFormat/>
    <w:uiPriority w:val="0"/>
    <w:pPr>
      <w:widowControl w:val="0"/>
      <w:shd w:val="clear" w:color="auto" w:fill="auto"/>
      <w:spacing w:line="386" w:lineRule="auto"/>
      <w:ind w:firstLine="400"/>
    </w:pPr>
    <w:rPr>
      <w:rFonts w:ascii="宋体" w:hAnsi="宋体" w:eastAsia="宋体" w:cs="宋体"/>
      <w:sz w:val="20"/>
      <w:szCs w:val="20"/>
      <w:u w:val="none"/>
      <w:shd w:val="clear" w:color="auto" w:fill="auto"/>
      <w:lang w:val="zh-TW" w:eastAsia="zh-TW" w:bidi="zh-TW"/>
    </w:rPr>
  </w:style>
  <w:style w:type="paragraph" w:customStyle="1" w:styleId="140">
    <w:name w:val="自正文2"/>
    <w:basedOn w:val="1"/>
    <w:qFormat/>
    <w:uiPriority w:val="0"/>
    <w:pPr>
      <w:widowControl w:val="0"/>
      <w:spacing w:after="0" w:line="240" w:lineRule="auto"/>
      <w:ind w:firstLine="598" w:firstLineChars="249"/>
      <w:jc w:val="both"/>
    </w:pPr>
    <w:rPr>
      <w:rFonts w:ascii="宋体" w:hAnsi="宋体" w:eastAsia="宋体" w:cs="Times New Roman"/>
      <w:snapToGrid w:val="0"/>
      <w:sz w:val="24"/>
      <w:szCs w:val="20"/>
    </w:rPr>
  </w:style>
  <w:style w:type="paragraph" w:customStyle="1" w:styleId="141">
    <w:name w:val="xl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42">
    <w:name w:val="font5"/>
    <w:basedOn w:val="1"/>
    <w:qFormat/>
    <w:uiPriority w:val="0"/>
    <w:pPr>
      <w:spacing w:before="100" w:beforeAutospacing="1" w:after="100" w:afterAutospacing="1" w:line="240" w:lineRule="auto"/>
    </w:pPr>
    <w:rPr>
      <w:rFonts w:ascii="宋体" w:hAnsi="宋体" w:eastAsia="宋体" w:cs="宋体"/>
      <w:color w:val="auto"/>
      <w:kern w:val="0"/>
    </w:rPr>
  </w:style>
  <w:style w:type="paragraph" w:customStyle="1" w:styleId="143">
    <w:name w:val="font7"/>
    <w:basedOn w:val="1"/>
    <w:qFormat/>
    <w:uiPriority w:val="0"/>
    <w:pPr>
      <w:spacing w:before="100" w:beforeAutospacing="1" w:after="100" w:afterAutospacing="1" w:line="240" w:lineRule="auto"/>
    </w:pPr>
    <w:rPr>
      <w:rFonts w:ascii="宋体" w:hAnsi="宋体" w:eastAsia="宋体" w:cs="宋体"/>
      <w:color w:val="auto"/>
      <w:kern w:val="0"/>
    </w:rPr>
  </w:style>
  <w:style w:type="paragraph" w:customStyle="1" w:styleId="14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kern w:val="0"/>
      <w:sz w:val="24"/>
      <w:szCs w:val="24"/>
    </w:rPr>
  </w:style>
  <w:style w:type="paragraph" w:customStyle="1" w:styleId="14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46">
    <w:name w:val="xl96"/>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47">
    <w:name w:val="默认段落字体 Para Char"/>
    <w:basedOn w:val="1"/>
    <w:qFormat/>
    <w:uiPriority w:val="0"/>
    <w:pPr>
      <w:widowControl w:val="0"/>
      <w:spacing w:after="0" w:line="240" w:lineRule="auto"/>
      <w:jc w:val="both"/>
    </w:pPr>
    <w:rPr>
      <w:rFonts w:ascii="Times New Roman" w:hAnsi="Times New Roman" w:eastAsia="宋体" w:cs="Times New Roman"/>
      <w:color w:val="auto"/>
      <w:sz w:val="30"/>
      <w:szCs w:val="24"/>
    </w:rPr>
  </w:style>
  <w:style w:type="paragraph" w:customStyle="1" w:styleId="148">
    <w:name w:val="表格文字"/>
    <w:basedOn w:val="1"/>
    <w:next w:val="1"/>
    <w:qFormat/>
    <w:uiPriority w:val="0"/>
    <w:pPr>
      <w:widowControl w:val="0"/>
      <w:snapToGrid w:val="0"/>
      <w:spacing w:after="0" w:line="360" w:lineRule="atLeast"/>
      <w:jc w:val="center"/>
    </w:pPr>
    <w:rPr>
      <w:rFonts w:ascii="宋体" w:hAnsi="Times New Roman" w:eastAsia="幼圆" w:cs="Times New Roman"/>
      <w:color w:val="auto"/>
      <w:sz w:val="21"/>
      <w:szCs w:val="20"/>
    </w:rPr>
  </w:style>
  <w:style w:type="paragraph" w:customStyle="1" w:styleId="149">
    <w:name w:val="xl11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150">
    <w:name w:val="font8"/>
    <w:basedOn w:val="1"/>
    <w:qFormat/>
    <w:uiPriority w:val="0"/>
    <w:pPr>
      <w:spacing w:before="100" w:beforeAutospacing="1" w:after="100" w:afterAutospacing="1" w:line="240" w:lineRule="auto"/>
    </w:pPr>
    <w:rPr>
      <w:rFonts w:ascii="宋体" w:hAnsi="宋体" w:eastAsia="宋体" w:cs="宋体"/>
      <w:color w:val="auto"/>
      <w:kern w:val="0"/>
      <w:sz w:val="18"/>
      <w:szCs w:val="18"/>
    </w:rPr>
  </w:style>
  <w:style w:type="paragraph" w:customStyle="1" w:styleId="151">
    <w:name w:val="xl8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152">
    <w:name w:val="Char"/>
    <w:basedOn w:val="1"/>
    <w:qFormat/>
    <w:uiPriority w:val="0"/>
    <w:pPr>
      <w:widowControl w:val="0"/>
      <w:spacing w:after="0" w:line="240" w:lineRule="auto"/>
      <w:jc w:val="both"/>
    </w:pPr>
    <w:rPr>
      <w:rFonts w:ascii="Tahoma" w:hAnsi="Tahoma" w:eastAsia="宋体" w:cs="Times New Roman"/>
      <w:color w:val="auto"/>
      <w:sz w:val="24"/>
      <w:szCs w:val="20"/>
    </w:rPr>
  </w:style>
  <w:style w:type="paragraph" w:customStyle="1" w:styleId="153">
    <w:name w:val="xl88"/>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154">
    <w:name w:val="_Style 153"/>
    <w:basedOn w:val="3"/>
    <w:next w:val="1"/>
    <w:qFormat/>
    <w:uiPriority w:val="39"/>
    <w:pPr>
      <w:spacing w:before="480" w:after="0" w:line="276" w:lineRule="auto"/>
      <w:ind w:left="0" w:right="0" w:firstLine="0"/>
      <w:outlineLvl w:val="9"/>
    </w:pPr>
    <w:rPr>
      <w:rFonts w:ascii="Cambria" w:hAnsi="Cambria" w:eastAsia="宋体"/>
      <w:b/>
      <w:bCs/>
      <w:color w:val="365F91"/>
      <w:sz w:val="28"/>
      <w:szCs w:val="28"/>
    </w:rPr>
  </w:style>
  <w:style w:type="paragraph" w:customStyle="1" w:styleId="155">
    <w:name w:val="Blockquote"/>
    <w:basedOn w:val="1"/>
    <w:qFormat/>
    <w:uiPriority w:val="0"/>
    <w:pPr>
      <w:widowControl w:val="0"/>
      <w:autoSpaceDE w:val="0"/>
      <w:autoSpaceDN w:val="0"/>
      <w:adjustRightInd w:val="0"/>
      <w:spacing w:before="100" w:after="100" w:line="240" w:lineRule="auto"/>
      <w:ind w:left="360" w:right="360"/>
    </w:pPr>
    <w:rPr>
      <w:rFonts w:ascii="Times New Roman" w:hAnsi="Times New Roman" w:eastAsia="宋体" w:cs="Times New Roman"/>
      <w:color w:val="auto"/>
      <w:kern w:val="0"/>
      <w:sz w:val="24"/>
      <w:szCs w:val="20"/>
    </w:rPr>
  </w:style>
  <w:style w:type="paragraph" w:customStyle="1" w:styleId="156">
    <w:name w:val="样式 标题 1 + 小三"/>
    <w:basedOn w:val="3"/>
    <w:qFormat/>
    <w:uiPriority w:val="0"/>
    <w:pPr>
      <w:widowControl w:val="0"/>
      <w:spacing w:before="340" w:after="330" w:line="240" w:lineRule="auto"/>
      <w:ind w:left="0" w:right="0" w:firstLine="0"/>
      <w:jc w:val="center"/>
    </w:pPr>
    <w:rPr>
      <w:rFonts w:ascii="Times New Roman" w:hAnsi="Times New Roman" w:eastAsia="宋体"/>
      <w:b/>
      <w:bCs/>
      <w:color w:val="auto"/>
      <w:kern w:val="44"/>
      <w:sz w:val="30"/>
      <w:szCs w:val="44"/>
    </w:rPr>
  </w:style>
  <w:style w:type="paragraph" w:customStyle="1" w:styleId="15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FF0000"/>
      <w:kern w:val="0"/>
      <w:sz w:val="24"/>
      <w:szCs w:val="24"/>
    </w:rPr>
  </w:style>
  <w:style w:type="paragraph" w:customStyle="1" w:styleId="158">
    <w:name w:val="文二"/>
    <w:basedOn w:val="1"/>
    <w:qFormat/>
    <w:uiPriority w:val="0"/>
    <w:pPr>
      <w:widowControl w:val="0"/>
      <w:spacing w:after="0" w:line="240" w:lineRule="auto"/>
    </w:pPr>
    <w:rPr>
      <w:rFonts w:ascii="宋体" w:hAnsi="宋体" w:eastAsia="宋体" w:cs="Times New Roman"/>
      <w:color w:val="auto"/>
      <w:sz w:val="21"/>
      <w:szCs w:val="21"/>
    </w:rPr>
  </w:style>
  <w:style w:type="paragraph" w:customStyle="1" w:styleId="159">
    <w:name w:val="xl73"/>
    <w:basedOn w:val="1"/>
    <w:qFormat/>
    <w:uiPriority w:val="0"/>
    <w:pPr>
      <w:spacing w:before="100" w:beforeAutospacing="1" w:after="100" w:afterAutospacing="1" w:line="240" w:lineRule="auto"/>
    </w:pPr>
    <w:rPr>
      <w:rFonts w:ascii="宋体" w:hAnsi="宋体" w:eastAsia="宋体" w:cs="宋体"/>
      <w:b/>
      <w:bCs/>
      <w:color w:val="auto"/>
      <w:kern w:val="0"/>
      <w:sz w:val="24"/>
      <w:szCs w:val="24"/>
    </w:rPr>
  </w:style>
  <w:style w:type="paragraph" w:customStyle="1" w:styleId="16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FF0000"/>
      <w:kern w:val="0"/>
      <w:sz w:val="24"/>
      <w:szCs w:val="24"/>
    </w:rPr>
  </w:style>
  <w:style w:type="paragraph" w:customStyle="1" w:styleId="161">
    <w:name w:val="列出段落1"/>
    <w:basedOn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1"/>
    </w:rPr>
  </w:style>
  <w:style w:type="paragraph" w:customStyle="1" w:styleId="162">
    <w:name w:val="xl95"/>
    <w:basedOn w:val="1"/>
    <w:qFormat/>
    <w:uiPriority w:val="0"/>
    <w:pPr>
      <w:pBdr>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4"/>
      <w:szCs w:val="24"/>
    </w:rPr>
  </w:style>
  <w:style w:type="paragraph" w:customStyle="1" w:styleId="163">
    <w:name w:val="WPSOffice手动目录 1"/>
    <w:qFormat/>
    <w:uiPriority w:val="0"/>
    <w:rPr>
      <w:rFonts w:ascii="Times New Roman" w:hAnsi="Times New Roman" w:eastAsia="宋体" w:cs="Times New Roman"/>
      <w:lang w:val="en-US" w:eastAsia="zh-CN" w:bidi="ar-SA"/>
    </w:rPr>
  </w:style>
  <w:style w:type="paragraph" w:customStyle="1" w:styleId="16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auto"/>
      <w:kern w:val="0"/>
      <w:sz w:val="24"/>
      <w:szCs w:val="24"/>
    </w:rPr>
  </w:style>
  <w:style w:type="paragraph" w:customStyle="1" w:styleId="165">
    <w:name w:val="font6"/>
    <w:basedOn w:val="1"/>
    <w:qFormat/>
    <w:uiPriority w:val="0"/>
    <w:pPr>
      <w:spacing w:before="100" w:beforeAutospacing="1" w:after="100" w:afterAutospacing="1" w:line="240" w:lineRule="auto"/>
    </w:pPr>
    <w:rPr>
      <w:rFonts w:ascii="Arial" w:hAnsi="Arial" w:eastAsia="宋体" w:cs="Arial"/>
      <w:color w:val="auto"/>
      <w:kern w:val="0"/>
    </w:rPr>
  </w:style>
  <w:style w:type="paragraph" w:customStyle="1" w:styleId="16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0"/>
      <w:szCs w:val="20"/>
    </w:rPr>
  </w:style>
  <w:style w:type="paragraph" w:customStyle="1" w:styleId="167">
    <w:name w:val="图表文字"/>
    <w:basedOn w:val="1"/>
    <w:qFormat/>
    <w:uiPriority w:val="0"/>
    <w:pPr>
      <w:adjustRightInd w:val="0"/>
      <w:spacing w:before="120" w:after="120" w:line="240" w:lineRule="auto"/>
      <w:jc w:val="center"/>
    </w:pPr>
    <w:rPr>
      <w:rFonts w:ascii="黑体" w:hAnsi="Times New Roman" w:eastAsia="黑体" w:cs="Times New Roman"/>
      <w:color w:val="auto"/>
      <w:kern w:val="0"/>
      <w:sz w:val="28"/>
      <w:szCs w:val="20"/>
    </w:rPr>
  </w:style>
  <w:style w:type="paragraph" w:customStyle="1" w:styleId="168">
    <w:name w:val="xl107"/>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微软雅黑" w:hAnsi="微软雅黑" w:eastAsia="微软雅黑" w:cs="宋体"/>
      <w:kern w:val="0"/>
      <w:sz w:val="24"/>
      <w:szCs w:val="24"/>
    </w:rPr>
  </w:style>
  <w:style w:type="paragraph" w:customStyle="1" w:styleId="169">
    <w:name w:val="样式 宋体 行距: 1.5 倍行距"/>
    <w:basedOn w:val="1"/>
    <w:qFormat/>
    <w:uiPriority w:val="0"/>
    <w:pPr>
      <w:jc w:val="center"/>
    </w:pPr>
    <w:rPr>
      <w:b/>
    </w:rPr>
  </w:style>
  <w:style w:type="table" w:customStyle="1" w:styleId="170">
    <w:name w:val="TableGri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28476</Words>
  <Characters>29955</Characters>
  <Lines>244</Lines>
  <Paragraphs>68</Paragraphs>
  <TotalTime>10</TotalTime>
  <ScaleCrop>false</ScaleCrop>
  <LinksUpToDate>false</LinksUpToDate>
  <CharactersWithSpaces>32993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2023-12-01T00:45:00Z</dcterms:created>
  <dc:creator>pc</dc:creator>
  <cp:lastModifiedBy>YIP</cp:lastModifiedBy>
  <cp:lastPrinted>2023-04-06T08:31:00Z</cp:lastPrinted>
  <dcterms:modified xsi:type="dcterms:W3CDTF">2024-08-14T08:57:49Z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954677E92B9B42698E3B763A59730B69_13</vt:lpwstr>
  </property>
</Properties>
</file>