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8B9FC">
      <w:pPr>
        <w:autoSpaceDE w:val="0"/>
        <w:autoSpaceDN w:val="0"/>
        <w:adjustRightInd w:val="0"/>
        <w:spacing w:line="360" w:lineRule="auto"/>
        <w:jc w:val="center"/>
        <w:rPr>
          <w:rFonts w:hint="eastAsia" w:ascii="宋体" w:hAnsi="宋体" w:eastAsia="宋体"/>
          <w:b/>
          <w:bCs/>
          <w:color w:val="auto"/>
          <w:spacing w:val="26"/>
          <w:sz w:val="52"/>
          <w:szCs w:val="110"/>
          <w:highlight w:val="none"/>
          <w14:shadow w14:blurRad="50800" w14:dist="38100" w14:dir="2700000" w14:sx="100000" w14:sy="100000" w14:kx="0" w14:ky="0" w14:algn="tl">
            <w14:srgbClr w14:val="000000">
              <w14:alpha w14:val="60000"/>
            </w14:srgbClr>
          </w14:shadow>
        </w:rPr>
      </w:pPr>
      <w:bookmarkStart w:id="0" w:name="_Toc25792_WPSOffice_Level2"/>
      <w:bookmarkStart w:id="1" w:name="_Toc8822_WPSOffice_Level2"/>
    </w:p>
    <w:p w14:paraId="0F78559A">
      <w:pPr>
        <w:autoSpaceDE w:val="0"/>
        <w:autoSpaceDN w:val="0"/>
        <w:adjustRightInd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b/>
          <w:bCs/>
          <w:color w:val="auto"/>
          <w:spacing w:val="26"/>
          <w:sz w:val="52"/>
          <w:szCs w:val="110"/>
          <w:highlight w:val="none"/>
          <w:lang w:eastAsia="zh-CN"/>
          <w14:shadow w14:blurRad="50800" w14:dist="38100" w14:dir="2700000" w14:sx="100000" w14:sy="100000" w14:kx="0" w14:ky="0" w14:algn="tl">
            <w14:srgbClr w14:val="000000">
              <w14:alpha w14:val="60000"/>
            </w14:srgbClr>
          </w14:shadow>
        </w:rPr>
        <w:t>广州科教城（科德大道延长线）建设工程</w:t>
      </w:r>
      <w:r>
        <w:rPr>
          <w:rFonts w:hint="eastAsia" w:ascii="宋体" w:hAnsi="宋体" w:eastAsia="宋体"/>
          <w:b/>
          <w:bCs/>
          <w:color w:val="auto"/>
          <w:spacing w:val="26"/>
          <w:sz w:val="52"/>
          <w:szCs w:val="110"/>
          <w:highlight w:val="none"/>
          <w14:shadow w14:blurRad="50800" w14:dist="38100" w14:dir="2700000" w14:sx="100000" w14:sy="100000" w14:kx="0" w14:ky="0" w14:algn="tl">
            <w14:srgbClr w14:val="000000">
              <w14:alpha w14:val="60000"/>
            </w14:srgbClr>
          </w14:shadow>
        </w:rPr>
        <w:t>第三方检验检测服务</w:t>
      </w:r>
    </w:p>
    <w:p w14:paraId="03C248E1">
      <w:pPr>
        <w:pStyle w:val="7"/>
        <w:rPr>
          <w:rFonts w:hAnsi="宋体" w:eastAsia="宋体"/>
          <w:color w:val="auto"/>
          <w:highlight w:val="none"/>
          <w:lang w:val="zh-CN"/>
        </w:rPr>
      </w:pPr>
    </w:p>
    <w:p w14:paraId="51458036">
      <w:pPr>
        <w:autoSpaceDE w:val="0"/>
        <w:autoSpaceDN w:val="0"/>
        <w:adjustRightInd w:val="0"/>
        <w:spacing w:line="360" w:lineRule="auto"/>
        <w:jc w:val="center"/>
        <w:rPr>
          <w:rFonts w:ascii="宋体" w:hAnsi="宋体" w:eastAsia="宋体" w:cs="宋体"/>
          <w:b/>
          <w:bCs/>
          <w:color w:val="auto"/>
          <w:sz w:val="36"/>
          <w:szCs w:val="36"/>
          <w:highlight w:val="none"/>
          <w:lang w:val="zh-CN"/>
        </w:rPr>
      </w:pPr>
    </w:p>
    <w:p w14:paraId="3080B4E1">
      <w:pPr>
        <w:autoSpaceDE w:val="0"/>
        <w:autoSpaceDN w:val="0"/>
        <w:adjustRightInd w:val="0"/>
        <w:spacing w:line="360" w:lineRule="auto"/>
        <w:jc w:val="center"/>
        <w:rPr>
          <w:rFonts w:ascii="宋体" w:hAnsi="宋体" w:eastAsia="宋体" w:cs="宋体"/>
          <w:b/>
          <w:bCs/>
          <w:color w:val="auto"/>
          <w:sz w:val="36"/>
          <w:szCs w:val="36"/>
          <w:highlight w:val="none"/>
          <w:lang w:val="zh-CN"/>
        </w:rPr>
      </w:pPr>
    </w:p>
    <w:p w14:paraId="10331B11">
      <w:pPr>
        <w:spacing w:line="360" w:lineRule="auto"/>
        <w:jc w:val="center"/>
        <w:rPr>
          <w:rFonts w:ascii="宋体" w:hAnsi="宋体" w:eastAsia="宋体"/>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eastAsia="宋体"/>
          <w:b/>
          <w:bCs/>
          <w:color w:val="auto"/>
          <w:spacing w:val="26"/>
          <w:sz w:val="110"/>
          <w:szCs w:val="110"/>
          <w:highlight w:val="none"/>
          <w14:shadow w14:blurRad="50800" w14:dist="38100" w14:dir="2700000" w14:sx="100000" w14:sy="100000" w14:kx="0" w14:ky="0" w14:algn="tl">
            <w14:srgbClr w14:val="000000">
              <w14:alpha w14:val="60000"/>
            </w14:srgbClr>
          </w14:shadow>
        </w:rPr>
        <w:t>招标公告</w:t>
      </w:r>
    </w:p>
    <w:p w14:paraId="57163380">
      <w:pPr>
        <w:autoSpaceDE w:val="0"/>
        <w:autoSpaceDN w:val="0"/>
        <w:adjustRightInd w:val="0"/>
        <w:spacing w:line="360" w:lineRule="auto"/>
        <w:rPr>
          <w:rFonts w:ascii="宋体" w:hAnsi="宋体" w:eastAsia="宋体" w:cs="宋体"/>
          <w:b/>
          <w:bCs/>
          <w:color w:val="auto"/>
          <w:sz w:val="44"/>
          <w:szCs w:val="44"/>
          <w:highlight w:val="none"/>
          <w:lang w:val="zh-CN"/>
        </w:rPr>
      </w:pPr>
    </w:p>
    <w:p w14:paraId="09217C2C">
      <w:pPr>
        <w:autoSpaceDE w:val="0"/>
        <w:autoSpaceDN w:val="0"/>
        <w:adjustRightInd w:val="0"/>
        <w:spacing w:line="360" w:lineRule="auto"/>
        <w:ind w:firstLine="1205"/>
        <w:rPr>
          <w:rFonts w:ascii="宋体" w:hAnsi="宋体" w:eastAsia="宋体" w:cs="宋体"/>
          <w:b/>
          <w:bCs/>
          <w:color w:val="auto"/>
          <w:sz w:val="30"/>
          <w:szCs w:val="30"/>
          <w:highlight w:val="none"/>
          <w:lang w:val="zh-CN"/>
        </w:rPr>
      </w:pPr>
    </w:p>
    <w:p w14:paraId="66D1472A">
      <w:pPr>
        <w:pStyle w:val="2"/>
        <w:rPr>
          <w:rFonts w:eastAsia="等线"/>
          <w:color w:val="auto"/>
          <w:highlight w:val="none"/>
          <w:lang w:val="zh-CN"/>
        </w:rPr>
      </w:pPr>
    </w:p>
    <w:p w14:paraId="0BF5504E">
      <w:pPr>
        <w:pStyle w:val="2"/>
        <w:rPr>
          <w:rFonts w:hint="eastAsia" w:eastAsia="等线"/>
          <w:color w:val="auto"/>
          <w:highlight w:val="none"/>
          <w:lang w:val="zh-CN"/>
        </w:rPr>
      </w:pPr>
    </w:p>
    <w:p w14:paraId="407E0BDB">
      <w:pPr>
        <w:spacing w:line="360" w:lineRule="auto"/>
        <w:ind w:firstLine="640" w:firstLineChars="200"/>
        <w:rPr>
          <w:rFonts w:hint="eastAsia" w:ascii="宋体" w:hAnsi="宋体" w:eastAsia="宋体" w:cs="Times New Roman"/>
          <w:b/>
          <w:color w:val="auto"/>
          <w:sz w:val="32"/>
          <w:szCs w:val="32"/>
          <w:highlight w:val="none"/>
        </w:rPr>
      </w:pPr>
      <w:r>
        <w:rPr>
          <w:rFonts w:hint="eastAsia" w:ascii="宋体" w:hAnsi="宋体"/>
          <w:b/>
          <w:color w:val="auto"/>
          <w:sz w:val="32"/>
          <w:szCs w:val="32"/>
          <w:highlight w:val="none"/>
        </w:rPr>
        <w:t xml:space="preserve">招 标  单 </w:t>
      </w:r>
      <w:r>
        <w:rPr>
          <w:rFonts w:hint="eastAsia" w:ascii="宋体" w:hAnsi="宋体" w:eastAsia="宋体" w:cs="Times New Roman"/>
          <w:b/>
          <w:color w:val="auto"/>
          <w:sz w:val="32"/>
          <w:szCs w:val="32"/>
          <w:highlight w:val="none"/>
        </w:rPr>
        <w:t>位：广州市增城区人民政府朱村街道办事处</w:t>
      </w:r>
    </w:p>
    <w:p w14:paraId="72974733">
      <w:pPr>
        <w:spacing w:line="360" w:lineRule="auto"/>
        <w:ind w:firstLine="643" w:firstLineChars="2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招标代理单位：</w:t>
      </w:r>
      <w:r>
        <w:rPr>
          <w:rFonts w:hint="eastAsia" w:ascii="宋体" w:hAnsi="宋体" w:eastAsia="宋体" w:cs="Times New Roman"/>
          <w:b/>
          <w:color w:val="auto"/>
          <w:sz w:val="32"/>
          <w:szCs w:val="32"/>
          <w:highlight w:val="none"/>
          <w:lang w:eastAsia="zh-CN"/>
        </w:rPr>
        <w:t>广东省城规建设监理有限公司</w:t>
      </w:r>
    </w:p>
    <w:p w14:paraId="5704D489">
      <w:pPr>
        <w:spacing w:line="360" w:lineRule="auto"/>
        <w:ind w:firstLine="704" w:firstLineChars="220"/>
        <w:rPr>
          <w:rFonts w:hint="eastAsia" w:eastAsia="宋体"/>
          <w:color w:val="auto"/>
          <w:highlight w:val="none"/>
        </w:rPr>
        <w:sectPr>
          <w:footerReference r:id="rId5" w:type="default"/>
          <w:pgSz w:w="11906" w:h="16838"/>
          <w:pgMar w:top="1440" w:right="1418" w:bottom="1440" w:left="1418" w:header="851" w:footer="283" w:gutter="0"/>
          <w:cols w:space="720" w:num="1"/>
          <w:docGrid w:type="lines" w:linePitch="312" w:charSpace="0"/>
        </w:sectPr>
      </w:pPr>
      <w:r>
        <w:rPr>
          <w:rFonts w:hint="eastAsia" w:ascii="宋体" w:hAnsi="宋体"/>
          <w:b/>
          <w:color w:val="auto"/>
          <w:sz w:val="32"/>
          <w:szCs w:val="32"/>
          <w:highlight w:val="none"/>
        </w:rPr>
        <w:t xml:space="preserve">日        期： </w:t>
      </w:r>
      <w:r>
        <w:rPr>
          <w:rFonts w:hint="eastAsia" w:ascii="宋体" w:hAnsi="宋体" w:eastAsia="宋体"/>
          <w:b/>
          <w:color w:val="auto"/>
          <w:sz w:val="32"/>
          <w:szCs w:val="32"/>
          <w:highlight w:val="none"/>
          <w:lang w:eastAsia="zh-CN"/>
        </w:rPr>
        <w:t>2024</w:t>
      </w:r>
      <w:r>
        <w:rPr>
          <w:rFonts w:hint="eastAsia" w:ascii="宋体" w:hAnsi="宋体" w:eastAsia="宋体"/>
          <w:b/>
          <w:color w:val="auto"/>
          <w:sz w:val="32"/>
          <w:szCs w:val="32"/>
          <w:highlight w:val="none"/>
        </w:rPr>
        <w:t>年</w:t>
      </w:r>
      <w:r>
        <w:rPr>
          <w:rFonts w:hint="eastAsia" w:ascii="宋体" w:hAnsi="宋体" w:eastAsia="宋体"/>
          <w:b/>
          <w:color w:val="auto"/>
          <w:sz w:val="32"/>
          <w:szCs w:val="32"/>
          <w:highlight w:val="none"/>
          <w:lang w:val="en-US" w:eastAsia="zh-CN"/>
        </w:rPr>
        <w:t>8</w:t>
      </w:r>
      <w:r>
        <w:rPr>
          <w:rFonts w:hint="eastAsia" w:ascii="宋体" w:hAnsi="宋体" w:eastAsia="宋体"/>
          <w:b/>
          <w:color w:val="auto"/>
          <w:sz w:val="32"/>
          <w:szCs w:val="32"/>
          <w:highlight w:val="none"/>
        </w:rPr>
        <w:t>月</w:t>
      </w:r>
    </w:p>
    <w:p w14:paraId="4B385316">
      <w:pPr>
        <w:spacing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广州科教城（科德大道延长线）建设工程</w:t>
      </w:r>
      <w:r>
        <w:rPr>
          <w:rFonts w:hint="eastAsia" w:ascii="宋体" w:hAnsi="宋体" w:eastAsia="宋体" w:cs="宋体"/>
          <w:b/>
          <w:color w:val="auto"/>
          <w:sz w:val="36"/>
          <w:szCs w:val="36"/>
          <w:highlight w:val="none"/>
        </w:rPr>
        <w:t>第三方检验检测服务招标公告</w:t>
      </w:r>
      <w:bookmarkEnd w:id="0"/>
      <w:bookmarkEnd w:id="1"/>
    </w:p>
    <w:p w14:paraId="78D62FD5">
      <w:pPr>
        <w:spacing w:line="500" w:lineRule="exact"/>
        <w:outlineLvl w:val="0"/>
        <w:rPr>
          <w:rFonts w:hint="eastAsia" w:ascii="宋体" w:hAnsi="宋体" w:eastAsia="宋体" w:cs="宋体"/>
          <w:b/>
          <w:color w:val="auto"/>
          <w:sz w:val="24"/>
          <w:szCs w:val="24"/>
          <w:highlight w:val="none"/>
        </w:rPr>
      </w:pPr>
      <w:bookmarkStart w:id="2" w:name="_Toc2230_WPSOffice_Level2"/>
      <w:bookmarkStart w:id="3" w:name="_Toc11558_WPSOffice_Level2"/>
      <w:bookmarkStart w:id="4" w:name="_Toc221949923"/>
      <w:r>
        <w:rPr>
          <w:rFonts w:hint="eastAsia" w:ascii="宋体" w:hAnsi="宋体" w:eastAsia="宋体" w:cs="宋体"/>
          <w:b/>
          <w:color w:val="auto"/>
          <w:sz w:val="24"/>
          <w:szCs w:val="24"/>
          <w:highlight w:val="none"/>
        </w:rPr>
        <w:t>1.招标条件</w:t>
      </w:r>
      <w:bookmarkEnd w:id="2"/>
      <w:bookmarkEnd w:id="3"/>
    </w:p>
    <w:bookmarkEnd w:id="4"/>
    <w:p w14:paraId="463324A8">
      <w:pPr>
        <w:spacing w:line="500" w:lineRule="exact"/>
        <w:ind w:firstLine="472" w:firstLineChars="225"/>
        <w:rPr>
          <w:rFonts w:hint="eastAsia" w:ascii="宋体" w:hAnsi="宋体" w:eastAsia="宋体" w:cs="宋体"/>
          <w:color w:val="auto"/>
          <w:sz w:val="21"/>
          <w:szCs w:val="21"/>
          <w:highlight w:val="none"/>
        </w:rPr>
      </w:pPr>
      <w:bookmarkStart w:id="5" w:name="_Toc222029464"/>
      <w:bookmarkStart w:id="6" w:name="_Toc222032633"/>
      <w:bookmarkStart w:id="7" w:name="_Toc222030966"/>
      <w:bookmarkStart w:id="8" w:name="_Toc168475627"/>
      <w:bookmarkStart w:id="9" w:name="_Toc221949924"/>
      <w:bookmarkStart w:id="10" w:name="_Toc229305324"/>
      <w:bookmarkStart w:id="11" w:name="_Toc259524297"/>
      <w:bookmarkStart w:id="12" w:name="_Toc222033815"/>
      <w:bookmarkStart w:id="13" w:name="_Toc168476030"/>
      <w:bookmarkStart w:id="14" w:name="_Toc144974481"/>
      <w:r>
        <w:rPr>
          <w:rFonts w:hint="eastAsia" w:ascii="宋体" w:hAnsi="宋体" w:eastAsia="宋体" w:cs="宋体"/>
          <w:color w:val="auto"/>
          <w:sz w:val="21"/>
          <w:szCs w:val="21"/>
          <w:highlight w:val="none"/>
        </w:rPr>
        <w:t>本招标项目</w:t>
      </w:r>
      <w:r>
        <w:rPr>
          <w:rStyle w:val="22"/>
          <w:rFonts w:hint="eastAsia" w:ascii="宋体" w:hAnsi="宋体" w:eastAsia="宋体" w:cs="宋体"/>
          <w:color w:val="auto"/>
          <w:sz w:val="21"/>
          <w:szCs w:val="21"/>
          <w:highlight w:val="none"/>
          <w:lang w:eastAsia="zh-CN"/>
        </w:rPr>
        <w:t>广州科教城（科德大道延长线）建设工程</w:t>
      </w:r>
      <w:r>
        <w:rPr>
          <w:rStyle w:val="22"/>
          <w:rFonts w:hint="eastAsia" w:ascii="宋体" w:hAnsi="宋体" w:eastAsia="宋体" w:cs="宋体"/>
          <w:color w:val="auto"/>
          <w:sz w:val="21"/>
          <w:szCs w:val="21"/>
          <w:highlight w:val="none"/>
        </w:rPr>
        <w:t>第三方检验检测服务</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广州市增城区发展和改革局</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《广州市增城区发展和改革局以穗增发改投批[2023]</w:t>
      </w:r>
      <w:r>
        <w:rPr>
          <w:rFonts w:hint="eastAsia" w:ascii="宋体" w:hAnsi="宋体" w:eastAsia="宋体" w:cs="宋体"/>
          <w:color w:val="auto"/>
          <w:sz w:val="21"/>
          <w:szCs w:val="21"/>
          <w:highlight w:val="none"/>
          <w:u w:val="single"/>
          <w:lang w:val="en-US" w:eastAsia="zh-CN"/>
        </w:rPr>
        <w:t>75</w:t>
      </w:r>
      <w:r>
        <w:rPr>
          <w:rFonts w:hint="eastAsia" w:ascii="宋体" w:hAnsi="宋体" w:eastAsia="宋体" w:cs="宋体"/>
          <w:color w:val="auto"/>
          <w:sz w:val="21"/>
          <w:szCs w:val="21"/>
          <w:highlight w:val="none"/>
          <w:u w:val="single"/>
        </w:rPr>
        <w:t>号</w:t>
      </w:r>
      <w:r>
        <w:rPr>
          <w:rFonts w:hint="eastAsia" w:ascii="宋体" w:hAnsi="宋体" w:eastAsia="宋体" w:cs="宋体"/>
          <w:color w:val="auto"/>
          <w:sz w:val="21"/>
          <w:szCs w:val="21"/>
          <w:highlight w:val="none"/>
        </w:rPr>
        <w:t>批准建设，项目业主为</w:t>
      </w:r>
      <w:r>
        <w:rPr>
          <w:rFonts w:hint="eastAsia" w:ascii="宋体" w:hAnsi="宋体" w:eastAsia="宋体" w:cs="宋体"/>
          <w:color w:val="auto"/>
          <w:sz w:val="21"/>
          <w:szCs w:val="21"/>
          <w:highlight w:val="none"/>
          <w:u w:val="single"/>
        </w:rPr>
        <w:t>广州市增城区人民政府朱村街道办事处</w:t>
      </w:r>
      <w:r>
        <w:rPr>
          <w:rFonts w:hint="eastAsia" w:ascii="宋体" w:hAnsi="宋体" w:eastAsia="宋体" w:cs="宋体"/>
          <w:color w:val="auto"/>
          <w:sz w:val="21"/>
          <w:szCs w:val="21"/>
          <w:highlight w:val="none"/>
        </w:rPr>
        <w:t>，建设资金来自：区</w:t>
      </w:r>
      <w:r>
        <w:rPr>
          <w:rFonts w:hint="eastAsia" w:ascii="宋体" w:hAnsi="宋体" w:eastAsia="宋体" w:cs="宋体"/>
          <w:color w:val="auto"/>
          <w:sz w:val="21"/>
          <w:szCs w:val="21"/>
          <w:highlight w:val="none"/>
          <w:u w:val="single"/>
        </w:rPr>
        <w:t>财政资金</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rPr>
        <w:t>广州市增城区人民政府朱村街道办事处</w:t>
      </w:r>
      <w:r>
        <w:rPr>
          <w:rFonts w:hint="eastAsia" w:ascii="宋体" w:hAnsi="宋体" w:eastAsia="宋体" w:cs="宋体"/>
          <w:color w:val="auto"/>
          <w:sz w:val="21"/>
          <w:szCs w:val="21"/>
          <w:highlight w:val="none"/>
        </w:rPr>
        <w:t>。项目已具备招标条件，现对该项目进行公开招标。</w:t>
      </w:r>
    </w:p>
    <w:p w14:paraId="2E12081F">
      <w:pPr>
        <w:spacing w:line="500" w:lineRule="exact"/>
        <w:outlineLvl w:val="0"/>
        <w:rPr>
          <w:rFonts w:hint="eastAsia" w:ascii="宋体" w:hAnsi="宋体" w:eastAsia="宋体" w:cs="宋体"/>
          <w:b/>
          <w:color w:val="auto"/>
          <w:sz w:val="24"/>
          <w:szCs w:val="24"/>
          <w:highlight w:val="none"/>
        </w:rPr>
      </w:pPr>
      <w:bookmarkStart w:id="15" w:name="_Toc21759_WPSOffice_Level2"/>
      <w:bookmarkStart w:id="16" w:name="_Toc9584_WPSOffice_Level2"/>
      <w:r>
        <w:rPr>
          <w:rFonts w:hint="eastAsia" w:ascii="宋体" w:hAnsi="宋体" w:eastAsia="宋体" w:cs="宋体"/>
          <w:b/>
          <w:color w:val="auto"/>
          <w:sz w:val="24"/>
          <w:szCs w:val="24"/>
          <w:highlight w:val="none"/>
        </w:rPr>
        <w:t>2. 项目概况与招标范围</w:t>
      </w:r>
      <w:bookmarkEnd w:id="5"/>
      <w:bookmarkEnd w:id="6"/>
      <w:bookmarkEnd w:id="7"/>
      <w:bookmarkEnd w:id="8"/>
      <w:bookmarkEnd w:id="9"/>
      <w:bookmarkEnd w:id="10"/>
      <w:bookmarkEnd w:id="11"/>
      <w:bookmarkEnd w:id="12"/>
      <w:bookmarkEnd w:id="13"/>
      <w:bookmarkEnd w:id="14"/>
      <w:bookmarkEnd w:id="15"/>
      <w:bookmarkEnd w:id="16"/>
    </w:p>
    <w:p w14:paraId="15ECB047">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2.1项目名称：</w:t>
      </w:r>
      <w:bookmarkStart w:id="17" w:name="_Toc259524298"/>
      <w:bookmarkStart w:id="18" w:name="_Toc168476031"/>
      <w:bookmarkStart w:id="19" w:name="_Toc222030967"/>
      <w:bookmarkStart w:id="20" w:name="_Toc168475628"/>
      <w:bookmarkStart w:id="21" w:name="_Toc222029465"/>
      <w:bookmarkStart w:id="22" w:name="_Toc222033816"/>
      <w:bookmarkStart w:id="23" w:name="_Toc222032634"/>
      <w:bookmarkStart w:id="24" w:name="_Toc144974482"/>
      <w:bookmarkStart w:id="25" w:name="_Toc221949926"/>
      <w:bookmarkStart w:id="26" w:name="_Toc229305325"/>
      <w:r>
        <w:rPr>
          <w:rFonts w:hint="eastAsia" w:ascii="宋体" w:hAnsi="宋体" w:eastAsia="宋体" w:cs="宋体"/>
          <w:color w:val="auto"/>
          <w:sz w:val="21"/>
          <w:szCs w:val="21"/>
          <w:highlight w:val="none"/>
          <w:u w:val="single"/>
          <w:lang w:eastAsia="zh-CN"/>
        </w:rPr>
        <w:t>广州科教城（科德大道延长线）建设工程</w:t>
      </w:r>
      <w:r>
        <w:rPr>
          <w:rFonts w:hint="eastAsia" w:ascii="宋体" w:hAnsi="宋体" w:eastAsia="宋体" w:cs="宋体"/>
          <w:color w:val="auto"/>
          <w:sz w:val="21"/>
          <w:szCs w:val="21"/>
          <w:highlight w:val="none"/>
          <w:u w:val="single"/>
        </w:rPr>
        <w:t>第三方检验检测服务</w:t>
      </w:r>
    </w:p>
    <w:p w14:paraId="401B4C21">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2.2建设地点：</w:t>
      </w:r>
      <w:r>
        <w:rPr>
          <w:rFonts w:hint="eastAsia" w:ascii="宋体" w:hAnsi="宋体" w:eastAsia="宋体" w:cs="宋体"/>
          <w:color w:val="auto"/>
          <w:sz w:val="21"/>
          <w:szCs w:val="21"/>
          <w:highlight w:val="none"/>
          <w:u w:val="single"/>
        </w:rPr>
        <w:t>广州市增城区朱村街</w:t>
      </w:r>
      <w:r>
        <w:rPr>
          <w:rFonts w:hint="eastAsia" w:ascii="宋体" w:hAnsi="宋体" w:eastAsia="宋体" w:cs="宋体"/>
          <w:color w:val="auto"/>
          <w:sz w:val="21"/>
          <w:szCs w:val="21"/>
          <w:highlight w:val="none"/>
        </w:rPr>
        <w:t>。</w:t>
      </w:r>
    </w:p>
    <w:p w14:paraId="7DF844CF">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2.3项目规模</w:t>
      </w:r>
      <w:bookmarkStart w:id="27" w:name="_Hlk82102042"/>
      <w:r>
        <w:rPr>
          <w:rFonts w:hint="eastAsia" w:ascii="宋体" w:hAnsi="宋体" w:eastAsia="宋体" w:cs="宋体"/>
          <w:color w:val="auto"/>
          <w:sz w:val="21"/>
          <w:szCs w:val="21"/>
          <w:highlight w:val="none"/>
        </w:rPr>
        <w:t>：</w:t>
      </w:r>
      <w:bookmarkEnd w:id="27"/>
      <w:r>
        <w:rPr>
          <w:rFonts w:hint="eastAsia" w:ascii="宋体" w:hAnsi="宋体" w:eastAsia="宋体" w:cs="宋体"/>
          <w:color w:val="auto"/>
          <w:sz w:val="21"/>
          <w:szCs w:val="21"/>
          <w:highlight w:val="none"/>
        </w:rPr>
        <w:t>本项目总体呈东西走向，起点位于施工中的科德大道终点，终点接计划实施的北三环朱村连接线，项目设计等级为城市主干路标准，道路全长约1.038km，道路标准段宽50m，设计速度50km/h，双向6车道。项目建设内容包括：道路工程、交通工程、涵洞工程、给排水工程、照明工程、电力工程、通信工程及绿化工程等。具体以工程量清单和施工图纸为准。</w:t>
      </w:r>
    </w:p>
    <w:p w14:paraId="7954B63A">
      <w:pPr>
        <w:spacing w:after="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2.4最高投标限价：</w:t>
      </w:r>
      <w:r>
        <w:rPr>
          <w:rFonts w:hint="eastAsia" w:ascii="宋体" w:hAnsi="宋体" w:eastAsia="宋体" w:cs="宋体"/>
          <w:color w:val="auto"/>
          <w:sz w:val="21"/>
          <w:szCs w:val="21"/>
          <w:highlight w:val="none"/>
          <w:lang w:val="en-US" w:eastAsia="zh-CN"/>
        </w:rPr>
        <w:t>2611929.49</w:t>
      </w:r>
      <w:r>
        <w:rPr>
          <w:rFonts w:hint="eastAsia" w:ascii="宋体" w:hAnsi="宋体" w:eastAsia="宋体" w:cs="宋体"/>
          <w:color w:val="auto"/>
          <w:sz w:val="21"/>
          <w:szCs w:val="21"/>
          <w:highlight w:val="none"/>
        </w:rPr>
        <w:t>元。</w:t>
      </w:r>
    </w:p>
    <w:p w14:paraId="6842EECE">
      <w:pPr>
        <w:spacing w:after="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2.5服务期限：从中标单位进场至所有服务项目完成，服务周期必须满足实际施工要求。</w:t>
      </w:r>
    </w:p>
    <w:p w14:paraId="01B30E83">
      <w:pPr>
        <w:tabs>
          <w:tab w:val="left" w:pos="3326"/>
        </w:tabs>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招标内容：本次招标内容为建设工程主管部门、监督部门要求的具有质量监控作用的包括但不限于材料检测、地基基础检测、道路工程检测、给排水工程检测等检测项目，以及为工程验收提供依据的检测项目。服务范围除以上工程检测、试验工作外，还包括：</w:t>
      </w:r>
    </w:p>
    <w:p w14:paraId="69D0D0A2">
      <w:pPr>
        <w:spacing w:after="0" w:line="500" w:lineRule="exact"/>
        <w:ind w:firstLine="424" w:firstLineChars="202"/>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①、与工程所在行政区域的相关建设行政主管部门和监督部门进行检测工作的协调，申报检测技术成果的审批。保证技术成果能够通过相关部门认可，确保不因检测工作影响本工程项目的建设进度和竣工验收。</w:t>
      </w:r>
    </w:p>
    <w:p w14:paraId="1C59B57E">
      <w:pPr>
        <w:spacing w:after="0" w:line="500" w:lineRule="exact"/>
        <w:ind w:firstLine="424" w:firstLineChars="202"/>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②、在进行检测任务的过程中与该工程相关的施工单位、监理单位、设计单位、咨询单位、建设主管部门等相关单位的协调工作。</w:t>
      </w:r>
    </w:p>
    <w:p w14:paraId="1F418AA5">
      <w:pPr>
        <w:spacing w:after="0" w:line="500" w:lineRule="exact"/>
        <w:ind w:firstLine="424" w:firstLineChars="202"/>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③、检测数据的有关信息通过连接系统进行传输报送。</w:t>
      </w:r>
    </w:p>
    <w:p w14:paraId="48E567F0">
      <w:pPr>
        <w:spacing w:after="0" w:line="500" w:lineRule="exact"/>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检测的要求：《建设工程质量检测管理办法》（建设部令第141号）及国家现行有关规范。具体以检测工程量清单为准。</w:t>
      </w:r>
    </w:p>
    <w:p w14:paraId="677BE5D6">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2.7标段划分：</w:t>
      </w:r>
      <w:r>
        <w:rPr>
          <w:rFonts w:hint="eastAsia" w:ascii="宋体" w:hAnsi="宋体" w:eastAsia="宋体" w:cs="宋体"/>
          <w:color w:val="auto"/>
          <w:sz w:val="21"/>
          <w:szCs w:val="21"/>
          <w:highlight w:val="none"/>
          <w:u w:val="single"/>
        </w:rPr>
        <w:t xml:space="preserve">_1 </w:t>
      </w:r>
      <w:r>
        <w:rPr>
          <w:rFonts w:hint="eastAsia" w:ascii="宋体" w:hAnsi="宋体" w:eastAsia="宋体" w:cs="宋体"/>
          <w:color w:val="auto"/>
          <w:sz w:val="21"/>
          <w:szCs w:val="21"/>
          <w:highlight w:val="none"/>
        </w:rPr>
        <w:t xml:space="preserve"> 个标段。</w:t>
      </w:r>
    </w:p>
    <w:p w14:paraId="330BEED0">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2.8承包方式：包工、包料、包工期、包质量、包安全、包文明施工。</w:t>
      </w:r>
    </w:p>
    <w:p w14:paraId="44728E23">
      <w:pPr>
        <w:spacing w:line="500" w:lineRule="exact"/>
        <w:outlineLvl w:val="0"/>
        <w:rPr>
          <w:rFonts w:hint="eastAsia" w:ascii="宋体" w:hAnsi="宋体" w:eastAsia="宋体" w:cs="宋体"/>
          <w:b/>
          <w:color w:val="auto"/>
          <w:sz w:val="24"/>
          <w:szCs w:val="24"/>
          <w:highlight w:val="none"/>
        </w:rPr>
      </w:pPr>
      <w:bookmarkStart w:id="28" w:name="_Toc1000_WPSOffice_Level2"/>
      <w:bookmarkStart w:id="29" w:name="_Toc18914_WPSOffice_Level2"/>
      <w:r>
        <w:rPr>
          <w:rFonts w:hint="eastAsia" w:ascii="宋体" w:hAnsi="宋体" w:eastAsia="宋体" w:cs="宋体"/>
          <w:b/>
          <w:color w:val="auto"/>
          <w:sz w:val="24"/>
          <w:szCs w:val="24"/>
          <w:highlight w:val="none"/>
        </w:rPr>
        <w:t>3. 投标人资格要求</w:t>
      </w:r>
      <w:bookmarkEnd w:id="17"/>
      <w:bookmarkEnd w:id="18"/>
      <w:bookmarkEnd w:id="19"/>
      <w:bookmarkEnd w:id="20"/>
      <w:bookmarkEnd w:id="21"/>
      <w:bookmarkEnd w:id="22"/>
      <w:bookmarkEnd w:id="23"/>
      <w:bookmarkEnd w:id="24"/>
      <w:bookmarkEnd w:id="25"/>
      <w:bookmarkEnd w:id="26"/>
      <w:bookmarkEnd w:id="28"/>
      <w:bookmarkEnd w:id="29"/>
    </w:p>
    <w:p w14:paraId="2426C921">
      <w:pPr>
        <w:spacing w:after="0" w:line="500" w:lineRule="exact"/>
        <w:ind w:firstLine="424" w:firstLineChars="202"/>
        <w:rPr>
          <w:rFonts w:hint="eastAsia" w:ascii="宋体" w:hAnsi="宋体" w:eastAsia="宋体" w:cs="宋体"/>
          <w:bCs/>
          <w:color w:val="auto"/>
          <w:sz w:val="21"/>
          <w:szCs w:val="21"/>
          <w:highlight w:val="none"/>
        </w:rPr>
      </w:pPr>
      <w:bookmarkStart w:id="30" w:name="_Toc28507_WPSOffice_Level2"/>
      <w:bookmarkStart w:id="31" w:name="_Toc18756_WPSOffice_Level2"/>
      <w:bookmarkStart w:id="32" w:name="_Toc259524299"/>
      <w:bookmarkStart w:id="33" w:name="_Toc222029466"/>
      <w:bookmarkStart w:id="34" w:name="_Toc222030968"/>
      <w:bookmarkStart w:id="35" w:name="_Toc168476032"/>
      <w:bookmarkStart w:id="36" w:name="_Toc144974483"/>
      <w:bookmarkStart w:id="37" w:name="_Toc222032635"/>
      <w:bookmarkStart w:id="38" w:name="_Toc229305326"/>
      <w:bookmarkStart w:id="39" w:name="_Toc221949930"/>
      <w:bookmarkStart w:id="40" w:name="_Toc168475629"/>
      <w:bookmarkStart w:id="41" w:name="_Toc222033817"/>
      <w:r>
        <w:rPr>
          <w:rFonts w:hint="eastAsia" w:ascii="宋体" w:hAnsi="宋体" w:eastAsia="宋体" w:cs="宋体"/>
          <w:bCs/>
          <w:color w:val="auto"/>
          <w:sz w:val="21"/>
          <w:szCs w:val="21"/>
          <w:highlight w:val="none"/>
        </w:rPr>
        <w:t>3.1</w:t>
      </w:r>
      <w:r>
        <w:rPr>
          <w:rFonts w:hint="eastAsia" w:ascii="宋体" w:hAnsi="宋体" w:eastAsia="宋体" w:cs="宋体"/>
          <w:color w:val="auto"/>
          <w:sz w:val="21"/>
          <w:szCs w:val="21"/>
          <w:highlight w:val="none"/>
        </w:rPr>
        <w:t>投标</w:t>
      </w:r>
      <w:r>
        <w:rPr>
          <w:rFonts w:hint="eastAsia" w:ascii="宋体" w:hAnsi="宋体" w:eastAsia="宋体" w:cs="宋体"/>
          <w:bCs/>
          <w:color w:val="auto"/>
          <w:sz w:val="21"/>
          <w:szCs w:val="21"/>
          <w:highlight w:val="none"/>
        </w:rPr>
        <w:t>人参加投标的意思表达清楚，投标人代表被授权有效。</w:t>
      </w:r>
    </w:p>
    <w:p w14:paraId="55F1EA49">
      <w:pPr>
        <w:spacing w:after="0" w:line="500" w:lineRule="exact"/>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w:t>
      </w:r>
      <w:r>
        <w:rPr>
          <w:rFonts w:hint="eastAsia" w:ascii="宋体" w:hAnsi="宋体" w:eastAsia="宋体" w:cs="宋体"/>
          <w:color w:val="auto"/>
          <w:sz w:val="21"/>
          <w:szCs w:val="21"/>
          <w:highlight w:val="none"/>
        </w:rPr>
        <w:t>投标</w:t>
      </w:r>
      <w:r>
        <w:rPr>
          <w:rFonts w:hint="eastAsia" w:ascii="宋体" w:hAnsi="宋体" w:eastAsia="宋体" w:cs="宋体"/>
          <w:bCs/>
          <w:color w:val="auto"/>
          <w:sz w:val="21"/>
          <w:szCs w:val="21"/>
          <w:highlight w:val="none"/>
        </w:rPr>
        <w:t>人具有独立法人资格，持有事业单位登记管理部门核发的事业单位法人证书或工商行政管理部门核发的企业法人营业执照，且在营业期限内。</w:t>
      </w:r>
    </w:p>
    <w:p w14:paraId="0F9971A0">
      <w:pPr>
        <w:spacing w:after="0" w:line="500" w:lineRule="exact"/>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w:t>
      </w:r>
      <w:r>
        <w:rPr>
          <w:rFonts w:hint="eastAsia" w:ascii="宋体" w:hAnsi="宋体" w:eastAsia="宋体" w:cs="宋体"/>
          <w:color w:val="auto"/>
          <w:sz w:val="21"/>
          <w:szCs w:val="21"/>
          <w:highlight w:val="none"/>
        </w:rPr>
        <w:t>本次</w:t>
      </w:r>
      <w:r>
        <w:rPr>
          <w:rFonts w:hint="eastAsia" w:ascii="宋体" w:hAnsi="宋体" w:eastAsia="宋体" w:cs="宋体"/>
          <w:bCs/>
          <w:color w:val="auto"/>
          <w:sz w:val="21"/>
          <w:szCs w:val="21"/>
          <w:highlight w:val="none"/>
        </w:rPr>
        <w:t>招标要求投标人具备以下相应资质：</w:t>
      </w:r>
    </w:p>
    <w:p w14:paraId="0D05C2A0">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投标人应具备建设行政主管部门颁发的建设工程质量检测机构资质证书（检测范围须涵盖见证取样检测、地基基础检测、主体结构工程现场检测），且证书在有效期内；或具备建设行政主管部门颁发的建设工程质量检测机构综合资质证书或专项资质证书（专项资质证书包括：地基基础、市政工程材料、道路工程），且证书在有效期内。</w:t>
      </w:r>
    </w:p>
    <w:p w14:paraId="7853969A">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旧资质标准按《住房和城乡建设部办公厅关于做好建设工程质量检测机构新旧资质标准过渡工作的通知》（建办质函〔2023〕100号）执行；新资质标准按《住房和城乡建设部关于印发〈建设工程质量检测机构资质标准〉的通知》（建质规〔2023〕1号）执行。</w:t>
      </w:r>
    </w:p>
    <w:p w14:paraId="2BB98DB0">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3.3.2投标人应具有质量技术监督部门颁发的CMA计量认证合格证书（</w:t>
      </w:r>
      <w:bookmarkStart w:id="42" w:name="_Hlk139385093"/>
      <w:r>
        <w:rPr>
          <w:rFonts w:hint="eastAsia" w:ascii="宋体" w:hAnsi="宋体" w:eastAsia="宋体" w:cs="宋体"/>
          <w:color w:val="auto"/>
          <w:sz w:val="21"/>
          <w:szCs w:val="21"/>
          <w:highlight w:val="none"/>
        </w:rPr>
        <w:t>CMA计量认证合格证书附表的认证范围覆盖本次招标主要内容：包括见证取样检测、地基基础检测、主体结构工程现场检测</w:t>
      </w:r>
      <w:bookmarkEnd w:id="42"/>
      <w:r>
        <w:rPr>
          <w:rFonts w:hint="eastAsia" w:ascii="宋体" w:hAnsi="宋体" w:eastAsia="宋体" w:cs="宋体"/>
          <w:color w:val="auto"/>
          <w:sz w:val="21"/>
          <w:szCs w:val="21"/>
          <w:highlight w:val="none"/>
        </w:rPr>
        <w:t>）,且证书在有效期内。如投标人CMA计量认证合格证书中的检测项目与上述名称不同，但表达的意思一致也视为满足该项条件。</w:t>
      </w:r>
    </w:p>
    <w:p w14:paraId="6E21632F">
      <w:pPr>
        <w:spacing w:after="0" w:line="500" w:lineRule="exact"/>
        <w:ind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投标人拟委派项目负责人要求具备工程类工程师或以上技术职称。</w:t>
      </w:r>
    </w:p>
    <w:p w14:paraId="0EBAE665">
      <w:pPr>
        <w:spacing w:after="0" w:line="500" w:lineRule="exact"/>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3.5</w:t>
      </w:r>
      <w:r>
        <w:rPr>
          <w:rFonts w:hint="eastAsia" w:ascii="宋体" w:hAnsi="宋体" w:eastAsia="宋体" w:cs="宋体"/>
          <w:color w:val="auto"/>
          <w:sz w:val="21"/>
          <w:szCs w:val="21"/>
          <w:highlight w:val="none"/>
        </w:rPr>
        <w:t>投标</w:t>
      </w:r>
      <w:r>
        <w:rPr>
          <w:rFonts w:hint="eastAsia" w:ascii="宋体" w:hAnsi="宋体" w:eastAsia="宋体" w:cs="宋体"/>
          <w:bCs/>
          <w:color w:val="auto"/>
          <w:sz w:val="21"/>
          <w:szCs w:val="21"/>
          <w:highlight w:val="none"/>
        </w:rPr>
        <w:t>人必须在投标登记前在广州市住建行业信用管理平台建立企业信用档案。</w:t>
      </w:r>
    </w:p>
    <w:p w14:paraId="4BDD69A6">
      <w:pPr>
        <w:spacing w:after="0" w:line="500" w:lineRule="exact"/>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w:t>
      </w:r>
      <w:r>
        <w:rPr>
          <w:rFonts w:hint="eastAsia" w:ascii="宋体" w:hAnsi="宋体" w:eastAsia="宋体" w:cs="宋体"/>
          <w:color w:val="auto"/>
          <w:sz w:val="21"/>
          <w:szCs w:val="21"/>
          <w:highlight w:val="none"/>
        </w:rPr>
        <w:t>投标</w:t>
      </w:r>
      <w:r>
        <w:rPr>
          <w:rFonts w:hint="eastAsia" w:ascii="宋体" w:hAnsi="宋体" w:eastAsia="宋体" w:cs="宋体"/>
          <w:bCs/>
          <w:color w:val="auto"/>
          <w:sz w:val="21"/>
          <w:szCs w:val="21"/>
          <w:highlight w:val="none"/>
        </w:rPr>
        <w:t>人已按照招标文件提供附件一的内容签署盖章《投标申请人声明》。</w:t>
      </w:r>
    </w:p>
    <w:p w14:paraId="131F1584">
      <w:pPr>
        <w:spacing w:after="0" w:line="500" w:lineRule="exact"/>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w:t>
      </w:r>
      <w:r>
        <w:rPr>
          <w:rFonts w:hint="eastAsia" w:ascii="宋体" w:hAnsi="宋体" w:eastAsia="宋体" w:cs="宋体"/>
          <w:color w:val="auto"/>
          <w:sz w:val="21"/>
          <w:highlight w:val="none"/>
        </w:rPr>
        <w:t>近二年（从</w:t>
      </w:r>
      <w:r>
        <w:rPr>
          <w:rFonts w:hint="eastAsia" w:ascii="宋体" w:hAnsi="宋体" w:eastAsia="宋体" w:cs="宋体"/>
          <w:color w:val="auto"/>
          <w:sz w:val="21"/>
          <w:highlight w:val="none"/>
          <w:u w:val="single"/>
        </w:rPr>
        <w:t>202</w:t>
      </w:r>
      <w:r>
        <w:rPr>
          <w:rFonts w:hint="eastAsia" w:ascii="宋体" w:hAnsi="宋体" w:eastAsia="宋体" w:cs="宋体"/>
          <w:color w:val="auto"/>
          <w:sz w:val="21"/>
          <w:highlight w:val="none"/>
          <w:u w:val="single"/>
          <w:lang w:val="en-US" w:eastAsia="zh-CN"/>
        </w:rPr>
        <w:t>2</w:t>
      </w:r>
      <w:r>
        <w:rPr>
          <w:rFonts w:hint="eastAsia" w:ascii="宋体" w:hAnsi="宋体" w:eastAsia="宋体" w:cs="宋体"/>
          <w:color w:val="auto"/>
          <w:sz w:val="21"/>
          <w:highlight w:val="none"/>
        </w:rPr>
        <w:t>年1月1日起至投标截止时间止）未因以往检测工作中存在伪造检测数据、出具虚假检测报告的行为被各级建设行政主管部门或市场监督管理部门行政处罚或通报的（按投标人提供的《投标人声明》第三条内容进行评审）</w:t>
      </w:r>
      <w:r>
        <w:rPr>
          <w:rFonts w:hint="eastAsia" w:ascii="宋体" w:hAnsi="宋体" w:eastAsia="宋体" w:cs="宋体"/>
          <w:bCs/>
          <w:color w:val="auto"/>
          <w:sz w:val="21"/>
          <w:szCs w:val="21"/>
          <w:highlight w:val="none"/>
        </w:rPr>
        <w:t>。</w:t>
      </w:r>
    </w:p>
    <w:p w14:paraId="7588C88F">
      <w:pPr>
        <w:spacing w:after="0" w:line="500" w:lineRule="exact"/>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3.8投标人单位负责人为同一人或者存在控股、管理关系的不同单位，不得参加同一标段投标或者未划分标段的同一招标项目登记。</w:t>
      </w:r>
    </w:p>
    <w:p w14:paraId="2A81681F">
      <w:pPr>
        <w:widowControl w:val="0"/>
        <w:kinsoku w:val="0"/>
        <w:wordWrap w:val="0"/>
        <w:overflowPunct w:val="0"/>
        <w:spacing w:after="0" w:line="500" w:lineRule="exact"/>
        <w:ind w:firstLine="424" w:firstLineChars="202"/>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3.9</w:t>
      </w:r>
      <w:r>
        <w:rPr>
          <w:rFonts w:hint="eastAsia" w:ascii="宋体" w:hAnsi="宋体" w:eastAsia="宋体" w:cs="宋体"/>
          <w:bCs/>
          <w:color w:val="auto"/>
          <w:sz w:val="21"/>
          <w:szCs w:val="21"/>
          <w:highlight w:val="none"/>
          <w:u w:val="single"/>
        </w:rPr>
        <w:t>标人未被列入拖欠农民工工资失信联合惩戒对象名单（具体名单以提交投标文件截止时间前“信用广州”https://credit1.gz.gov.cn/publicity/punishList?sid=1000201910100000001412公布的“严重拖欠农民工工资黑名单信息”为准，若资格审查时网址有变化，以最新网址为准。投标人需提供相关查询信息结果网页截图）。</w:t>
      </w:r>
    </w:p>
    <w:p w14:paraId="56AACC7A">
      <w:pPr>
        <w:spacing w:after="0" w:line="500" w:lineRule="exact"/>
        <w:ind w:firstLine="424" w:firstLineChars="202"/>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3.10关于联合体投标：</w:t>
      </w:r>
      <w:r>
        <w:rPr>
          <w:rFonts w:hint="eastAsia" w:ascii="宋体" w:hAnsi="宋体" w:eastAsia="宋体" w:cs="宋体"/>
          <w:bCs/>
          <w:color w:val="auto"/>
          <w:sz w:val="21"/>
          <w:szCs w:val="21"/>
          <w:highlight w:val="none"/>
          <w:u w:val="single"/>
        </w:rPr>
        <w:t>本项目不接受联合体投标。</w:t>
      </w:r>
    </w:p>
    <w:p w14:paraId="47A4A9F7">
      <w:pPr>
        <w:spacing w:after="0" w:line="500" w:lineRule="exact"/>
        <w:ind w:firstLine="424" w:firstLineChars="202"/>
        <w:rPr>
          <w:rFonts w:hint="eastAsia" w:ascii="宋体" w:hAnsi="宋体" w:eastAsia="宋体"/>
          <w:color w:val="auto"/>
          <w:highlight w:val="none"/>
        </w:rPr>
      </w:pPr>
      <w:r>
        <w:rPr>
          <w:rFonts w:hint="eastAsia" w:ascii="宋体" w:hAnsi="宋体" w:eastAsia="宋体" w:cs="宋体"/>
          <w:bCs/>
          <w:color w:val="auto"/>
          <w:sz w:val="21"/>
          <w:szCs w:val="21"/>
          <w:highlight w:val="none"/>
        </w:rPr>
        <w:t>注：未在招标公告第3条投标人资格要求单列的条件，不作为资审不合格的依据。</w:t>
      </w:r>
    </w:p>
    <w:p w14:paraId="472FC1A6">
      <w:pPr>
        <w:spacing w:line="500" w:lineRule="exac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4、投标说明</w:t>
      </w:r>
      <w:bookmarkEnd w:id="30"/>
      <w:bookmarkEnd w:id="31"/>
    </w:p>
    <w:p w14:paraId="6AA4DA34">
      <w:pPr>
        <w:spacing w:after="0" w:line="500" w:lineRule="exact"/>
        <w:ind w:firstLine="424" w:firstLineChars="202"/>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olor w:val="auto"/>
          <w:sz w:val="21"/>
          <w:szCs w:val="21"/>
          <w:highlight w:val="none"/>
        </w:rPr>
        <w:t>投标登记前，投标人须在广州交易集团有限公司（广州公共资源交易中心）办理企业信息登记。</w:t>
      </w:r>
    </w:p>
    <w:p w14:paraId="5D672E1B">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4.2本工程项目</w:t>
      </w:r>
      <w:r>
        <w:rPr>
          <w:rFonts w:hint="eastAsia" w:ascii="宋体" w:hAnsi="宋体" w:eastAsia="宋体" w:cs="宋体"/>
          <w:bCs/>
          <w:color w:val="auto"/>
          <w:sz w:val="21"/>
          <w:szCs w:val="21"/>
          <w:highlight w:val="none"/>
        </w:rPr>
        <w:t>采用</w:t>
      </w:r>
      <w:r>
        <w:rPr>
          <w:rFonts w:hint="eastAsia" w:ascii="宋体" w:hAnsi="宋体" w:eastAsia="宋体" w:cs="宋体"/>
          <w:color w:val="auto"/>
          <w:sz w:val="21"/>
          <w:szCs w:val="21"/>
          <w:highlight w:val="none"/>
        </w:rPr>
        <w:t>综合评估法进行评标。</w:t>
      </w:r>
    </w:p>
    <w:p w14:paraId="68AC9ABE">
      <w:pPr>
        <w:spacing w:after="0" w:line="50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4.3本项目各项</w:t>
      </w:r>
      <w:r>
        <w:rPr>
          <w:rFonts w:hint="eastAsia" w:ascii="宋体" w:hAnsi="宋体" w:eastAsia="宋体" w:cs="宋体"/>
          <w:bCs/>
          <w:color w:val="auto"/>
          <w:sz w:val="21"/>
          <w:szCs w:val="21"/>
          <w:highlight w:val="none"/>
        </w:rPr>
        <w:t>投标</w:t>
      </w:r>
      <w:r>
        <w:rPr>
          <w:rFonts w:hint="eastAsia" w:ascii="宋体" w:hAnsi="宋体" w:eastAsia="宋体" w:cs="宋体"/>
          <w:color w:val="auto"/>
          <w:sz w:val="21"/>
          <w:szCs w:val="21"/>
          <w:highlight w:val="none"/>
        </w:rPr>
        <w:t>活动具体可通过广州交易集团有限公司（广州公共资源交易中心）网站〉服务指南〉交易活动安排，查询具体的时间和场地安排。</w:t>
      </w:r>
    </w:p>
    <w:p w14:paraId="1B304982">
      <w:pPr>
        <w:spacing w:line="500" w:lineRule="exact"/>
        <w:outlineLvl w:val="0"/>
        <w:rPr>
          <w:rFonts w:hint="eastAsia" w:ascii="宋体" w:hAnsi="宋体" w:eastAsia="宋体" w:cs="宋体"/>
          <w:b/>
          <w:color w:val="auto"/>
          <w:sz w:val="24"/>
          <w:szCs w:val="24"/>
          <w:highlight w:val="none"/>
        </w:rPr>
      </w:pPr>
      <w:bookmarkStart w:id="43" w:name="_Toc29336_WPSOffice_Level2"/>
      <w:bookmarkStart w:id="44" w:name="_Toc32376_WPSOffice_Level2"/>
      <w:r>
        <w:rPr>
          <w:rFonts w:hint="eastAsia" w:ascii="宋体" w:hAnsi="宋体" w:eastAsia="宋体" w:cs="宋体"/>
          <w:b/>
          <w:color w:val="auto"/>
          <w:sz w:val="24"/>
          <w:szCs w:val="24"/>
          <w:highlight w:val="none"/>
        </w:rPr>
        <w:t>5．资格审查方式</w:t>
      </w:r>
      <w:bookmarkEnd w:id="43"/>
      <w:bookmarkEnd w:id="44"/>
    </w:p>
    <w:p w14:paraId="373B5A5D">
      <w:pPr>
        <w:pStyle w:val="6"/>
        <w:kinsoku w:val="0"/>
        <w:overflowPunct w:val="0"/>
        <w:spacing w:after="0" w:line="50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5.1</w:t>
      </w:r>
      <w:r>
        <w:rPr>
          <w:rFonts w:ascii="宋体" w:hAnsi="宋体" w:eastAsia="宋体"/>
          <w:color w:val="auto"/>
          <w:sz w:val="21"/>
          <w:szCs w:val="21"/>
          <w:highlight w:val="none"/>
          <w:u w:val="single"/>
        </w:rPr>
        <w:t>本次</w:t>
      </w:r>
      <w:r>
        <w:rPr>
          <w:rFonts w:hint="eastAsia" w:ascii="宋体" w:hAnsi="宋体" w:eastAsia="宋体"/>
          <w:color w:val="auto"/>
          <w:sz w:val="21"/>
          <w:szCs w:val="21"/>
          <w:highlight w:val="none"/>
          <w:u w:val="single"/>
        </w:rPr>
        <w:t>招标采用资格后审</w:t>
      </w:r>
      <w:r>
        <w:rPr>
          <w:rFonts w:ascii="宋体" w:hAnsi="宋体" w:eastAsia="宋体"/>
          <w:color w:val="auto"/>
          <w:sz w:val="21"/>
          <w:szCs w:val="21"/>
          <w:highlight w:val="none"/>
          <w:u w:val="single"/>
        </w:rPr>
        <w:t>。</w:t>
      </w:r>
    </w:p>
    <w:p w14:paraId="29E22F18">
      <w:pPr>
        <w:pStyle w:val="6"/>
        <w:kinsoku w:val="0"/>
        <w:overflowPunct w:val="0"/>
        <w:spacing w:after="0" w:line="50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5.2当满足资格评审标准条件（详见招标公告第3条投标人资格要求）的投标人不足3名时为招标失败。招标人分析招标失败原因，修正招标方案，报有关管理部门核准后，重新组织招标。</w:t>
      </w:r>
    </w:p>
    <w:p w14:paraId="04048E5C">
      <w:pPr>
        <w:spacing w:after="0" w:line="50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5.3资格审查结果及中标结果将在广州交易集团有限公司（广州公共资源交易中心）网站、广州市增城区人民政府门户网站的“首页</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公开</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公共资源配置领域</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工程建设项目招投标”栏目、广东省招标投标监管网公示，公开接受投标人的监督。公示期为3个日历天，公示期间的最后1天应当为工作日，否则将公示期的最后1天顺延至下一个工作日。招标人进行资格评审结果公示时，将对投标人投标文件中的资质、人员、业绩等资料进行公示。</w:t>
      </w:r>
    </w:p>
    <w:p w14:paraId="7B8B513B">
      <w:pPr>
        <w:spacing w:after="0" w:line="500" w:lineRule="exact"/>
        <w:ind w:firstLine="422" w:firstLineChars="200"/>
        <w:rPr>
          <w:rFonts w:hint="eastAsia"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注：投标人或其他利害关系人对评标结果有异议的，应当在中标候选人公示期间提出，可以通过线下或线上的形式提出异议。线上提交的，应通过广交易建设工程电子交易系统进行，招标人也应通过广交易建设工程电子交易系统答复线上提交的异议。作出答复前，应当暂停招标投标活动。</w:t>
      </w:r>
    </w:p>
    <w:p w14:paraId="6439DF13">
      <w:pPr>
        <w:spacing w:after="0" w:line="500" w:lineRule="exact"/>
        <w:ind w:firstLine="422" w:firstLineChars="200"/>
        <w:rPr>
          <w:rFonts w:hint="eastAsia"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1.具体操作详见“广州交易集团有限公司（广州公共资源交易中心）门户网站首页-&gt;服务指南-&gt;系统帮助-&gt;操作手册-&gt;发起及受理异议操作指引”。</w:t>
      </w:r>
    </w:p>
    <w:p w14:paraId="6D164BE9">
      <w:pPr>
        <w:spacing w:after="0" w:line="500" w:lineRule="exact"/>
        <w:ind w:firstLine="422" w:firstLineChars="200"/>
        <w:rPr>
          <w:rFonts w:ascii="宋体" w:hAnsi="宋体" w:eastAsia="宋体"/>
          <w:color w:val="auto"/>
          <w:highlight w:val="none"/>
        </w:rPr>
      </w:pPr>
      <w:r>
        <w:rPr>
          <w:rFonts w:hint="eastAsia" w:ascii="宋体" w:hAnsi="宋体" w:eastAsia="宋体"/>
          <w:b/>
          <w:bCs/>
          <w:color w:val="auto"/>
          <w:sz w:val="21"/>
          <w:szCs w:val="21"/>
          <w:highlight w:val="none"/>
          <w:u w:val="single"/>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51989CE0">
      <w:pPr>
        <w:spacing w:after="0" w:line="50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5.4满足资格审查合格条件的投标人不足 3 名或通过有效性审查的投标人不足3名时为招标失败。招标人分析招标失败原因，修正招标方案，报有关管理部门核准后，重新组织招标。</w:t>
      </w:r>
    </w:p>
    <w:p w14:paraId="133464F7">
      <w:pPr>
        <w:spacing w:line="500" w:lineRule="exact"/>
        <w:outlineLvl w:val="0"/>
        <w:rPr>
          <w:rFonts w:hint="eastAsia" w:ascii="宋体" w:hAnsi="宋体" w:eastAsia="宋体" w:cs="宋体"/>
          <w:b/>
          <w:color w:val="auto"/>
          <w:sz w:val="24"/>
          <w:szCs w:val="24"/>
          <w:highlight w:val="none"/>
        </w:rPr>
      </w:pPr>
      <w:bookmarkStart w:id="45" w:name="_Toc27318_WPSOffice_Level2"/>
      <w:bookmarkStart w:id="46" w:name="_Toc31574_WPSOffice_Level2"/>
      <w:r>
        <w:rPr>
          <w:rFonts w:hint="eastAsia" w:ascii="宋体" w:hAnsi="宋体" w:eastAsia="宋体" w:cs="宋体"/>
          <w:b/>
          <w:color w:val="auto"/>
          <w:sz w:val="24"/>
          <w:szCs w:val="24"/>
          <w:highlight w:val="none"/>
        </w:rPr>
        <w:t>6. 招标文件的获取</w:t>
      </w:r>
      <w:bookmarkEnd w:id="32"/>
      <w:bookmarkEnd w:id="33"/>
      <w:bookmarkEnd w:id="34"/>
      <w:bookmarkEnd w:id="35"/>
      <w:bookmarkEnd w:id="36"/>
      <w:bookmarkEnd w:id="37"/>
      <w:bookmarkEnd w:id="38"/>
      <w:bookmarkEnd w:id="39"/>
      <w:bookmarkEnd w:id="40"/>
      <w:bookmarkEnd w:id="41"/>
      <w:bookmarkEnd w:id="45"/>
      <w:bookmarkEnd w:id="46"/>
    </w:p>
    <w:p w14:paraId="6286F6DA">
      <w:pPr>
        <w:spacing w:after="0" w:line="500" w:lineRule="exact"/>
        <w:ind w:firstLine="420" w:firstLineChars="200"/>
        <w:rPr>
          <w:rFonts w:ascii="宋体" w:hAnsi="宋体" w:eastAsia="宋体"/>
          <w:color w:val="auto"/>
          <w:sz w:val="21"/>
          <w:szCs w:val="21"/>
          <w:highlight w:val="none"/>
          <w:u w:val="single"/>
        </w:rPr>
      </w:pPr>
      <w:bookmarkStart w:id="47" w:name="_Toc221949931"/>
      <w:r>
        <w:rPr>
          <w:rFonts w:ascii="宋体" w:hAnsi="宋体" w:eastAsia="宋体"/>
          <w:color w:val="auto"/>
          <w:sz w:val="21"/>
          <w:szCs w:val="21"/>
          <w:highlight w:val="none"/>
          <w:u w:val="single"/>
        </w:rPr>
        <w:t>6.1凡有意参加投标者，请在招标公告发布时间内登录广州交易集团有限公司（广州公共资源交易中心）（网址：http://www.gzggzy.cn）下载电子招标文件。</w:t>
      </w:r>
    </w:p>
    <w:p w14:paraId="4D502D29">
      <w:pPr>
        <w:spacing w:after="0" w:line="500" w:lineRule="exact"/>
        <w:ind w:firstLine="420" w:firstLineChars="200"/>
        <w:rPr>
          <w:rFonts w:ascii="宋体" w:hAnsi="宋体" w:eastAsia="宋体"/>
          <w:color w:val="auto"/>
          <w:sz w:val="21"/>
          <w:szCs w:val="21"/>
          <w:highlight w:val="none"/>
          <w:u w:val="single"/>
        </w:rPr>
      </w:pPr>
      <w:r>
        <w:rPr>
          <w:rFonts w:ascii="宋体" w:hAnsi="宋体" w:eastAsia="宋体"/>
          <w:color w:val="auto"/>
          <w:sz w:val="21"/>
          <w:szCs w:val="21"/>
          <w:highlight w:val="none"/>
          <w:u w:val="single"/>
        </w:rPr>
        <w:t>本项目招标文件随招标公告一并在广州交易集团有限公司（广州公共资源交易中心）网站发布。招标文件一经在广州交易集团有限公司（广州公共资源交易中心）发布，视为送达给投标人，招标文件由投标人自行在广州交易集团有限公司（广州公共资源交易中心）网站下载。</w:t>
      </w:r>
    </w:p>
    <w:p w14:paraId="44A2B36C">
      <w:pPr>
        <w:spacing w:after="0" w:line="50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6.2</w:t>
      </w:r>
      <w:r>
        <w:rPr>
          <w:rFonts w:ascii="宋体" w:hAnsi="宋体" w:eastAsia="宋体"/>
          <w:color w:val="auto"/>
          <w:sz w:val="21"/>
          <w:szCs w:val="21"/>
          <w:highlight w:val="none"/>
        </w:rPr>
        <w:t>如招标人需发布补充公告的，以最后发布的补充公告的时间起计算编制</w:t>
      </w:r>
      <w:r>
        <w:rPr>
          <w:rFonts w:hint="eastAsia" w:ascii="宋体" w:hAnsi="宋体" w:eastAsia="宋体"/>
          <w:color w:val="auto"/>
          <w:sz w:val="21"/>
          <w:szCs w:val="21"/>
          <w:highlight w:val="none"/>
        </w:rPr>
        <w:t>投标</w:t>
      </w:r>
      <w:r>
        <w:rPr>
          <w:rFonts w:ascii="宋体" w:hAnsi="宋体" w:eastAsia="宋体"/>
          <w:color w:val="auto"/>
          <w:sz w:val="21"/>
          <w:szCs w:val="21"/>
          <w:highlight w:val="none"/>
        </w:rPr>
        <w:t>文件时间，并需在</w:t>
      </w:r>
      <w:r>
        <w:rPr>
          <w:rFonts w:hint="eastAsia" w:ascii="宋体" w:hAnsi="宋体" w:eastAsia="宋体"/>
          <w:color w:val="auto"/>
          <w:sz w:val="21"/>
          <w:szCs w:val="21"/>
          <w:highlight w:val="none"/>
        </w:rPr>
        <w:t>补充公告</w:t>
      </w:r>
      <w:r>
        <w:rPr>
          <w:rFonts w:ascii="宋体" w:hAnsi="宋体" w:eastAsia="宋体"/>
          <w:color w:val="auto"/>
          <w:sz w:val="21"/>
          <w:szCs w:val="21"/>
          <w:highlight w:val="none"/>
        </w:rPr>
        <w:t>中明确说明</w:t>
      </w:r>
      <w:r>
        <w:rPr>
          <w:rFonts w:hint="eastAsia" w:ascii="宋体" w:hAnsi="宋体" w:eastAsia="宋体"/>
          <w:color w:val="auto"/>
          <w:sz w:val="21"/>
          <w:szCs w:val="21"/>
          <w:highlight w:val="none"/>
        </w:rPr>
        <w:t>，</w:t>
      </w:r>
      <w:r>
        <w:rPr>
          <w:rFonts w:ascii="宋体" w:hAnsi="宋体" w:eastAsia="宋体"/>
          <w:color w:val="auto"/>
          <w:sz w:val="21"/>
          <w:szCs w:val="21"/>
          <w:highlight w:val="none"/>
        </w:rPr>
        <w:t>如有</w:t>
      </w:r>
      <w:r>
        <w:rPr>
          <w:rFonts w:hint="eastAsia" w:ascii="宋体" w:hAnsi="宋体" w:eastAsia="宋体"/>
          <w:color w:val="auto"/>
          <w:sz w:val="21"/>
          <w:szCs w:val="21"/>
          <w:highlight w:val="none"/>
        </w:rPr>
        <w:t>补充</w:t>
      </w:r>
      <w:r>
        <w:rPr>
          <w:rFonts w:ascii="宋体" w:hAnsi="宋体" w:eastAsia="宋体"/>
          <w:color w:val="auto"/>
          <w:sz w:val="21"/>
          <w:szCs w:val="21"/>
          <w:highlight w:val="none"/>
        </w:rPr>
        <w:t>资料通过交易中心网站</w:t>
      </w:r>
      <w:r>
        <w:rPr>
          <w:rFonts w:hint="eastAsia" w:ascii="宋体" w:hAnsi="宋体" w:eastAsia="宋体"/>
          <w:color w:val="auto"/>
          <w:sz w:val="21"/>
          <w:szCs w:val="21"/>
          <w:highlight w:val="none"/>
        </w:rPr>
        <w:t>同时发布</w:t>
      </w:r>
      <w:r>
        <w:rPr>
          <w:rFonts w:ascii="宋体" w:hAnsi="宋体" w:eastAsia="宋体"/>
          <w:color w:val="auto"/>
          <w:sz w:val="21"/>
          <w:szCs w:val="21"/>
          <w:highlight w:val="none"/>
        </w:rPr>
        <w:t>。</w:t>
      </w:r>
    </w:p>
    <w:bookmarkEnd w:id="47"/>
    <w:p w14:paraId="2F580EA7">
      <w:pPr>
        <w:spacing w:line="500" w:lineRule="exact"/>
        <w:outlineLvl w:val="0"/>
        <w:rPr>
          <w:rFonts w:hint="eastAsia" w:ascii="宋体" w:hAnsi="宋体" w:eastAsia="宋体" w:cs="宋体"/>
          <w:b/>
          <w:color w:val="auto"/>
          <w:sz w:val="24"/>
          <w:szCs w:val="24"/>
          <w:highlight w:val="none"/>
        </w:rPr>
      </w:pPr>
      <w:bookmarkStart w:id="48" w:name="_Toc168476033"/>
      <w:bookmarkStart w:id="49" w:name="_Toc222032636"/>
      <w:bookmarkStart w:id="50" w:name="_Toc16416_WPSOffice_Level2"/>
      <w:bookmarkStart w:id="51" w:name="_Toc20648_WPSOffice_Level2"/>
      <w:bookmarkStart w:id="52" w:name="_Toc144974484"/>
      <w:bookmarkStart w:id="53" w:name="_Toc168475630"/>
      <w:bookmarkStart w:id="54" w:name="_Toc222030969"/>
      <w:bookmarkStart w:id="55" w:name="_Toc221949934"/>
      <w:bookmarkStart w:id="56" w:name="_Toc259524300"/>
      <w:bookmarkStart w:id="57" w:name="_Toc222029467"/>
      <w:bookmarkStart w:id="58" w:name="_Toc222033818"/>
      <w:bookmarkStart w:id="59" w:name="_Toc229305327"/>
      <w:r>
        <w:rPr>
          <w:rFonts w:hint="eastAsia" w:ascii="宋体" w:hAnsi="宋体" w:eastAsia="宋体" w:cs="宋体"/>
          <w:b/>
          <w:color w:val="auto"/>
          <w:sz w:val="24"/>
          <w:szCs w:val="24"/>
          <w:highlight w:val="none"/>
        </w:rPr>
        <w:t>7. 招标公告发布时间及投标文件的递交</w:t>
      </w:r>
      <w:bookmarkEnd w:id="48"/>
      <w:bookmarkEnd w:id="49"/>
      <w:bookmarkEnd w:id="50"/>
      <w:bookmarkEnd w:id="51"/>
      <w:bookmarkEnd w:id="52"/>
      <w:bookmarkEnd w:id="53"/>
      <w:bookmarkEnd w:id="54"/>
      <w:bookmarkEnd w:id="55"/>
      <w:bookmarkEnd w:id="56"/>
      <w:bookmarkEnd w:id="57"/>
      <w:bookmarkEnd w:id="58"/>
      <w:bookmarkEnd w:id="59"/>
    </w:p>
    <w:p w14:paraId="451A33BA">
      <w:pPr>
        <w:widowControl w:val="0"/>
        <w:kinsoku w:val="0"/>
        <w:wordWrap w:val="0"/>
        <w:overflowPunct w:val="0"/>
        <w:spacing w:after="0" w:line="500" w:lineRule="exact"/>
        <w:ind w:firstLine="424" w:firstLineChars="202"/>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7.1招标公告发布日期（含本日）：自</w:t>
      </w:r>
      <w:r>
        <w:rPr>
          <w:rFonts w:hint="eastAsia" w:ascii="宋体" w:hAnsi="宋体" w:eastAsia="宋体"/>
          <w:color w:val="auto"/>
          <w:sz w:val="21"/>
          <w:szCs w:val="21"/>
          <w:highlight w:val="none"/>
          <w:u w:val="single"/>
          <w:lang w:eastAsia="zh-CN"/>
        </w:rPr>
        <w:t>2024</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15</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时</w:t>
      </w:r>
      <w:r>
        <w:rPr>
          <w:rFonts w:ascii="宋体" w:hAnsi="宋体" w:eastAsia="宋体"/>
          <w:color w:val="auto"/>
          <w:sz w:val="21"/>
          <w:szCs w:val="21"/>
          <w:highlight w:val="none"/>
          <w:u w:val="single"/>
        </w:rPr>
        <w:t>00</w:t>
      </w:r>
      <w:r>
        <w:rPr>
          <w:rFonts w:hint="eastAsia" w:ascii="宋体" w:hAnsi="宋体" w:eastAsia="宋体"/>
          <w:color w:val="auto"/>
          <w:sz w:val="21"/>
          <w:szCs w:val="21"/>
          <w:highlight w:val="none"/>
        </w:rPr>
        <w:t>分至</w:t>
      </w:r>
      <w:r>
        <w:rPr>
          <w:rFonts w:hint="eastAsia" w:ascii="宋体" w:hAnsi="宋体" w:eastAsia="宋体"/>
          <w:color w:val="auto"/>
          <w:sz w:val="21"/>
          <w:szCs w:val="21"/>
          <w:highlight w:val="none"/>
          <w:u w:val="single"/>
          <w:lang w:eastAsia="zh-CN"/>
        </w:rPr>
        <w:t>2024</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u w:val="single"/>
          <w:lang w:val="en-US" w:eastAsia="zh-CN"/>
        </w:rPr>
        <w:t>10</w:t>
      </w:r>
      <w:r>
        <w:rPr>
          <w:rFonts w:hint="eastAsia" w:ascii="宋体" w:hAnsi="宋体" w:eastAsia="宋体"/>
          <w:color w:val="auto"/>
          <w:sz w:val="21"/>
          <w:szCs w:val="21"/>
          <w:highlight w:val="none"/>
        </w:rPr>
        <w:t>时</w:t>
      </w:r>
      <w:r>
        <w:rPr>
          <w:rFonts w:ascii="宋体" w:hAnsi="宋体" w:eastAsia="宋体"/>
          <w:color w:val="auto"/>
          <w:sz w:val="21"/>
          <w:szCs w:val="21"/>
          <w:highlight w:val="none"/>
          <w:u w:val="single"/>
        </w:rPr>
        <w:t>00</w:t>
      </w:r>
      <w:r>
        <w:rPr>
          <w:rFonts w:hint="eastAsia" w:ascii="宋体" w:hAnsi="宋体" w:eastAsia="宋体"/>
          <w:color w:val="auto"/>
          <w:sz w:val="21"/>
          <w:szCs w:val="21"/>
          <w:highlight w:val="none"/>
        </w:rPr>
        <w:t>分（北京时间，下同）。</w:t>
      </w:r>
    </w:p>
    <w:p w14:paraId="2BCA4C6F">
      <w:pPr>
        <w:spacing w:after="0" w:line="500" w:lineRule="exact"/>
        <w:ind w:firstLine="470" w:firstLineChars="22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注：发布招标公告的时间为招标公告发出之日起至投标截止时间止。</w:t>
      </w:r>
    </w:p>
    <w:p w14:paraId="522B8F09">
      <w:pPr>
        <w:widowControl w:val="0"/>
        <w:kinsoku w:val="0"/>
        <w:wordWrap w:val="0"/>
        <w:overflowPunct w:val="0"/>
        <w:spacing w:after="0" w:line="500" w:lineRule="exact"/>
        <w:ind w:firstLine="424" w:firstLineChars="202"/>
        <w:rPr>
          <w:rFonts w:hint="eastAsia" w:ascii="宋体" w:hAnsi="宋体" w:eastAsia="宋体" w:cs="仿宋_GB2312"/>
          <w:color w:val="auto"/>
          <w:sz w:val="21"/>
          <w:szCs w:val="21"/>
          <w:highlight w:val="none"/>
        </w:rPr>
      </w:pPr>
      <w:r>
        <w:rPr>
          <w:rFonts w:hint="eastAsia" w:ascii="宋体" w:hAnsi="宋体" w:eastAsia="宋体"/>
          <w:color w:val="auto"/>
          <w:sz w:val="21"/>
          <w:szCs w:val="21"/>
          <w:highlight w:val="none"/>
        </w:rPr>
        <w:t>7.2递交电子投标文件的时间为</w:t>
      </w:r>
      <w:r>
        <w:rPr>
          <w:rFonts w:hint="eastAsia" w:ascii="宋体" w:hAnsi="宋体" w:eastAsia="宋体"/>
          <w:color w:val="auto"/>
          <w:sz w:val="21"/>
          <w:szCs w:val="21"/>
          <w:highlight w:val="none"/>
          <w:u w:val="single"/>
          <w:lang w:eastAsia="zh-CN"/>
        </w:rPr>
        <w:t>2024</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15</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分至</w:t>
      </w:r>
      <w:r>
        <w:rPr>
          <w:rFonts w:hint="eastAsia" w:ascii="宋体" w:hAnsi="宋体" w:eastAsia="宋体"/>
          <w:color w:val="auto"/>
          <w:sz w:val="21"/>
          <w:szCs w:val="21"/>
          <w:highlight w:val="none"/>
          <w:u w:val="single"/>
          <w:lang w:eastAsia="zh-CN"/>
        </w:rPr>
        <w:t>2024</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u w:val="single"/>
          <w:lang w:val="en-US" w:eastAsia="zh-CN"/>
        </w:rPr>
        <w:t>10</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分，</w:t>
      </w:r>
      <w:r>
        <w:rPr>
          <w:rFonts w:hint="eastAsia" w:ascii="宋体" w:hAnsi="宋体" w:eastAsia="宋体"/>
          <w:color w:val="auto"/>
          <w:spacing w:val="4"/>
          <w:sz w:val="21"/>
          <w:highlight w:val="none"/>
        </w:rPr>
        <w:t>电子投标文件递交截止时间为</w:t>
      </w:r>
      <w:r>
        <w:rPr>
          <w:rFonts w:hint="eastAsia" w:ascii="宋体" w:hAnsi="宋体" w:eastAsia="宋体"/>
          <w:color w:val="auto"/>
          <w:sz w:val="21"/>
          <w:szCs w:val="21"/>
          <w:highlight w:val="none"/>
          <w:u w:val="single"/>
          <w:lang w:eastAsia="zh-CN"/>
        </w:rPr>
        <w:t>2024</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u w:val="single"/>
          <w:lang w:val="en-US" w:eastAsia="zh-CN"/>
        </w:rPr>
        <w:t>10</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分</w:t>
      </w:r>
      <w:r>
        <w:rPr>
          <w:rFonts w:hint="eastAsia" w:ascii="宋体" w:hAnsi="宋体" w:eastAsia="宋体"/>
          <w:color w:val="auto"/>
          <w:spacing w:val="4"/>
          <w:sz w:val="21"/>
          <w:highlight w:val="none"/>
        </w:rPr>
        <w:t>。</w:t>
      </w:r>
      <w:r>
        <w:rPr>
          <w:rFonts w:hint="eastAsia" w:ascii="宋体" w:hAnsi="宋体" w:eastAsia="宋体" w:cs="仿宋_GB2312"/>
          <w:color w:val="auto"/>
          <w:sz w:val="21"/>
          <w:szCs w:val="21"/>
          <w:highlight w:val="none"/>
        </w:rPr>
        <w:t>投标人</w:t>
      </w:r>
      <w:r>
        <w:rPr>
          <w:rFonts w:hint="eastAsia" w:ascii="宋体" w:hAnsi="宋体" w:eastAsia="宋体"/>
          <w:color w:val="auto"/>
          <w:sz w:val="21"/>
          <w:szCs w:val="21"/>
          <w:highlight w:val="none"/>
        </w:rPr>
        <w:t>递交电子投标文件通过广州交易集团有限公司（广州公共资源交易中心）进行。投标人应在递交投标文件截止时间前，登录广州交易集团有限公司（广州公共资源交易中心）投标人服务专区完成投标人的相关信息录入（拟投入本工程的项目负责人可不备案，只要系统显示已报名成功，并且在投标函中体现项目负责人即可）；</w:t>
      </w:r>
      <w:r>
        <w:rPr>
          <w:rFonts w:hint="eastAsia" w:ascii="宋体" w:hAnsi="宋体" w:eastAsia="宋体" w:cs="仿宋_GB2312"/>
          <w:color w:val="auto"/>
          <w:sz w:val="21"/>
          <w:szCs w:val="21"/>
          <w:highlight w:val="none"/>
        </w:rPr>
        <w:t>投标人核对并确认投标文件信息无误后，上传带有电子签名</w:t>
      </w:r>
      <w:bookmarkStart w:id="84" w:name="_GoBack"/>
      <w:bookmarkEnd w:id="84"/>
      <w:r>
        <w:rPr>
          <w:rFonts w:hint="eastAsia" w:ascii="宋体" w:hAnsi="宋体" w:eastAsia="宋体" w:cs="仿宋_GB2312"/>
          <w:color w:val="auto"/>
          <w:sz w:val="21"/>
          <w:szCs w:val="21"/>
          <w:highlight w:val="none"/>
        </w:rPr>
        <w:t>及电子签章的加密投标文件。在递交投标文件截止时间前，投标人可以补充、修改或撤回投标文件。投标文件须于递交投标文件截止时间前完整上传并保存到广州交易集团有限公司（广州公共资源交易中心）的电子评标系统且取得回执。操作详见《房屋建筑和市政基础设施工程全流程电子化项目专章》。</w:t>
      </w:r>
    </w:p>
    <w:p w14:paraId="6535E030">
      <w:pPr>
        <w:widowControl w:val="0"/>
        <w:kinsoku w:val="0"/>
        <w:wordWrap w:val="0"/>
        <w:overflowPunct w:val="0"/>
        <w:spacing w:after="0" w:line="500" w:lineRule="exact"/>
        <w:ind w:firstLine="424" w:firstLineChars="202"/>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7.3开标时间为</w:t>
      </w:r>
      <w:r>
        <w:rPr>
          <w:rFonts w:hint="eastAsia" w:ascii="宋体" w:hAnsi="宋体" w:eastAsia="宋体"/>
          <w:color w:val="auto"/>
          <w:sz w:val="21"/>
          <w:szCs w:val="21"/>
          <w:highlight w:val="none"/>
          <w:u w:val="single"/>
          <w:lang w:eastAsia="zh-CN"/>
        </w:rPr>
        <w:t>2024</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9</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u w:val="single"/>
          <w:lang w:val="en-US" w:eastAsia="zh-CN"/>
        </w:rPr>
        <w:t>10</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u w:val="single"/>
          <w:lang w:val="en-US" w:eastAsia="zh-CN"/>
        </w:rPr>
        <w:t>00</w:t>
      </w:r>
      <w:r>
        <w:rPr>
          <w:rFonts w:hint="eastAsia" w:ascii="宋体" w:hAnsi="宋体" w:eastAsia="宋体"/>
          <w:color w:val="auto"/>
          <w:sz w:val="21"/>
          <w:szCs w:val="21"/>
          <w:highlight w:val="none"/>
        </w:rPr>
        <w:t>分</w:t>
      </w:r>
      <w:r>
        <w:rPr>
          <w:rFonts w:hint="eastAsia" w:ascii="宋体" w:hAnsi="宋体" w:eastAsia="宋体"/>
          <w:color w:val="auto"/>
          <w:spacing w:val="4"/>
          <w:sz w:val="21"/>
          <w:highlight w:val="none"/>
        </w:rPr>
        <w:t>，地点为</w:t>
      </w:r>
      <w:r>
        <w:rPr>
          <w:rFonts w:hint="eastAsia" w:ascii="宋体" w:hAnsi="宋体" w:eastAsia="宋体" w:cs="宋体"/>
          <w:color w:val="auto"/>
          <w:sz w:val="21"/>
          <w:szCs w:val="21"/>
          <w:highlight w:val="none"/>
        </w:rPr>
        <w:t>广州交易集团有限公司（广州公共资源交易中心）增城交易部第</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开标室。</w:t>
      </w:r>
    </w:p>
    <w:p w14:paraId="74411BEC">
      <w:pPr>
        <w:widowControl w:val="0"/>
        <w:kinsoku w:val="0"/>
        <w:wordWrap w:val="0"/>
        <w:overflowPunct w:val="0"/>
        <w:spacing w:after="0" w:line="500" w:lineRule="exact"/>
        <w:ind w:firstLine="424" w:firstLineChars="202"/>
        <w:rPr>
          <w:rFonts w:hint="eastAsia" w:ascii="宋体" w:hAnsi="宋体" w:eastAsia="宋体"/>
          <w:color w:val="auto"/>
          <w:sz w:val="21"/>
          <w:szCs w:val="21"/>
          <w:highlight w:val="none"/>
        </w:rPr>
      </w:pPr>
      <w:r>
        <w:rPr>
          <w:rFonts w:hint="eastAsia" w:ascii="宋体" w:hAnsi="宋体" w:eastAsia="宋体" w:cs="仿宋_GB2312"/>
          <w:color w:val="auto"/>
          <w:sz w:val="21"/>
          <w:szCs w:val="21"/>
          <w:highlight w:val="none"/>
        </w:rPr>
        <w:t>7</w:t>
      </w:r>
      <w:r>
        <w:rPr>
          <w:rFonts w:ascii="宋体" w:hAnsi="宋体" w:eastAsia="宋体" w:cs="仿宋_GB2312"/>
          <w:color w:val="auto"/>
          <w:sz w:val="21"/>
          <w:szCs w:val="21"/>
          <w:highlight w:val="none"/>
        </w:rPr>
        <w:t>.</w:t>
      </w:r>
      <w:r>
        <w:rPr>
          <w:rFonts w:hint="eastAsia" w:ascii="宋体" w:hAnsi="宋体" w:eastAsia="宋体" w:cs="仿宋_GB2312"/>
          <w:color w:val="auto"/>
          <w:sz w:val="21"/>
          <w:szCs w:val="21"/>
          <w:highlight w:val="none"/>
        </w:rPr>
        <w:t>4</w:t>
      </w:r>
      <w:r>
        <w:rPr>
          <w:rFonts w:ascii="宋体" w:hAnsi="宋体" w:eastAsia="宋体" w:cs="仿宋_GB2312"/>
          <w:color w:val="auto"/>
          <w:sz w:val="21"/>
          <w:szCs w:val="21"/>
          <w:highlight w:val="none"/>
        </w:rPr>
        <w:t xml:space="preserve"> </w:t>
      </w:r>
      <w:r>
        <w:rPr>
          <w:rFonts w:hint="eastAsia" w:ascii="宋体" w:hAnsi="宋体" w:eastAsia="宋体" w:cs="仿宋_GB2312"/>
          <w:color w:val="auto"/>
          <w:sz w:val="21"/>
          <w:szCs w:val="21"/>
          <w:highlight w:val="none"/>
        </w:rPr>
        <w:t>递交投标</w:t>
      </w:r>
      <w:r>
        <w:rPr>
          <w:rFonts w:ascii="宋体" w:hAnsi="宋体" w:eastAsia="宋体" w:cs="仿宋_GB2312"/>
          <w:color w:val="auto"/>
          <w:sz w:val="21"/>
          <w:szCs w:val="21"/>
          <w:highlight w:val="none"/>
        </w:rPr>
        <w:t>文件截止时间</w:t>
      </w:r>
      <w:r>
        <w:rPr>
          <w:rFonts w:hint="eastAsia" w:ascii="宋体" w:hAnsi="宋体" w:eastAsia="宋体" w:cs="仿宋_GB2312"/>
          <w:color w:val="auto"/>
          <w:sz w:val="21"/>
          <w:szCs w:val="21"/>
          <w:highlight w:val="none"/>
        </w:rPr>
        <w:t>及开标时间</w:t>
      </w:r>
      <w:r>
        <w:rPr>
          <w:rFonts w:ascii="宋体" w:hAnsi="宋体" w:eastAsia="宋体" w:cs="仿宋_GB2312"/>
          <w:color w:val="auto"/>
          <w:sz w:val="21"/>
          <w:szCs w:val="21"/>
          <w:highlight w:val="none"/>
        </w:rPr>
        <w:t>是否有变化，请密切留意</w:t>
      </w:r>
      <w:r>
        <w:rPr>
          <w:rFonts w:hint="eastAsia" w:ascii="宋体" w:hAnsi="宋体" w:eastAsia="宋体" w:cs="仿宋_GB2312"/>
          <w:color w:val="auto"/>
          <w:sz w:val="21"/>
          <w:szCs w:val="21"/>
          <w:highlight w:val="none"/>
        </w:rPr>
        <w:t>交易中心</w:t>
      </w:r>
      <w:r>
        <w:rPr>
          <w:rFonts w:ascii="宋体" w:hAnsi="宋体" w:eastAsia="宋体" w:cs="仿宋_GB2312"/>
          <w:color w:val="auto"/>
          <w:sz w:val="21"/>
          <w:szCs w:val="21"/>
          <w:highlight w:val="none"/>
        </w:rPr>
        <w:t>网站中的相关信息。递交</w:t>
      </w:r>
      <w:r>
        <w:rPr>
          <w:rFonts w:hint="eastAsia" w:ascii="宋体" w:hAnsi="宋体" w:eastAsia="宋体" w:cs="仿宋_GB2312"/>
          <w:color w:val="auto"/>
          <w:sz w:val="21"/>
          <w:szCs w:val="21"/>
          <w:highlight w:val="none"/>
        </w:rPr>
        <w:t>投标</w:t>
      </w:r>
      <w:r>
        <w:rPr>
          <w:rFonts w:ascii="宋体" w:hAnsi="宋体" w:eastAsia="宋体" w:cs="仿宋_GB2312"/>
          <w:color w:val="auto"/>
          <w:sz w:val="21"/>
          <w:szCs w:val="21"/>
          <w:highlight w:val="none"/>
        </w:rPr>
        <w:t>文件截止时间后，</w:t>
      </w:r>
      <w:r>
        <w:rPr>
          <w:rFonts w:hint="eastAsia" w:ascii="宋体" w:hAnsi="宋体" w:eastAsia="宋体" w:cs="仿宋_GB2312"/>
          <w:color w:val="auto"/>
          <w:sz w:val="21"/>
          <w:szCs w:val="21"/>
          <w:highlight w:val="none"/>
        </w:rPr>
        <w:t>投标文件</w:t>
      </w:r>
      <w:r>
        <w:rPr>
          <w:rFonts w:ascii="宋体" w:hAnsi="宋体" w:eastAsia="宋体" w:cs="仿宋_GB2312"/>
          <w:color w:val="auto"/>
          <w:sz w:val="21"/>
          <w:szCs w:val="21"/>
          <w:highlight w:val="none"/>
        </w:rPr>
        <w:t>评审时间因故推迟的，相关</w:t>
      </w:r>
      <w:r>
        <w:rPr>
          <w:rFonts w:hint="eastAsia" w:ascii="宋体" w:hAnsi="宋体" w:eastAsia="宋体" w:cs="仿宋_GB2312"/>
          <w:color w:val="auto"/>
          <w:sz w:val="21"/>
          <w:szCs w:val="21"/>
          <w:highlight w:val="none"/>
        </w:rPr>
        <w:t>资审</w:t>
      </w:r>
      <w:r>
        <w:rPr>
          <w:rFonts w:ascii="宋体" w:hAnsi="宋体" w:eastAsia="宋体" w:cs="仿宋_GB2312"/>
          <w:color w:val="auto"/>
          <w:sz w:val="21"/>
          <w:szCs w:val="21"/>
          <w:highlight w:val="none"/>
        </w:rPr>
        <w:t>信息仍以原递交</w:t>
      </w:r>
      <w:r>
        <w:rPr>
          <w:rFonts w:hint="eastAsia" w:ascii="宋体" w:hAnsi="宋体" w:eastAsia="宋体" w:cs="仿宋_GB2312"/>
          <w:color w:val="auto"/>
          <w:sz w:val="21"/>
          <w:szCs w:val="21"/>
          <w:highlight w:val="none"/>
        </w:rPr>
        <w:t>投标</w:t>
      </w:r>
      <w:r>
        <w:rPr>
          <w:rFonts w:ascii="宋体" w:hAnsi="宋体" w:eastAsia="宋体" w:cs="仿宋_GB2312"/>
          <w:color w:val="auto"/>
          <w:sz w:val="21"/>
          <w:szCs w:val="21"/>
          <w:highlight w:val="none"/>
        </w:rPr>
        <w:t>文件截止时间的信息为准。</w:t>
      </w:r>
    </w:p>
    <w:p w14:paraId="4B097C53">
      <w:pPr>
        <w:widowControl w:val="0"/>
        <w:kinsoku w:val="0"/>
        <w:wordWrap w:val="0"/>
        <w:overflowPunct w:val="0"/>
        <w:spacing w:after="0" w:line="500" w:lineRule="exact"/>
        <w:ind w:firstLine="424" w:firstLineChars="202"/>
        <w:rPr>
          <w:rFonts w:hint="eastAsia" w:ascii="宋体" w:hAnsi="宋体" w:eastAsia="宋体"/>
          <w:color w:val="auto"/>
          <w:sz w:val="21"/>
          <w:szCs w:val="21"/>
          <w:highlight w:val="none"/>
        </w:rPr>
      </w:pPr>
      <w:r>
        <w:rPr>
          <w:rFonts w:hint="eastAsia" w:ascii="宋体" w:hAnsi="宋体" w:eastAsia="宋体" w:cs="仿宋_GB2312"/>
          <w:color w:val="auto"/>
          <w:sz w:val="21"/>
          <w:szCs w:val="21"/>
          <w:highlight w:val="none"/>
        </w:rPr>
        <w:t>7</w:t>
      </w:r>
      <w:r>
        <w:rPr>
          <w:rFonts w:ascii="宋体" w:hAnsi="宋体" w:eastAsia="宋体" w:cs="仿宋_GB2312"/>
          <w:color w:val="auto"/>
          <w:sz w:val="21"/>
          <w:szCs w:val="21"/>
          <w:highlight w:val="none"/>
        </w:rPr>
        <w:t>.</w:t>
      </w:r>
      <w:r>
        <w:rPr>
          <w:rFonts w:hint="eastAsia" w:ascii="宋体" w:hAnsi="宋体" w:eastAsia="宋体" w:cs="仿宋_GB2312"/>
          <w:color w:val="auto"/>
          <w:sz w:val="21"/>
          <w:szCs w:val="21"/>
          <w:highlight w:val="none"/>
        </w:rPr>
        <w:t>5</w:t>
      </w:r>
      <w:r>
        <w:rPr>
          <w:rFonts w:ascii="宋体" w:hAnsi="宋体" w:eastAsia="宋体" w:cs="仿宋_GB2312"/>
          <w:color w:val="auto"/>
          <w:sz w:val="21"/>
          <w:szCs w:val="21"/>
          <w:highlight w:val="none"/>
        </w:rPr>
        <w:t>逾期</w:t>
      </w:r>
      <w:r>
        <w:rPr>
          <w:rFonts w:ascii="宋体" w:hAnsi="宋体" w:eastAsia="宋体"/>
          <w:color w:val="auto"/>
          <w:sz w:val="21"/>
          <w:szCs w:val="21"/>
          <w:highlight w:val="none"/>
        </w:rPr>
        <w:t>送达的或者未送达指定</w:t>
      </w:r>
      <w:r>
        <w:rPr>
          <w:rFonts w:hint="eastAsia" w:ascii="宋体" w:hAnsi="宋体" w:eastAsia="宋体"/>
          <w:color w:val="auto"/>
          <w:sz w:val="21"/>
          <w:szCs w:val="21"/>
          <w:highlight w:val="none"/>
        </w:rPr>
        <w:t>网站</w:t>
      </w:r>
      <w:r>
        <w:rPr>
          <w:rFonts w:ascii="宋体" w:hAnsi="宋体" w:eastAsia="宋体"/>
          <w:color w:val="auto"/>
          <w:sz w:val="21"/>
          <w:szCs w:val="21"/>
          <w:highlight w:val="none"/>
        </w:rPr>
        <w:t>的</w:t>
      </w:r>
      <w:r>
        <w:rPr>
          <w:rFonts w:hint="eastAsia" w:ascii="宋体" w:hAnsi="宋体" w:eastAsia="宋体" w:cs="仿宋_GB2312"/>
          <w:color w:val="auto"/>
          <w:sz w:val="21"/>
          <w:szCs w:val="21"/>
          <w:highlight w:val="none"/>
        </w:rPr>
        <w:t>投标</w:t>
      </w:r>
      <w:r>
        <w:rPr>
          <w:rFonts w:ascii="宋体" w:hAnsi="宋体" w:eastAsia="宋体"/>
          <w:color w:val="auto"/>
          <w:sz w:val="21"/>
          <w:szCs w:val="21"/>
          <w:highlight w:val="none"/>
        </w:rPr>
        <w:t>文件，招标人不予受理。</w:t>
      </w:r>
    </w:p>
    <w:p w14:paraId="1E54D3D1">
      <w:pPr>
        <w:widowControl w:val="0"/>
        <w:kinsoku w:val="0"/>
        <w:wordWrap w:val="0"/>
        <w:overflowPunct w:val="0"/>
        <w:spacing w:after="0" w:line="500" w:lineRule="exact"/>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7.6投标人在递交</w:t>
      </w:r>
      <w:r>
        <w:rPr>
          <w:rFonts w:hint="eastAsia" w:ascii="宋体" w:hAnsi="宋体" w:eastAsia="宋体" w:cs="仿宋_GB2312"/>
          <w:color w:val="auto"/>
          <w:sz w:val="21"/>
          <w:szCs w:val="21"/>
          <w:highlight w:val="none"/>
        </w:rPr>
        <w:t>投标</w:t>
      </w:r>
      <w:r>
        <w:rPr>
          <w:rFonts w:hint="eastAsia" w:ascii="宋体" w:hAnsi="宋体" w:eastAsia="宋体"/>
          <w:color w:val="auto"/>
          <w:sz w:val="21"/>
          <w:szCs w:val="21"/>
          <w:highlight w:val="none"/>
        </w:rPr>
        <w:t>文件前，应按广州交易集团有限公司（广州公共资源交易中心）要求办理进场和投标登记手续。若投标人未按要求办理手续，招标人将不承担与此有关的责任。</w:t>
      </w:r>
    </w:p>
    <w:p w14:paraId="65D4F761">
      <w:pPr>
        <w:spacing w:line="500" w:lineRule="exact"/>
        <w:outlineLvl w:val="0"/>
        <w:rPr>
          <w:rFonts w:hint="eastAsia" w:ascii="宋体" w:hAnsi="宋体" w:eastAsia="宋体" w:cs="宋体"/>
          <w:b/>
          <w:color w:val="auto"/>
          <w:sz w:val="24"/>
          <w:szCs w:val="24"/>
          <w:highlight w:val="none"/>
        </w:rPr>
      </w:pPr>
      <w:bookmarkStart w:id="60" w:name="_Toc30849_WPSOffice_Level2"/>
      <w:bookmarkStart w:id="61" w:name="_Toc19752_WPSOffice_Level2"/>
      <w:bookmarkStart w:id="62" w:name="_Toc222030970"/>
      <w:bookmarkStart w:id="63" w:name="_Toc222033819"/>
      <w:bookmarkStart w:id="64" w:name="_Toc222029468"/>
      <w:bookmarkStart w:id="65" w:name="_Toc229305328"/>
      <w:bookmarkStart w:id="66" w:name="_Toc221949937"/>
      <w:bookmarkStart w:id="67" w:name="_Toc222032637"/>
      <w:bookmarkStart w:id="68" w:name="_Toc259524301"/>
      <w:r>
        <w:rPr>
          <w:rFonts w:hint="eastAsia" w:ascii="宋体" w:hAnsi="宋体" w:eastAsia="宋体" w:cs="宋体"/>
          <w:b/>
          <w:color w:val="auto"/>
          <w:sz w:val="24"/>
          <w:szCs w:val="24"/>
          <w:highlight w:val="none"/>
        </w:rPr>
        <w:t>8．投标文件解密</w:t>
      </w:r>
      <w:bookmarkEnd w:id="60"/>
      <w:bookmarkEnd w:id="61"/>
    </w:p>
    <w:p w14:paraId="3C555D3F">
      <w:pPr>
        <w:widowControl w:val="0"/>
        <w:kinsoku w:val="0"/>
        <w:wordWrap w:val="0"/>
        <w:overflowPunct w:val="0"/>
        <w:spacing w:after="0" w:line="500" w:lineRule="exact"/>
        <w:ind w:firstLine="424" w:firstLineChars="202"/>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w:t>
      </w:r>
      <w:r>
        <w:rPr>
          <w:rFonts w:ascii="宋体" w:hAnsi="宋体" w:eastAsia="宋体"/>
          <w:color w:val="auto"/>
          <w:sz w:val="21"/>
          <w:szCs w:val="21"/>
          <w:highlight w:val="none"/>
        </w:rPr>
        <w:t>.1</w:t>
      </w:r>
      <w:r>
        <w:rPr>
          <w:rFonts w:hint="eastAsia" w:ascii="宋体" w:hAnsi="宋体" w:eastAsia="宋体"/>
          <w:color w:val="auto"/>
          <w:sz w:val="21"/>
          <w:szCs w:val="21"/>
          <w:highlight w:val="none"/>
        </w:rPr>
        <w:t>投标人解密：投标人在递交电子投标</w:t>
      </w:r>
      <w:r>
        <w:rPr>
          <w:rFonts w:ascii="宋体" w:hAnsi="宋体" w:eastAsia="宋体"/>
          <w:color w:val="auto"/>
          <w:sz w:val="21"/>
          <w:szCs w:val="21"/>
          <w:highlight w:val="none"/>
        </w:rPr>
        <w:t>文件</w:t>
      </w:r>
      <w:r>
        <w:rPr>
          <w:rFonts w:hint="eastAsia" w:ascii="宋体" w:hAnsi="宋体" w:eastAsia="宋体"/>
          <w:color w:val="auto"/>
          <w:sz w:val="21"/>
          <w:szCs w:val="21"/>
          <w:highlight w:val="none"/>
        </w:rPr>
        <w:t>截止时间到达后的</w:t>
      </w:r>
      <w:r>
        <w:rPr>
          <w:rFonts w:hint="eastAsia" w:ascii="宋体" w:hAnsi="宋体" w:eastAsia="宋体"/>
          <w:b/>
          <w:color w:val="auto"/>
          <w:sz w:val="21"/>
          <w:szCs w:val="21"/>
          <w:highlight w:val="none"/>
          <w:lang w:val="en-US" w:eastAsia="zh-CN"/>
        </w:rPr>
        <w:t>半</w:t>
      </w:r>
      <w:r>
        <w:rPr>
          <w:rFonts w:hint="eastAsia" w:ascii="宋体" w:hAnsi="宋体" w:eastAsia="宋体"/>
          <w:b/>
          <w:color w:val="auto"/>
          <w:sz w:val="21"/>
          <w:szCs w:val="21"/>
          <w:highlight w:val="none"/>
        </w:rPr>
        <w:t>个小时内</w:t>
      </w:r>
      <w:r>
        <w:rPr>
          <w:rFonts w:hint="eastAsia" w:ascii="宋体" w:hAnsi="宋体" w:eastAsia="宋体"/>
          <w:color w:val="auto"/>
          <w:sz w:val="21"/>
          <w:szCs w:val="21"/>
          <w:highlight w:val="none"/>
        </w:rPr>
        <w:t>使用制作该电子</w:t>
      </w:r>
      <w:r>
        <w:rPr>
          <w:rFonts w:hint="eastAsia" w:ascii="宋体" w:hAnsi="宋体" w:eastAsia="宋体" w:cs="仿宋_GB2312"/>
          <w:color w:val="auto"/>
          <w:sz w:val="21"/>
          <w:szCs w:val="21"/>
          <w:highlight w:val="none"/>
        </w:rPr>
        <w:t>投标</w:t>
      </w:r>
      <w:r>
        <w:rPr>
          <w:rFonts w:hint="eastAsia" w:ascii="宋体" w:hAnsi="宋体" w:eastAsia="宋体"/>
          <w:color w:val="auto"/>
          <w:sz w:val="21"/>
          <w:szCs w:val="21"/>
          <w:highlight w:val="none"/>
        </w:rPr>
        <w:t>文件的机构业务数字证书对电子</w:t>
      </w:r>
      <w:r>
        <w:rPr>
          <w:rFonts w:hint="eastAsia" w:ascii="宋体" w:hAnsi="宋体" w:eastAsia="宋体" w:cs="仿宋_GB2312"/>
          <w:color w:val="auto"/>
          <w:sz w:val="21"/>
          <w:szCs w:val="21"/>
          <w:highlight w:val="none"/>
        </w:rPr>
        <w:t>投标</w:t>
      </w:r>
      <w:r>
        <w:rPr>
          <w:rFonts w:hint="eastAsia" w:ascii="宋体" w:hAnsi="宋体" w:eastAsia="宋体"/>
          <w:color w:val="auto"/>
          <w:sz w:val="21"/>
          <w:szCs w:val="21"/>
          <w:highlight w:val="none"/>
        </w:rPr>
        <w:t>文件进行解密。逾期未解密或因</w:t>
      </w:r>
      <w:r>
        <w:rPr>
          <w:rFonts w:hint="eastAsia" w:ascii="宋体" w:hAnsi="宋体" w:eastAsia="宋体" w:cs="仿宋_GB2312"/>
          <w:color w:val="auto"/>
          <w:sz w:val="21"/>
          <w:szCs w:val="21"/>
          <w:highlight w:val="none"/>
        </w:rPr>
        <w:t>投标人原因造成电子投标文件解密不成功</w:t>
      </w:r>
      <w:r>
        <w:rPr>
          <w:rFonts w:hint="eastAsia" w:ascii="宋体" w:hAnsi="宋体" w:eastAsia="宋体"/>
          <w:color w:val="auto"/>
          <w:sz w:val="21"/>
          <w:szCs w:val="21"/>
          <w:highlight w:val="none"/>
        </w:rPr>
        <w:t>的，视为投标人未递交电子</w:t>
      </w:r>
      <w:r>
        <w:rPr>
          <w:rFonts w:hint="eastAsia" w:ascii="宋体" w:hAnsi="宋体" w:eastAsia="宋体" w:cs="仿宋_GB2312"/>
          <w:color w:val="auto"/>
          <w:sz w:val="21"/>
          <w:szCs w:val="21"/>
          <w:highlight w:val="none"/>
        </w:rPr>
        <w:t>投标</w:t>
      </w:r>
      <w:r>
        <w:rPr>
          <w:rFonts w:hint="eastAsia" w:ascii="宋体" w:hAnsi="宋体" w:eastAsia="宋体"/>
          <w:color w:val="auto"/>
          <w:sz w:val="21"/>
          <w:szCs w:val="21"/>
          <w:highlight w:val="none"/>
        </w:rPr>
        <w:t>文件。</w:t>
      </w:r>
    </w:p>
    <w:p w14:paraId="5F3ABFD7">
      <w:pPr>
        <w:widowControl w:val="0"/>
        <w:kinsoku w:val="0"/>
        <w:wordWrap w:val="0"/>
        <w:overflowPunct w:val="0"/>
        <w:spacing w:after="0" w:line="500" w:lineRule="exact"/>
        <w:ind w:firstLine="424" w:firstLineChars="202"/>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w:t>
      </w:r>
      <w:r>
        <w:rPr>
          <w:rFonts w:ascii="宋体" w:hAnsi="宋体" w:eastAsia="宋体"/>
          <w:color w:val="auto"/>
          <w:sz w:val="21"/>
          <w:szCs w:val="21"/>
          <w:highlight w:val="none"/>
        </w:rPr>
        <w:t>.2</w:t>
      </w:r>
      <w:r>
        <w:rPr>
          <w:rFonts w:hint="eastAsia" w:ascii="宋体" w:hAnsi="宋体" w:eastAsia="宋体"/>
          <w:color w:val="auto"/>
          <w:sz w:val="21"/>
          <w:szCs w:val="21"/>
          <w:highlight w:val="none"/>
        </w:rPr>
        <w:t>招标人解密：招标人用打包电子招标文件的机构业务数字证书对电子</w:t>
      </w:r>
      <w:r>
        <w:rPr>
          <w:rFonts w:hint="eastAsia" w:ascii="宋体" w:hAnsi="宋体" w:eastAsia="宋体" w:cs="仿宋_GB2312"/>
          <w:color w:val="auto"/>
          <w:sz w:val="21"/>
          <w:szCs w:val="21"/>
          <w:highlight w:val="none"/>
        </w:rPr>
        <w:t>投标</w:t>
      </w:r>
      <w:r>
        <w:rPr>
          <w:rFonts w:hint="eastAsia" w:ascii="宋体" w:hAnsi="宋体" w:eastAsia="宋体"/>
          <w:color w:val="auto"/>
          <w:sz w:val="21"/>
          <w:szCs w:val="21"/>
          <w:highlight w:val="none"/>
        </w:rPr>
        <w:t>文件进行解密。</w:t>
      </w:r>
    </w:p>
    <w:p w14:paraId="4BBDF943">
      <w:pPr>
        <w:widowControl w:val="0"/>
        <w:kinsoku w:val="0"/>
        <w:wordWrap w:val="0"/>
        <w:overflowPunct w:val="0"/>
        <w:spacing w:after="0" w:line="500" w:lineRule="exact"/>
        <w:ind w:firstLine="424" w:firstLineChars="202"/>
        <w:rPr>
          <w:rFonts w:hint="eastAsia" w:ascii="宋体" w:hAnsi="宋体" w:eastAsia="宋体" w:cs="仿宋_GB2312"/>
          <w:color w:val="auto"/>
          <w:sz w:val="21"/>
          <w:szCs w:val="21"/>
          <w:highlight w:val="none"/>
        </w:rPr>
      </w:pPr>
      <w:r>
        <w:rPr>
          <w:rFonts w:hint="eastAsia" w:ascii="宋体" w:hAnsi="宋体" w:eastAsia="宋体"/>
          <w:color w:val="auto"/>
          <w:sz w:val="21"/>
          <w:szCs w:val="21"/>
          <w:highlight w:val="none"/>
        </w:rPr>
        <w:t>8</w:t>
      </w:r>
      <w:r>
        <w:rPr>
          <w:rFonts w:ascii="宋体" w:hAnsi="宋体" w:eastAsia="宋体"/>
          <w:color w:val="auto"/>
          <w:sz w:val="21"/>
          <w:szCs w:val="21"/>
          <w:highlight w:val="none"/>
        </w:rPr>
        <w:t>.3</w:t>
      </w:r>
      <w:r>
        <w:rPr>
          <w:rFonts w:hint="eastAsia" w:ascii="宋体" w:hAnsi="宋体" w:eastAsia="宋体" w:cs="仿宋_GB2312"/>
          <w:color w:val="auto"/>
          <w:sz w:val="21"/>
          <w:szCs w:val="21"/>
          <w:highlight w:val="none"/>
        </w:rPr>
        <w:t>因投标人原因造成电子投标文件未解密的不参与投标文件评审。</w:t>
      </w:r>
    </w:p>
    <w:p w14:paraId="3FB3CAFE">
      <w:pPr>
        <w:spacing w:line="500" w:lineRule="exact"/>
        <w:outlineLvl w:val="0"/>
        <w:rPr>
          <w:rFonts w:hint="eastAsia" w:ascii="宋体" w:hAnsi="宋体" w:eastAsia="宋体" w:cs="宋体"/>
          <w:b/>
          <w:color w:val="auto"/>
          <w:sz w:val="24"/>
          <w:szCs w:val="24"/>
          <w:highlight w:val="none"/>
        </w:rPr>
      </w:pPr>
      <w:bookmarkStart w:id="69" w:name="_Toc27277_WPSOffice_Level2"/>
      <w:bookmarkStart w:id="70" w:name="_Toc9942_WPSOffice_Level2"/>
      <w:r>
        <w:rPr>
          <w:rFonts w:hint="eastAsia" w:ascii="宋体" w:hAnsi="宋体" w:eastAsia="宋体" w:cs="宋体"/>
          <w:b/>
          <w:color w:val="auto"/>
          <w:sz w:val="24"/>
          <w:szCs w:val="24"/>
          <w:highlight w:val="none"/>
        </w:rPr>
        <w:t>9.异议受理</w:t>
      </w:r>
      <w:bookmarkEnd w:id="69"/>
      <w:bookmarkEnd w:id="70"/>
    </w:p>
    <w:p w14:paraId="771A8191">
      <w:pPr>
        <w:snapToGrid w:val="0"/>
        <w:spacing w:line="360" w:lineRule="auto"/>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潜在投标人或利害关系人对本招标公告及招标文件有异议的，向招标人提出。异议受理部门：广州市增城区人民政府朱村街道办事处，异议受理电话：020-82855488，地址：广州市增城区朱村大道中288号。</w:t>
      </w:r>
    </w:p>
    <w:p w14:paraId="0D70DB58">
      <w:pPr>
        <w:snapToGrid w:val="0"/>
        <w:spacing w:line="360" w:lineRule="auto"/>
        <w:ind w:firstLine="422" w:firstLineChars="200"/>
        <w:rPr>
          <w:rFonts w:hint="eastAsia"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注：潜在投标人或利害关系人可以通过线下或线上的形式提出异议。线上提出异议的，应通过广交易建设工程电子交易系统提交，招标人也应通过广交易建设工程电子交易系统答复线上提出的异议。具体按照广交易建设工程电子交易系统相关指南进行操作。作出答复前，应当暂停招标投标活动。</w:t>
      </w:r>
    </w:p>
    <w:p w14:paraId="60B546E3">
      <w:pPr>
        <w:snapToGrid w:val="0"/>
        <w:spacing w:line="360" w:lineRule="auto"/>
        <w:rPr>
          <w:rFonts w:hint="eastAsia"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 xml:space="preserve"> 1.具体操作详见“广州交易集团有限公司（广州公共资源交易中心）门户网站首页-&gt;服务指南-&gt;系统帮助-&gt;操作手册-&gt;发起及受理异议操作指引”。</w:t>
      </w:r>
    </w:p>
    <w:p w14:paraId="7D4026FD">
      <w:pPr>
        <w:snapToGrid w:val="0"/>
        <w:spacing w:line="360" w:lineRule="auto"/>
        <w:rPr>
          <w:rFonts w:hint="eastAsia"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bookmarkEnd w:id="62"/>
    <w:bookmarkEnd w:id="63"/>
    <w:bookmarkEnd w:id="64"/>
    <w:bookmarkEnd w:id="65"/>
    <w:bookmarkEnd w:id="66"/>
    <w:bookmarkEnd w:id="67"/>
    <w:bookmarkEnd w:id="68"/>
    <w:p w14:paraId="7B8253F8">
      <w:pPr>
        <w:spacing w:line="500" w:lineRule="exact"/>
        <w:outlineLvl w:val="0"/>
        <w:rPr>
          <w:rFonts w:hint="eastAsia" w:ascii="宋体" w:hAnsi="宋体" w:eastAsia="宋体" w:cs="宋体"/>
          <w:b/>
          <w:color w:val="auto"/>
          <w:sz w:val="24"/>
          <w:szCs w:val="24"/>
          <w:highlight w:val="none"/>
        </w:rPr>
      </w:pPr>
      <w:bookmarkStart w:id="71" w:name="_Toc222030971"/>
      <w:bookmarkStart w:id="72" w:name="_Toc168475631"/>
      <w:bookmarkStart w:id="73" w:name="_Toc222032638"/>
      <w:bookmarkStart w:id="74" w:name="_Toc222029469"/>
      <w:bookmarkStart w:id="75" w:name="_Toc210_WPSOffice_Level2"/>
      <w:bookmarkStart w:id="76" w:name="_Toc229305329"/>
      <w:bookmarkStart w:id="77" w:name="_Toc259524302"/>
      <w:bookmarkStart w:id="78" w:name="_Toc20839_WPSOffice_Level2"/>
      <w:bookmarkStart w:id="79" w:name="_Toc168476034"/>
      <w:bookmarkStart w:id="80" w:name="_Toc221949939"/>
      <w:bookmarkStart w:id="81" w:name="_Toc222033820"/>
      <w:r>
        <w:rPr>
          <w:rFonts w:hint="eastAsia" w:ascii="宋体" w:hAnsi="宋体" w:eastAsia="宋体" w:cs="宋体"/>
          <w:b/>
          <w:color w:val="auto"/>
          <w:sz w:val="24"/>
          <w:szCs w:val="24"/>
          <w:highlight w:val="none"/>
        </w:rPr>
        <w:t>10.发布公告的媒介</w:t>
      </w:r>
      <w:bookmarkEnd w:id="71"/>
      <w:bookmarkEnd w:id="72"/>
      <w:bookmarkEnd w:id="73"/>
      <w:bookmarkEnd w:id="74"/>
      <w:bookmarkEnd w:id="75"/>
      <w:bookmarkEnd w:id="76"/>
      <w:bookmarkEnd w:id="77"/>
      <w:bookmarkEnd w:id="78"/>
      <w:bookmarkEnd w:id="79"/>
      <w:bookmarkEnd w:id="80"/>
      <w:bookmarkEnd w:id="81"/>
    </w:p>
    <w:p w14:paraId="2C40F8FF">
      <w:pPr>
        <w:widowControl w:val="0"/>
        <w:kinsoku w:val="0"/>
        <w:wordWrap w:val="0"/>
        <w:overflowPunct w:val="0"/>
        <w:spacing w:after="0" w:line="500" w:lineRule="exact"/>
        <w:ind w:firstLine="424" w:firstLineChars="202"/>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本公告在广州交易集团有限公司（广州公共资源交易中心）网站（网址：http://www.gzggzy.cn）、中国招标投标公共服务平台（网址：http://www.cebpubservice.com/）、广州市增城区人民政府门户网站（http://www.zc.gov.c</w:t>
      </w:r>
      <w:r>
        <w:rPr>
          <w:rFonts w:ascii="宋体" w:hAnsi="宋体" w:eastAsia="宋体"/>
          <w:color w:val="auto"/>
          <w:sz w:val="21"/>
          <w:szCs w:val="21"/>
          <w:highlight w:val="none"/>
          <w:u w:val="single"/>
        </w:rPr>
        <w:t>n/</w:t>
      </w:r>
      <w:r>
        <w:rPr>
          <w:rFonts w:hint="eastAsia" w:ascii="宋体" w:hAnsi="宋体" w:eastAsia="宋体"/>
          <w:color w:val="auto"/>
          <w:sz w:val="21"/>
          <w:szCs w:val="21"/>
          <w:highlight w:val="none"/>
          <w:u w:val="single"/>
        </w:rPr>
        <w:t>）的“首页</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公开</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公共资源配置领域</w:t>
      </w:r>
      <w:r>
        <w:rPr>
          <w:rFonts w:ascii="宋体" w:hAnsi="宋体" w:eastAsia="宋体"/>
          <w:color w:val="auto"/>
          <w:sz w:val="21"/>
          <w:szCs w:val="21"/>
          <w:highlight w:val="none"/>
          <w:u w:val="single"/>
        </w:rPr>
        <w:t>&gt;</w:t>
      </w:r>
      <w:r>
        <w:rPr>
          <w:rFonts w:hint="eastAsia" w:ascii="宋体" w:hAnsi="宋体" w:eastAsia="宋体"/>
          <w:color w:val="auto"/>
          <w:sz w:val="21"/>
          <w:szCs w:val="21"/>
          <w:highlight w:val="none"/>
          <w:u w:val="single"/>
        </w:rPr>
        <w:t>工程建设项目招投标”栏目、广东省招标投标监管网发布，本公告的修改、补充，在广州交易集团有限公司（广州公共资源交易中心）网站发布。本公告在各媒体发布的文本如有不同之处，以在广州交易集团有限公司（广州公共资源交易中心）发布的文本为准。</w:t>
      </w:r>
    </w:p>
    <w:p w14:paraId="10E5ED74">
      <w:pPr>
        <w:spacing w:line="500" w:lineRule="exact"/>
        <w:outlineLvl w:val="0"/>
        <w:rPr>
          <w:rFonts w:hint="eastAsia" w:ascii="宋体" w:hAnsi="宋体" w:eastAsia="宋体" w:cs="宋体"/>
          <w:b/>
          <w:color w:val="auto"/>
          <w:sz w:val="24"/>
          <w:szCs w:val="24"/>
          <w:highlight w:val="none"/>
        </w:rPr>
      </w:pPr>
      <w:bookmarkStart w:id="82" w:name="_Toc32469_WPSOffice_Level2"/>
      <w:bookmarkStart w:id="83" w:name="_Toc31605_WPSOffice_Level2"/>
      <w:r>
        <w:rPr>
          <w:rFonts w:hint="eastAsia" w:ascii="宋体" w:hAnsi="宋体" w:eastAsia="宋体" w:cs="宋体"/>
          <w:b/>
          <w:color w:val="auto"/>
          <w:sz w:val="24"/>
          <w:szCs w:val="24"/>
          <w:highlight w:val="none"/>
        </w:rPr>
        <w:t>11. 联系方式</w:t>
      </w:r>
      <w:bookmarkEnd w:id="82"/>
      <w:bookmarkEnd w:id="83"/>
    </w:p>
    <w:p w14:paraId="516F3615">
      <w:pPr>
        <w:spacing w:after="0" w:line="500" w:lineRule="exact"/>
        <w:ind w:left="6460" w:right="238" w:rightChars="108" w:hanging="6459" w:hangingChars="307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招标人：广州市增城区人民政府朱村街道办事处   招标代理机构:  </w:t>
      </w:r>
      <w:r>
        <w:rPr>
          <w:rFonts w:hint="eastAsia" w:ascii="宋体" w:hAnsi="宋体" w:eastAsia="宋体" w:cs="宋体"/>
          <w:color w:val="auto"/>
          <w:sz w:val="21"/>
          <w:szCs w:val="21"/>
          <w:highlight w:val="none"/>
          <w:lang w:eastAsia="zh-CN"/>
        </w:rPr>
        <w:t>广东省城规建设监理有限公司</w:t>
      </w:r>
    </w:p>
    <w:p w14:paraId="1EA7D0CB">
      <w:pPr>
        <w:spacing w:after="0" w:line="500" w:lineRule="exact"/>
        <w:ind w:left="5830" w:right="238" w:rightChars="108" w:hanging="5829" w:hangingChars="27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址：广州市增城区朱村大道中288号       地    址：广州市白云区黄石东路484号二楼</w:t>
      </w:r>
    </w:p>
    <w:p w14:paraId="5523FDAB">
      <w:pPr>
        <w:spacing w:after="0" w:line="500" w:lineRule="exact"/>
        <w:ind w:left="5830" w:right="238" w:rightChars="108" w:hanging="5829" w:hangingChars="27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    编：511300                              邮    编：510420</w:t>
      </w:r>
    </w:p>
    <w:p w14:paraId="240F5BE0">
      <w:pPr>
        <w:spacing w:after="0" w:line="500" w:lineRule="exact"/>
        <w:ind w:left="5830" w:right="238" w:rightChars="108" w:hanging="5829" w:hangingChars="2776"/>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联 系 人：姚工                                联 系 人： </w:t>
      </w:r>
      <w:r>
        <w:rPr>
          <w:rFonts w:hint="eastAsia" w:ascii="宋体" w:hAnsi="宋体" w:eastAsia="宋体" w:cs="宋体"/>
          <w:color w:val="auto"/>
          <w:sz w:val="21"/>
          <w:szCs w:val="21"/>
          <w:highlight w:val="none"/>
          <w:lang w:val="en-US" w:eastAsia="zh-CN"/>
        </w:rPr>
        <w:t>刘工</w:t>
      </w:r>
    </w:p>
    <w:p w14:paraId="4936956A">
      <w:pPr>
        <w:spacing w:after="0" w:line="500" w:lineRule="exact"/>
        <w:ind w:left="5830" w:right="238" w:rightChars="108" w:hanging="5829" w:hangingChars="27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话：020-82855488                        电    话： 13570260425</w:t>
      </w:r>
    </w:p>
    <w:p w14:paraId="3C441DDA">
      <w:pPr>
        <w:spacing w:after="0" w:line="500" w:lineRule="exact"/>
        <w:ind w:left="5830" w:right="238" w:rightChars="108" w:hanging="5829" w:hangingChars="2776"/>
        <w:rPr>
          <w:rFonts w:hint="eastAsia" w:ascii="宋体" w:hAnsi="宋体" w:eastAsia="宋体"/>
          <w:color w:val="auto"/>
          <w:sz w:val="21"/>
          <w:szCs w:val="21"/>
          <w:highlight w:val="none"/>
        </w:rPr>
      </w:pPr>
    </w:p>
    <w:p w14:paraId="4FA03712">
      <w:pPr>
        <w:spacing w:after="0" w:line="500" w:lineRule="exact"/>
        <w:ind w:left="5830" w:right="238" w:rightChars="108" w:hanging="5829" w:hangingChars="277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w:t>
      </w:r>
      <w:r>
        <w:rPr>
          <w:rFonts w:hint="eastAsia" w:ascii="宋体" w:hAnsi="宋体" w:eastAsia="宋体" w:cs="宋体"/>
          <w:color w:val="auto"/>
          <w:sz w:val="21"/>
          <w:szCs w:val="21"/>
          <w:highlight w:val="none"/>
        </w:rPr>
        <w:t>监督</w:t>
      </w:r>
      <w:r>
        <w:rPr>
          <w:rFonts w:hint="eastAsia" w:ascii="宋体" w:hAnsi="宋体" w:eastAsia="宋体"/>
          <w:color w:val="auto"/>
          <w:sz w:val="21"/>
          <w:szCs w:val="21"/>
          <w:highlight w:val="none"/>
        </w:rPr>
        <w:t>部门:</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u w:val="single"/>
        </w:rPr>
        <w:t>广州市增城区建设工程招标管理办公室</w:t>
      </w:r>
    </w:p>
    <w:p w14:paraId="31C19121">
      <w:pPr>
        <w:spacing w:after="0" w:line="500" w:lineRule="exact"/>
        <w:ind w:left="5830" w:right="238" w:rightChars="108" w:hanging="5829" w:hangingChars="2776"/>
        <w:rPr>
          <w:rFonts w:hint="eastAsia" w:ascii="宋体" w:hAnsi="宋体" w:eastAsia="宋体"/>
          <w:color w:val="auto"/>
          <w:sz w:val="21"/>
          <w:szCs w:val="21"/>
          <w:highlight w:val="none"/>
          <w:u w:val="single"/>
        </w:rPr>
      </w:pPr>
      <w:r>
        <w:rPr>
          <w:rFonts w:ascii="宋体" w:hAnsi="宋体" w:eastAsia="宋体"/>
          <w:color w:val="auto"/>
          <w:sz w:val="21"/>
          <w:szCs w:val="21"/>
          <w:highlight w:val="none"/>
        </w:rPr>
        <w:t>地</w:t>
      </w: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址：</w:t>
      </w:r>
      <w:r>
        <w:rPr>
          <w:rFonts w:hint="eastAsia" w:ascii="宋体" w:hAnsi="宋体" w:eastAsia="宋体"/>
          <w:color w:val="auto"/>
          <w:sz w:val="21"/>
          <w:szCs w:val="21"/>
          <w:highlight w:val="none"/>
          <w:u w:val="single"/>
        </w:rPr>
        <w:t>广州市增城区荔城街挂绿路</w:t>
      </w:r>
      <w:r>
        <w:rPr>
          <w:rFonts w:ascii="宋体" w:hAnsi="宋体" w:eastAsia="宋体"/>
          <w:color w:val="auto"/>
          <w:sz w:val="21"/>
          <w:szCs w:val="21"/>
          <w:highlight w:val="none"/>
          <w:u w:val="single"/>
        </w:rPr>
        <w:t>12</w:t>
      </w:r>
      <w:r>
        <w:rPr>
          <w:rFonts w:hint="eastAsia" w:ascii="宋体" w:hAnsi="宋体" w:eastAsia="宋体"/>
          <w:color w:val="auto"/>
          <w:sz w:val="21"/>
          <w:szCs w:val="21"/>
          <w:highlight w:val="none"/>
          <w:u w:val="single"/>
        </w:rPr>
        <w:t>号建设局</w:t>
      </w:r>
      <w:r>
        <w:rPr>
          <w:rFonts w:ascii="宋体" w:hAnsi="宋体" w:eastAsia="宋体"/>
          <w:color w:val="auto"/>
          <w:sz w:val="21"/>
          <w:szCs w:val="21"/>
          <w:highlight w:val="none"/>
          <w:u w:val="single"/>
        </w:rPr>
        <w:t>4</w:t>
      </w:r>
      <w:r>
        <w:rPr>
          <w:rFonts w:hint="eastAsia" w:ascii="宋体" w:hAnsi="宋体" w:eastAsia="宋体"/>
          <w:color w:val="auto"/>
          <w:sz w:val="21"/>
          <w:szCs w:val="21"/>
          <w:highlight w:val="none"/>
          <w:u w:val="single"/>
        </w:rPr>
        <w:t>楼</w:t>
      </w:r>
    </w:p>
    <w:p w14:paraId="05302709">
      <w:pPr>
        <w:spacing w:after="0" w:line="500" w:lineRule="exact"/>
        <w:ind w:left="5830" w:right="238" w:rightChars="108" w:hanging="5829" w:hangingChars="2776"/>
        <w:rPr>
          <w:rFonts w:hint="eastAsia" w:ascii="宋体" w:hAnsi="宋体" w:eastAsia="宋体"/>
          <w:color w:val="auto"/>
          <w:sz w:val="21"/>
          <w:szCs w:val="21"/>
          <w:highlight w:val="none"/>
        </w:rPr>
      </w:pPr>
      <w:r>
        <w:rPr>
          <w:rFonts w:ascii="宋体" w:hAnsi="宋体" w:eastAsia="宋体"/>
          <w:color w:val="auto"/>
          <w:sz w:val="21"/>
          <w:szCs w:val="21"/>
          <w:highlight w:val="none"/>
        </w:rPr>
        <w:t>邮    编：</w:t>
      </w:r>
      <w:r>
        <w:rPr>
          <w:rFonts w:hint="eastAsia" w:ascii="宋体" w:hAnsi="宋体" w:eastAsia="宋体"/>
          <w:color w:val="auto"/>
          <w:sz w:val="21"/>
          <w:szCs w:val="21"/>
          <w:highlight w:val="none"/>
        </w:rPr>
        <w:t>511300</w:t>
      </w:r>
    </w:p>
    <w:p w14:paraId="57364DF3">
      <w:pPr>
        <w:topLinePunct/>
        <w:spacing w:after="0" w:line="500" w:lineRule="exact"/>
        <w:rPr>
          <w:rFonts w:hint="eastAsia" w:ascii="宋体" w:hAnsi="宋体" w:eastAsia="宋体" w:cs="宋体"/>
          <w:color w:val="auto"/>
          <w:sz w:val="21"/>
          <w:szCs w:val="21"/>
          <w:highlight w:val="none"/>
        </w:rPr>
      </w:pPr>
      <w:r>
        <w:rPr>
          <w:rFonts w:ascii="宋体" w:hAnsi="宋体" w:eastAsia="宋体"/>
          <w:color w:val="auto"/>
          <w:sz w:val="21"/>
          <w:szCs w:val="21"/>
          <w:highlight w:val="none"/>
        </w:rPr>
        <w:t>电    话：</w:t>
      </w:r>
      <w:r>
        <w:rPr>
          <w:rFonts w:ascii="宋体" w:hAnsi="宋体" w:eastAsia="宋体"/>
          <w:color w:val="auto"/>
          <w:sz w:val="21"/>
          <w:szCs w:val="21"/>
          <w:highlight w:val="none"/>
          <w:u w:val="single"/>
        </w:rPr>
        <w:t>020-32821156</w:t>
      </w:r>
      <w:r>
        <w:rPr>
          <w:rFonts w:hint="eastAsia" w:ascii="宋体" w:hAnsi="宋体" w:eastAsia="宋体" w:cs="宋体"/>
          <w:color w:val="auto"/>
          <w:sz w:val="21"/>
          <w:szCs w:val="21"/>
          <w:highlight w:val="none"/>
        </w:rPr>
        <w:t xml:space="preserve">                                                        </w:t>
      </w:r>
    </w:p>
    <w:p w14:paraId="59CAAF4F">
      <w:pPr>
        <w:widowControl w:val="0"/>
        <w:adjustRightInd w:val="0"/>
        <w:snapToGrid w:val="0"/>
        <w:spacing w:line="50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日</w:t>
      </w:r>
    </w:p>
    <w:p w14:paraId="6F6A715A">
      <w:pPr>
        <w:pageBreakBefore/>
        <w:adjustRightInd w:val="0"/>
        <w:snapToGrid w:val="0"/>
        <w:spacing w:line="50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附件一：</w:t>
      </w:r>
    </w:p>
    <w:p w14:paraId="526B5F4D">
      <w:pPr>
        <w:snapToGrid w:val="0"/>
        <w:spacing w:before="260" w:after="260" w:line="500" w:lineRule="exact"/>
        <w:ind w:right="384"/>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投标申请人声明</w:t>
      </w:r>
    </w:p>
    <w:p w14:paraId="2C1C94FD">
      <w:pPr>
        <w:spacing w:after="0"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本招标项目招标人及招标监管机构：</w:t>
      </w:r>
    </w:p>
    <w:p w14:paraId="3B5B1954">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14:paraId="24D36430">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14:paraId="7B4302FB">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二、本公司保证在本项目投标中不与其他单位围标、串标，不出让投标资格，不向招标人或评标委员会成员行贿。</w:t>
      </w:r>
    </w:p>
    <w:p w14:paraId="035103B4">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w:t>
      </w:r>
      <w:r>
        <w:rPr>
          <w:rFonts w:hint="eastAsia" w:ascii="宋体" w:hAnsi="宋体" w:eastAsia="宋体" w:cs="宋体"/>
          <w:b/>
          <w:bCs/>
          <w:color w:val="auto"/>
          <w:sz w:val="21"/>
          <w:szCs w:val="21"/>
          <w:highlight w:val="none"/>
        </w:rPr>
        <w:t>本公司近二年（从2021年1月1日起至投标截止时间止）未因以往检测工作中存在伪造检测数据、出具虚假检测报告的行为被各级建设行政主管部门或市场监督管理部门行政处罚或通报的。</w:t>
      </w:r>
    </w:p>
    <w:p w14:paraId="7F413486">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olor w:val="auto"/>
          <w:sz w:val="21"/>
          <w:szCs w:val="21"/>
          <w:highlight w:val="none"/>
        </w:rPr>
        <w:t>本公司不存在招标文件第二章投标人须知第1.4.3项所规定的任何一种情形。</w:t>
      </w:r>
    </w:p>
    <w:p w14:paraId="6349FA4C">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2A962B9A">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。（注：本条由投标人如实填写， 如有， 应列出全部满足招标公告资质要求的相关单位的名称 ； 如无，则填写“无”。)</w:t>
      </w:r>
    </w:p>
    <w:p w14:paraId="79970D5E">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七、本公司承诺，中标后严格执行安全生产相关管理规定。 </w:t>
      </w:r>
    </w:p>
    <w:p w14:paraId="38718BE7">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6CBB4551">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本公司违反上述保证，或本声明陈述与事实不符，经查实，本公司愿意接受公开通报，承担由此带来的法律后果，并自愿停止参加广州市行政辖区内的招标投标活动三个月。</w:t>
      </w:r>
    </w:p>
    <w:p w14:paraId="66CFBB71">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466A8662">
      <w:pPr>
        <w:pStyle w:val="24"/>
        <w:wordWrap w:val="0"/>
        <w:spacing w:line="500" w:lineRule="exact"/>
        <w:ind w:firstLine="0"/>
        <w:jc w:val="right"/>
        <w:rPr>
          <w:rFonts w:hint="eastAsia" w:ascii="宋体" w:hAnsi="宋体" w:eastAsia="宋体" w:cs="宋体"/>
          <w:color w:val="auto"/>
          <w:sz w:val="21"/>
          <w:szCs w:val="21"/>
          <w:highlight w:val="none"/>
        </w:rPr>
      </w:pPr>
    </w:p>
    <w:p w14:paraId="7429011D">
      <w:pPr>
        <w:pStyle w:val="24"/>
        <w:spacing w:line="500" w:lineRule="exact"/>
        <w:ind w:firstLine="0"/>
        <w:jc w:val="right"/>
        <w:rPr>
          <w:rFonts w:hint="eastAsia" w:ascii="宋体" w:hAnsi="宋体" w:eastAsia="宋体" w:cs="宋体"/>
          <w:color w:val="auto"/>
          <w:sz w:val="21"/>
          <w:szCs w:val="21"/>
          <w:highlight w:val="none"/>
        </w:rPr>
      </w:pPr>
    </w:p>
    <w:p w14:paraId="3B61171F">
      <w:pPr>
        <w:pStyle w:val="24"/>
        <w:wordWrap w:val="0"/>
        <w:spacing w:line="500" w:lineRule="exact"/>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投标单位（盖公章）：</w:t>
      </w:r>
    </w:p>
    <w:p w14:paraId="554944E4">
      <w:pPr>
        <w:pStyle w:val="24"/>
        <w:wordWrap w:val="0"/>
        <w:spacing w:line="500" w:lineRule="exact"/>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法定代表人或授权委托人（签字或盖章）：</w:t>
      </w:r>
    </w:p>
    <w:p w14:paraId="5DAFF7BC">
      <w:pPr>
        <w:pStyle w:val="24"/>
        <w:wordWrap w:val="0"/>
        <w:spacing w:line="500" w:lineRule="exact"/>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sectPr>
      <w:footerReference r:id="rId6" w:type="default"/>
      <w:pgSz w:w="11906" w:h="16838"/>
      <w:pgMar w:top="1134" w:right="1418" w:bottom="1134" w:left="1418" w:header="851" w:footer="283"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38D26">
    <w:pPr>
      <w:pStyle w:val="9"/>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A903">
    <w:pPr>
      <w:pStyle w:val="9"/>
      <w:jc w:val="center"/>
    </w:pPr>
    <w:r>
      <w:fldChar w:fldCharType="begin"/>
    </w:r>
    <w:r>
      <w:instrText xml:space="preserve"> PAGE   \* MERGEFORMAT </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TQ2YzRhYmMyZjYyMmYwMjA1NjY5NDAzOThhYTkifQ=="/>
  </w:docVars>
  <w:rsids>
    <w:rsidRoot w:val="1C475B66"/>
    <w:rsid w:val="00004DD5"/>
    <w:rsid w:val="00062451"/>
    <w:rsid w:val="00087A46"/>
    <w:rsid w:val="00090CCF"/>
    <w:rsid w:val="00096530"/>
    <w:rsid w:val="0015417E"/>
    <w:rsid w:val="001817E2"/>
    <w:rsid w:val="001B1300"/>
    <w:rsid w:val="001B7C8E"/>
    <w:rsid w:val="001D6BC6"/>
    <w:rsid w:val="001F0049"/>
    <w:rsid w:val="002B1372"/>
    <w:rsid w:val="003135DD"/>
    <w:rsid w:val="0031619D"/>
    <w:rsid w:val="00364A81"/>
    <w:rsid w:val="00370E8E"/>
    <w:rsid w:val="0037137F"/>
    <w:rsid w:val="00376B44"/>
    <w:rsid w:val="00385AEA"/>
    <w:rsid w:val="003B009E"/>
    <w:rsid w:val="003F2BA4"/>
    <w:rsid w:val="003F6ADF"/>
    <w:rsid w:val="00464434"/>
    <w:rsid w:val="00477D77"/>
    <w:rsid w:val="004C161A"/>
    <w:rsid w:val="004F1908"/>
    <w:rsid w:val="005027D3"/>
    <w:rsid w:val="00517795"/>
    <w:rsid w:val="0053093A"/>
    <w:rsid w:val="005401C7"/>
    <w:rsid w:val="00542CB4"/>
    <w:rsid w:val="005D5255"/>
    <w:rsid w:val="006001BD"/>
    <w:rsid w:val="0061043F"/>
    <w:rsid w:val="006661D4"/>
    <w:rsid w:val="006768EA"/>
    <w:rsid w:val="006912FB"/>
    <w:rsid w:val="006F3182"/>
    <w:rsid w:val="00712841"/>
    <w:rsid w:val="00713C65"/>
    <w:rsid w:val="00716C46"/>
    <w:rsid w:val="00726B32"/>
    <w:rsid w:val="00735FC5"/>
    <w:rsid w:val="0074017A"/>
    <w:rsid w:val="007660F8"/>
    <w:rsid w:val="00794CF7"/>
    <w:rsid w:val="007C2921"/>
    <w:rsid w:val="007C7F47"/>
    <w:rsid w:val="008446CB"/>
    <w:rsid w:val="00863C02"/>
    <w:rsid w:val="00876E37"/>
    <w:rsid w:val="008830E2"/>
    <w:rsid w:val="008B2D79"/>
    <w:rsid w:val="008E10FD"/>
    <w:rsid w:val="0094681D"/>
    <w:rsid w:val="00975FC0"/>
    <w:rsid w:val="009815EB"/>
    <w:rsid w:val="009863BB"/>
    <w:rsid w:val="009864A8"/>
    <w:rsid w:val="009956D7"/>
    <w:rsid w:val="00A042CB"/>
    <w:rsid w:val="00A546DA"/>
    <w:rsid w:val="00A76D2A"/>
    <w:rsid w:val="00A93FC0"/>
    <w:rsid w:val="00AB7307"/>
    <w:rsid w:val="00AC1BF2"/>
    <w:rsid w:val="00AC513C"/>
    <w:rsid w:val="00AE7B68"/>
    <w:rsid w:val="00B30BEC"/>
    <w:rsid w:val="00B34CD0"/>
    <w:rsid w:val="00B62110"/>
    <w:rsid w:val="00B76FEC"/>
    <w:rsid w:val="00B87E79"/>
    <w:rsid w:val="00B97704"/>
    <w:rsid w:val="00BF4C19"/>
    <w:rsid w:val="00BF6690"/>
    <w:rsid w:val="00C063C0"/>
    <w:rsid w:val="00C1167E"/>
    <w:rsid w:val="00C3152C"/>
    <w:rsid w:val="00C67032"/>
    <w:rsid w:val="00C764BD"/>
    <w:rsid w:val="00C818D7"/>
    <w:rsid w:val="00CC1D0D"/>
    <w:rsid w:val="00CE10DD"/>
    <w:rsid w:val="00CF5808"/>
    <w:rsid w:val="00D0617A"/>
    <w:rsid w:val="00D23071"/>
    <w:rsid w:val="00D449E4"/>
    <w:rsid w:val="00DB5699"/>
    <w:rsid w:val="00DC13F6"/>
    <w:rsid w:val="00DD295E"/>
    <w:rsid w:val="00DE6AA7"/>
    <w:rsid w:val="00E07B2D"/>
    <w:rsid w:val="00E151E2"/>
    <w:rsid w:val="00E36327"/>
    <w:rsid w:val="00E50836"/>
    <w:rsid w:val="00E70BFB"/>
    <w:rsid w:val="00E80A52"/>
    <w:rsid w:val="00E97ACA"/>
    <w:rsid w:val="00F12BC5"/>
    <w:rsid w:val="00F14E83"/>
    <w:rsid w:val="00F201F8"/>
    <w:rsid w:val="00F33978"/>
    <w:rsid w:val="00F456C3"/>
    <w:rsid w:val="00F65466"/>
    <w:rsid w:val="00F720D0"/>
    <w:rsid w:val="00FD0ACB"/>
    <w:rsid w:val="00FD33CB"/>
    <w:rsid w:val="01D2288C"/>
    <w:rsid w:val="02CF7A3A"/>
    <w:rsid w:val="03257571"/>
    <w:rsid w:val="03634828"/>
    <w:rsid w:val="04B42205"/>
    <w:rsid w:val="04F614D6"/>
    <w:rsid w:val="05083C26"/>
    <w:rsid w:val="065B0026"/>
    <w:rsid w:val="067D365B"/>
    <w:rsid w:val="084814A7"/>
    <w:rsid w:val="0ABF4545"/>
    <w:rsid w:val="0ADB1742"/>
    <w:rsid w:val="0B8E35CE"/>
    <w:rsid w:val="0B9F36AF"/>
    <w:rsid w:val="0C404519"/>
    <w:rsid w:val="0D1031AB"/>
    <w:rsid w:val="0D984A85"/>
    <w:rsid w:val="0DCC60B3"/>
    <w:rsid w:val="0E9F70EB"/>
    <w:rsid w:val="0EFB5712"/>
    <w:rsid w:val="0F63397D"/>
    <w:rsid w:val="10C85432"/>
    <w:rsid w:val="112443F7"/>
    <w:rsid w:val="121F3FF8"/>
    <w:rsid w:val="124631C9"/>
    <w:rsid w:val="129E4049"/>
    <w:rsid w:val="13BE0A1F"/>
    <w:rsid w:val="14161572"/>
    <w:rsid w:val="14E52D07"/>
    <w:rsid w:val="15175270"/>
    <w:rsid w:val="15697D3A"/>
    <w:rsid w:val="16114048"/>
    <w:rsid w:val="161C5653"/>
    <w:rsid w:val="168C6C90"/>
    <w:rsid w:val="16906943"/>
    <w:rsid w:val="1851498C"/>
    <w:rsid w:val="1AB75A02"/>
    <w:rsid w:val="1B7F4848"/>
    <w:rsid w:val="1C475B66"/>
    <w:rsid w:val="1C907B1F"/>
    <w:rsid w:val="1DE61521"/>
    <w:rsid w:val="1E1D3E1D"/>
    <w:rsid w:val="1F057EE7"/>
    <w:rsid w:val="20C004F1"/>
    <w:rsid w:val="21404B12"/>
    <w:rsid w:val="216D1A27"/>
    <w:rsid w:val="2186768B"/>
    <w:rsid w:val="21C265F4"/>
    <w:rsid w:val="23192C88"/>
    <w:rsid w:val="240F28D2"/>
    <w:rsid w:val="256121B2"/>
    <w:rsid w:val="258E7A7A"/>
    <w:rsid w:val="261C12B9"/>
    <w:rsid w:val="27B64475"/>
    <w:rsid w:val="28751A37"/>
    <w:rsid w:val="28831667"/>
    <w:rsid w:val="28FC05AD"/>
    <w:rsid w:val="296D15DA"/>
    <w:rsid w:val="297F5466"/>
    <w:rsid w:val="29E7108C"/>
    <w:rsid w:val="2A2909C2"/>
    <w:rsid w:val="2B1F4F68"/>
    <w:rsid w:val="2B2B3444"/>
    <w:rsid w:val="2BBB10D6"/>
    <w:rsid w:val="30213383"/>
    <w:rsid w:val="32FF7742"/>
    <w:rsid w:val="331F6A32"/>
    <w:rsid w:val="336A2726"/>
    <w:rsid w:val="36257E5F"/>
    <w:rsid w:val="3705260C"/>
    <w:rsid w:val="37142CD6"/>
    <w:rsid w:val="38093B07"/>
    <w:rsid w:val="38744319"/>
    <w:rsid w:val="398619FE"/>
    <w:rsid w:val="3A4F7BBA"/>
    <w:rsid w:val="3C5A3EF9"/>
    <w:rsid w:val="3D4526C8"/>
    <w:rsid w:val="3D931C10"/>
    <w:rsid w:val="3F904293"/>
    <w:rsid w:val="406B584B"/>
    <w:rsid w:val="41351EE1"/>
    <w:rsid w:val="414E505E"/>
    <w:rsid w:val="4399309C"/>
    <w:rsid w:val="44E82AA0"/>
    <w:rsid w:val="455537F1"/>
    <w:rsid w:val="46CE4FB8"/>
    <w:rsid w:val="47B9414E"/>
    <w:rsid w:val="4A22520F"/>
    <w:rsid w:val="4A455A4A"/>
    <w:rsid w:val="4AA52C20"/>
    <w:rsid w:val="4AAF7198"/>
    <w:rsid w:val="4B493ADB"/>
    <w:rsid w:val="4B7617D1"/>
    <w:rsid w:val="4DCD4142"/>
    <w:rsid w:val="4ED832D1"/>
    <w:rsid w:val="4EE266CB"/>
    <w:rsid w:val="4F556309"/>
    <w:rsid w:val="4FBF4D5D"/>
    <w:rsid w:val="50363EAE"/>
    <w:rsid w:val="508D0123"/>
    <w:rsid w:val="5100038B"/>
    <w:rsid w:val="514D38D5"/>
    <w:rsid w:val="51DC7622"/>
    <w:rsid w:val="51F464F4"/>
    <w:rsid w:val="53837051"/>
    <w:rsid w:val="53AF602C"/>
    <w:rsid w:val="53C12872"/>
    <w:rsid w:val="547C41CC"/>
    <w:rsid w:val="54BB13B6"/>
    <w:rsid w:val="54CB16ED"/>
    <w:rsid w:val="56F16594"/>
    <w:rsid w:val="58A807BB"/>
    <w:rsid w:val="5AB9705D"/>
    <w:rsid w:val="5AEA1577"/>
    <w:rsid w:val="5AFB5AE1"/>
    <w:rsid w:val="5B1E7D8B"/>
    <w:rsid w:val="5BFC2B77"/>
    <w:rsid w:val="5C844636"/>
    <w:rsid w:val="5D230C5E"/>
    <w:rsid w:val="5D40376D"/>
    <w:rsid w:val="5DF4721D"/>
    <w:rsid w:val="5E490167"/>
    <w:rsid w:val="5F9F50EF"/>
    <w:rsid w:val="606D0FC9"/>
    <w:rsid w:val="61F37C67"/>
    <w:rsid w:val="63012A27"/>
    <w:rsid w:val="63585E05"/>
    <w:rsid w:val="637F772F"/>
    <w:rsid w:val="63836F3A"/>
    <w:rsid w:val="63AA230B"/>
    <w:rsid w:val="64020AE6"/>
    <w:rsid w:val="64A41244"/>
    <w:rsid w:val="654D6F8B"/>
    <w:rsid w:val="67862BC3"/>
    <w:rsid w:val="6A8601A3"/>
    <w:rsid w:val="6A99362A"/>
    <w:rsid w:val="6B5B0269"/>
    <w:rsid w:val="6B9503F8"/>
    <w:rsid w:val="6BF037CA"/>
    <w:rsid w:val="6C1763DF"/>
    <w:rsid w:val="6C8D269F"/>
    <w:rsid w:val="700E4648"/>
    <w:rsid w:val="70FA2194"/>
    <w:rsid w:val="711E43A4"/>
    <w:rsid w:val="71224AF8"/>
    <w:rsid w:val="713739F4"/>
    <w:rsid w:val="722E0D4B"/>
    <w:rsid w:val="72CA5346"/>
    <w:rsid w:val="72E14A09"/>
    <w:rsid w:val="72E871A5"/>
    <w:rsid w:val="73223B99"/>
    <w:rsid w:val="73F95B9D"/>
    <w:rsid w:val="74DF68A8"/>
    <w:rsid w:val="75A31F7E"/>
    <w:rsid w:val="7607479C"/>
    <w:rsid w:val="765E32DA"/>
    <w:rsid w:val="76CC46E8"/>
    <w:rsid w:val="77C11539"/>
    <w:rsid w:val="782A2047"/>
    <w:rsid w:val="78C62EC1"/>
    <w:rsid w:val="79FF1EA6"/>
    <w:rsid w:val="7A254767"/>
    <w:rsid w:val="7B897830"/>
    <w:rsid w:val="7C7366C7"/>
    <w:rsid w:val="7DCD708E"/>
    <w:rsid w:val="7F3F4ECC"/>
    <w:rsid w:val="7F4A72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kern w:val="0"/>
      <w:sz w:val="20"/>
      <w:szCs w:val="20"/>
    </w:rPr>
  </w:style>
  <w:style w:type="paragraph" w:styleId="4">
    <w:name w:val="Document Map"/>
    <w:basedOn w:val="1"/>
    <w:link w:val="18"/>
    <w:qFormat/>
    <w:uiPriority w:val="0"/>
    <w:rPr>
      <w:rFonts w:ascii="宋体" w:eastAsia="宋体" w:cs="Times New Roman"/>
      <w:sz w:val="18"/>
      <w:szCs w:val="18"/>
    </w:rPr>
  </w:style>
  <w:style w:type="paragraph" w:styleId="5">
    <w:name w:val="annotation text"/>
    <w:basedOn w:val="1"/>
    <w:qFormat/>
    <w:uiPriority w:val="0"/>
    <w:pPr>
      <w:jc w:val="left"/>
    </w:pPr>
  </w:style>
  <w:style w:type="paragraph" w:styleId="6">
    <w:name w:val="Body Text"/>
    <w:basedOn w:val="1"/>
    <w:next w:val="1"/>
    <w:unhideWhenUsed/>
    <w:qFormat/>
    <w:uiPriority w:val="99"/>
    <w:pPr>
      <w:spacing w:after="120"/>
    </w:pPr>
    <w:rPr>
      <w:rFonts w:cs="Times New Roman"/>
    </w:rPr>
  </w:style>
  <w:style w:type="paragraph" w:styleId="7">
    <w:name w:val="Plain Text"/>
    <w:basedOn w:val="1"/>
    <w:next w:val="1"/>
    <w:qFormat/>
    <w:uiPriority w:val="99"/>
    <w:rPr>
      <w:rFonts w:ascii="宋体"/>
      <w:kern w:val="0"/>
      <w:sz w:val="20"/>
      <w:szCs w:val="20"/>
    </w:rPr>
  </w:style>
  <w:style w:type="paragraph" w:styleId="8">
    <w:name w:val="Balloon Text"/>
    <w:basedOn w:val="1"/>
    <w:link w:val="19"/>
    <w:qFormat/>
    <w:uiPriority w:val="0"/>
    <w:pPr>
      <w:spacing w:after="0" w:line="240" w:lineRule="auto"/>
    </w:pPr>
    <w:rPr>
      <w:rFonts w:cs="Times New Roman"/>
      <w:sz w:val="18"/>
      <w:szCs w:val="18"/>
    </w:rPr>
  </w:style>
  <w:style w:type="paragraph" w:styleId="9">
    <w:name w:val="footer"/>
    <w:basedOn w:val="1"/>
    <w:link w:val="20"/>
    <w:qFormat/>
    <w:uiPriority w:val="99"/>
    <w:pPr>
      <w:tabs>
        <w:tab w:val="center" w:pos="4153"/>
        <w:tab w:val="right" w:pos="8306"/>
      </w:tabs>
      <w:snapToGrid w:val="0"/>
      <w:spacing w:line="240" w:lineRule="auto"/>
    </w:pPr>
    <w:rPr>
      <w:rFonts w:cs="Times New Roman"/>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spacing w:line="240" w:lineRule="auto"/>
      <w:jc w:val="center"/>
    </w:pPr>
    <w:rPr>
      <w:rFonts w:cs="Times New Roman"/>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qFormat/>
    <w:uiPriority w:val="0"/>
    <w:pPr>
      <w:spacing w:line="312" w:lineRule="auto"/>
      <w:ind w:firstLine="420"/>
    </w:pPr>
    <w:rPr>
      <w:rFonts w:ascii="Calibri" w:hAnsi="Calibri"/>
      <w:szCs w:val="24"/>
    </w:rPr>
  </w:style>
  <w:style w:type="paragraph" w:styleId="13">
    <w:name w:val="Body Text First Indent 2"/>
    <w:basedOn w:val="1"/>
    <w:unhideWhenUsed/>
    <w:qFormat/>
    <w:uiPriority w:val="0"/>
    <w:pPr>
      <w:spacing w:after="120"/>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qFormat/>
    <w:uiPriority w:val="99"/>
    <w:rPr>
      <w:color w:val="0563C1"/>
      <w:u w:val="single"/>
    </w:rPr>
  </w:style>
  <w:style w:type="character" w:customStyle="1" w:styleId="18">
    <w:name w:val="文档结构图 字符"/>
    <w:link w:val="4"/>
    <w:qFormat/>
    <w:uiPriority w:val="0"/>
    <w:rPr>
      <w:rFonts w:ascii="宋体" w:hAnsi="Calibri" w:cs="Calibri"/>
      <w:color w:val="000000"/>
      <w:kern w:val="2"/>
      <w:sz w:val="18"/>
      <w:szCs w:val="18"/>
    </w:rPr>
  </w:style>
  <w:style w:type="character" w:customStyle="1" w:styleId="19">
    <w:name w:val="批注框文本 字符"/>
    <w:link w:val="8"/>
    <w:qFormat/>
    <w:uiPriority w:val="0"/>
    <w:rPr>
      <w:rFonts w:ascii="Calibri" w:hAnsi="Calibri" w:eastAsia="Calibri" w:cs="Calibri"/>
      <w:color w:val="000000"/>
      <w:kern w:val="2"/>
      <w:sz w:val="18"/>
      <w:szCs w:val="18"/>
    </w:rPr>
  </w:style>
  <w:style w:type="character" w:customStyle="1" w:styleId="20">
    <w:name w:val="页脚 字符"/>
    <w:link w:val="9"/>
    <w:qFormat/>
    <w:uiPriority w:val="99"/>
    <w:rPr>
      <w:rFonts w:ascii="Calibri" w:hAnsi="Calibri" w:eastAsia="Calibri" w:cs="Calibri"/>
      <w:color w:val="000000"/>
      <w:kern w:val="2"/>
      <w:sz w:val="18"/>
      <w:szCs w:val="18"/>
    </w:rPr>
  </w:style>
  <w:style w:type="character" w:customStyle="1" w:styleId="21">
    <w:name w:val="页眉 字符"/>
    <w:link w:val="10"/>
    <w:qFormat/>
    <w:uiPriority w:val="0"/>
    <w:rPr>
      <w:rFonts w:ascii="Calibri" w:hAnsi="Calibri" w:eastAsia="Calibri" w:cs="Calibri"/>
      <w:color w:val="000000"/>
      <w:kern w:val="2"/>
      <w:sz w:val="18"/>
      <w:szCs w:val="18"/>
    </w:rPr>
  </w:style>
  <w:style w:type="character" w:customStyle="1" w:styleId="22">
    <w:name w:val="Span_underline"/>
    <w:qFormat/>
    <w:uiPriority w:val="0"/>
    <w:rPr>
      <w:u w:val="single"/>
    </w:rPr>
  </w:style>
  <w:style w:type="paragraph" w:customStyle="1" w:styleId="23">
    <w:name w:val="p0"/>
    <w:basedOn w:val="1"/>
    <w:qFormat/>
    <w:uiPriority w:val="0"/>
    <w:pPr>
      <w:spacing w:before="75" w:after="75"/>
    </w:pPr>
    <w:rPr>
      <w:rFonts w:ascii="宋体" w:hAnsi="宋体" w:cs="宋体"/>
      <w:kern w:val="0"/>
      <w:sz w:val="24"/>
      <w:szCs w:val="24"/>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5716</Words>
  <Characters>6124</Characters>
  <Lines>996</Lines>
  <Paragraphs>861</Paragraphs>
  <TotalTime>42</TotalTime>
  <ScaleCrop>false</ScaleCrop>
  <LinksUpToDate>false</LinksUpToDate>
  <CharactersWithSpaces>6461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2023-11-10T11:49:00Z</dcterms:created>
  <dc:creator>Administrator</dc:creator>
  <cp:lastModifiedBy>YIP</cp:lastModifiedBy>
  <cp:lastPrinted>2019-04-04T04:58:00Z</cp:lastPrinted>
  <dcterms:modified xsi:type="dcterms:W3CDTF">2024-08-14T09:23:40Z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497FF9B70EFF4386A8417C904D0D6A8E_13</vt:lpwstr>
  </property>
</Properties>
</file>