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E2134">
      <w:pPr>
        <w:ind w:firstLine="420" w:firstLineChars="200"/>
        <w:rPr>
          <w:rFonts w:ascii="宋体" w:hAnsi="宋体" w:cs="宋体"/>
          <w:color w:val="auto"/>
          <w:szCs w:val="24"/>
          <w:highlight w:val="none"/>
        </w:rPr>
      </w:pPr>
      <w:bookmarkStart w:id="3" w:name="_GoBack"/>
    </w:p>
    <w:p w14:paraId="6CAE1C82">
      <w:pPr>
        <w:ind w:firstLine="8400" w:firstLineChars="35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2CD6F485">
      <w:pPr>
        <w:tabs>
          <w:tab w:val="left" w:pos="870"/>
        </w:tabs>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合同编号：</w:t>
      </w:r>
      <w:r>
        <w:rPr>
          <w:rFonts w:hint="eastAsia" w:ascii="宋体" w:hAnsi="宋体" w:cs="宋体"/>
          <w:color w:val="auto"/>
          <w:sz w:val="24"/>
          <w:szCs w:val="24"/>
          <w:highlight w:val="none"/>
        </w:rPr>
        <w:t xml:space="preserve"> </w:t>
      </w:r>
    </w:p>
    <w:p w14:paraId="7B55627D">
      <w:pPr>
        <w:rPr>
          <w:rFonts w:ascii="宋体" w:hAnsi="宋体" w:cs="宋体"/>
          <w:color w:val="auto"/>
          <w:sz w:val="24"/>
          <w:szCs w:val="24"/>
          <w:highlight w:val="none"/>
        </w:rPr>
      </w:pPr>
    </w:p>
    <w:p w14:paraId="0514B2A9">
      <w:pPr>
        <w:rPr>
          <w:rFonts w:ascii="宋体" w:hAnsi="宋体" w:cs="宋体"/>
          <w:color w:val="auto"/>
          <w:sz w:val="28"/>
          <w:szCs w:val="28"/>
          <w:highlight w:val="none"/>
        </w:rPr>
      </w:pPr>
    </w:p>
    <w:p w14:paraId="48EBBB9B">
      <w:pPr>
        <w:tabs>
          <w:tab w:val="left" w:pos="1985"/>
        </w:tabs>
        <w:ind w:left="8239" w:hanging="7215" w:hangingChars="850"/>
        <w:jc w:val="center"/>
        <w:rPr>
          <w:rFonts w:ascii="宋体" w:hAnsi="宋体" w:cs="宋体"/>
          <w:b/>
          <w:bCs/>
          <w:color w:val="auto"/>
          <w:spacing w:val="63"/>
          <w:sz w:val="72"/>
          <w:szCs w:val="72"/>
          <w:highlight w:val="none"/>
        </w:rPr>
      </w:pPr>
      <w:r>
        <w:rPr>
          <w:rFonts w:hint="eastAsia" w:ascii="宋体" w:hAnsi="宋体" w:cs="宋体"/>
          <w:b/>
          <w:bCs/>
          <w:color w:val="auto"/>
          <w:spacing w:val="63"/>
          <w:sz w:val="72"/>
          <w:szCs w:val="72"/>
          <w:highlight w:val="none"/>
        </w:rPr>
        <w:t xml:space="preserve">   </w:t>
      </w:r>
    </w:p>
    <w:p w14:paraId="40AA87E5">
      <w:pPr>
        <w:tabs>
          <w:tab w:val="left" w:pos="1985"/>
        </w:tabs>
        <w:ind w:left="6144" w:hanging="4779" w:hangingChars="850"/>
        <w:jc w:val="center"/>
        <w:rPr>
          <w:rFonts w:ascii="宋体" w:hAnsi="宋体" w:cs="宋体"/>
          <w:color w:val="auto"/>
          <w:sz w:val="56"/>
          <w:szCs w:val="56"/>
          <w:highlight w:val="none"/>
        </w:rPr>
      </w:pPr>
      <w:r>
        <w:rPr>
          <w:rFonts w:hint="eastAsia" w:ascii="宋体" w:hAnsi="宋体" w:cs="宋体"/>
          <w:b/>
          <w:bCs/>
          <w:color w:val="auto"/>
          <w:sz w:val="56"/>
          <w:szCs w:val="56"/>
          <w:highlight w:val="none"/>
        </w:rPr>
        <w:t>建设工程勘察</w:t>
      </w:r>
      <w:r>
        <w:rPr>
          <w:rFonts w:hint="eastAsia" w:ascii="宋体" w:hAnsi="宋体" w:cs="宋体"/>
          <w:b/>
          <w:bCs/>
          <w:color w:val="auto"/>
          <w:sz w:val="56"/>
          <w:szCs w:val="56"/>
          <w:highlight w:val="none"/>
          <w:lang w:eastAsia="zh-CN"/>
        </w:rPr>
        <w:t>、</w:t>
      </w:r>
      <w:r>
        <w:rPr>
          <w:rFonts w:hint="eastAsia" w:ascii="宋体" w:hAnsi="宋体" w:cs="宋体"/>
          <w:b/>
          <w:bCs/>
          <w:color w:val="auto"/>
          <w:sz w:val="56"/>
          <w:szCs w:val="56"/>
          <w:highlight w:val="none"/>
        </w:rPr>
        <w:t>设计、施工合同</w:t>
      </w:r>
    </w:p>
    <w:p w14:paraId="377078DF">
      <w:pPr>
        <w:spacing w:line="360" w:lineRule="auto"/>
        <w:ind w:firstLine="1920" w:firstLineChars="600"/>
        <w:rPr>
          <w:rFonts w:ascii="宋体" w:hAnsi="宋体" w:cs="宋体"/>
          <w:bCs/>
          <w:color w:val="auto"/>
          <w:spacing w:val="20"/>
          <w:sz w:val="28"/>
          <w:szCs w:val="28"/>
          <w:highlight w:val="none"/>
        </w:rPr>
      </w:pPr>
    </w:p>
    <w:p w14:paraId="7F960F0D">
      <w:pPr>
        <w:spacing w:line="360" w:lineRule="auto"/>
        <w:ind w:left="2658" w:leftChars="504" w:right="-552" w:rightChars="-263" w:hanging="1600" w:hangingChars="500"/>
        <w:rPr>
          <w:rFonts w:ascii="宋体" w:hAnsi="宋体" w:cs="宋体"/>
          <w:bCs/>
          <w:color w:val="auto"/>
          <w:spacing w:val="20"/>
          <w:sz w:val="28"/>
          <w:szCs w:val="28"/>
          <w:highlight w:val="none"/>
          <w:u w:val="single"/>
        </w:rPr>
      </w:pPr>
      <w:r>
        <w:rPr>
          <w:rFonts w:hint="eastAsia" w:ascii="宋体" w:hAnsi="宋体" w:cs="宋体"/>
          <w:bCs/>
          <w:color w:val="auto"/>
          <w:spacing w:val="20"/>
          <w:sz w:val="28"/>
          <w:szCs w:val="28"/>
          <w:highlight w:val="none"/>
        </w:rPr>
        <w:t>项目名称：</w:t>
      </w:r>
      <w:r>
        <w:rPr>
          <w:rFonts w:hint="eastAsia" w:ascii="宋体" w:hAnsi="宋体" w:cs="宋体"/>
          <w:bCs/>
          <w:color w:val="auto"/>
          <w:spacing w:val="20"/>
          <w:sz w:val="28"/>
          <w:szCs w:val="28"/>
          <w:highlight w:val="none"/>
          <w:u w:val="single"/>
          <w:lang w:eastAsia="zh-CN"/>
        </w:rPr>
        <w:t>广佛(佛冈)产业园应急救援设施建设项目勘察设计施工总承包（EPC）</w:t>
      </w:r>
    </w:p>
    <w:p w14:paraId="17D33954">
      <w:pPr>
        <w:spacing w:line="360" w:lineRule="auto"/>
        <w:ind w:left="1832" w:leftChars="504" w:hanging="774" w:hangingChars="242"/>
        <w:jc w:val="left"/>
        <w:rPr>
          <w:rFonts w:ascii="宋体" w:hAnsi="宋体" w:cs="宋体"/>
          <w:bCs/>
          <w:color w:val="auto"/>
          <w:spacing w:val="20"/>
          <w:sz w:val="28"/>
          <w:szCs w:val="28"/>
          <w:highlight w:val="none"/>
          <w:u w:val="single"/>
        </w:rPr>
      </w:pPr>
      <w:r>
        <w:rPr>
          <w:rFonts w:hint="eastAsia" w:ascii="宋体" w:hAnsi="宋体" w:cs="宋体"/>
          <w:bCs/>
          <w:color w:val="auto"/>
          <w:spacing w:val="20"/>
          <w:sz w:val="28"/>
          <w:szCs w:val="28"/>
          <w:highlight w:val="none"/>
        </w:rPr>
        <w:t>发包人（甲方）：</w:t>
      </w:r>
      <w:r>
        <w:rPr>
          <w:rFonts w:hint="eastAsia" w:ascii="宋体" w:hAnsi="宋体" w:cs="宋体"/>
          <w:bCs/>
          <w:color w:val="auto"/>
          <w:spacing w:val="20"/>
          <w:sz w:val="28"/>
          <w:szCs w:val="28"/>
          <w:highlight w:val="none"/>
          <w:u w:val="single"/>
          <w:lang w:eastAsia="zh-CN"/>
        </w:rPr>
        <w:t>广佛(佛冈)产业园高新投资开发有限公司</w:t>
      </w:r>
    </w:p>
    <w:p w14:paraId="18945106">
      <w:pPr>
        <w:spacing w:line="360" w:lineRule="auto"/>
        <w:ind w:left="1832" w:leftChars="504" w:hanging="774" w:hangingChars="242"/>
        <w:jc w:val="left"/>
        <w:rPr>
          <w:rFonts w:ascii="宋体" w:hAnsi="宋体" w:cs="宋体"/>
          <w:bCs/>
          <w:color w:val="auto"/>
          <w:spacing w:val="20"/>
          <w:sz w:val="28"/>
          <w:szCs w:val="28"/>
          <w:highlight w:val="none"/>
          <w:u w:val="single"/>
        </w:rPr>
      </w:pPr>
      <w:r>
        <w:rPr>
          <w:rFonts w:hint="eastAsia" w:ascii="宋体" w:hAnsi="宋体" w:cs="宋体"/>
          <w:bCs/>
          <w:color w:val="auto"/>
          <w:spacing w:val="20"/>
          <w:sz w:val="28"/>
          <w:szCs w:val="28"/>
          <w:highlight w:val="none"/>
        </w:rPr>
        <w:t>承包人（乙方）：</w:t>
      </w:r>
      <w:r>
        <w:rPr>
          <w:rFonts w:hint="eastAsia" w:ascii="宋体" w:hAnsi="宋体" w:cs="宋体"/>
          <w:bCs/>
          <w:color w:val="auto"/>
          <w:spacing w:val="20"/>
          <w:sz w:val="28"/>
          <w:szCs w:val="28"/>
          <w:highlight w:val="none"/>
          <w:u w:val="single"/>
        </w:rPr>
        <w:t xml:space="preserve"> </w:t>
      </w:r>
      <w:r>
        <w:rPr>
          <w:rFonts w:ascii="宋体" w:hAnsi="宋体" w:cs="宋体"/>
          <w:bCs/>
          <w:color w:val="auto"/>
          <w:spacing w:val="20"/>
          <w:sz w:val="28"/>
          <w:szCs w:val="28"/>
          <w:highlight w:val="none"/>
          <w:u w:val="single"/>
        </w:rPr>
        <w:t xml:space="preserve">                    </w:t>
      </w:r>
    </w:p>
    <w:p w14:paraId="243DADE4">
      <w:pPr>
        <w:spacing w:line="360" w:lineRule="auto"/>
        <w:ind w:left="1832" w:leftChars="504" w:hanging="774" w:hangingChars="242"/>
        <w:jc w:val="left"/>
        <w:rPr>
          <w:rFonts w:ascii="宋体" w:hAnsi="宋体" w:cs="宋体"/>
          <w:bCs/>
          <w:color w:val="auto"/>
          <w:spacing w:val="20"/>
          <w:sz w:val="28"/>
          <w:szCs w:val="28"/>
          <w:highlight w:val="none"/>
          <w:u w:val="single"/>
        </w:rPr>
      </w:pPr>
      <w:r>
        <w:rPr>
          <w:rFonts w:hint="eastAsia" w:ascii="宋体" w:hAnsi="宋体" w:cs="宋体"/>
          <w:bCs/>
          <w:color w:val="auto"/>
          <w:spacing w:val="20"/>
          <w:sz w:val="28"/>
          <w:szCs w:val="28"/>
          <w:highlight w:val="none"/>
        </w:rPr>
        <w:t>合同签订日期：</w:t>
      </w:r>
      <w:r>
        <w:rPr>
          <w:rFonts w:hint="eastAsia" w:ascii="宋体" w:hAnsi="宋体" w:cs="宋体"/>
          <w:bCs/>
          <w:color w:val="auto"/>
          <w:spacing w:val="20"/>
          <w:sz w:val="28"/>
          <w:szCs w:val="28"/>
          <w:highlight w:val="none"/>
          <w:u w:val="single"/>
          <w:lang w:val="en-US" w:eastAsia="zh-CN"/>
        </w:rPr>
        <w:t xml:space="preserve">    </w:t>
      </w:r>
      <w:r>
        <w:rPr>
          <w:rFonts w:hint="eastAsia" w:ascii="宋体" w:hAnsi="宋体" w:cs="宋体"/>
          <w:bCs/>
          <w:color w:val="auto"/>
          <w:spacing w:val="20"/>
          <w:sz w:val="28"/>
          <w:szCs w:val="28"/>
          <w:highlight w:val="none"/>
          <w:u w:val="single"/>
        </w:rPr>
        <w:t>年  月  日</w:t>
      </w:r>
    </w:p>
    <w:p w14:paraId="4395DC07">
      <w:pPr>
        <w:spacing w:line="360" w:lineRule="auto"/>
        <w:ind w:left="1566" w:leftChars="504" w:hanging="508" w:hangingChars="242"/>
        <w:rPr>
          <w:rFonts w:ascii="宋体" w:hAnsi="宋体" w:cs="宋体"/>
          <w:bCs/>
          <w:color w:val="auto"/>
          <w:spacing w:val="20"/>
          <w:sz w:val="28"/>
          <w:szCs w:val="28"/>
          <w:highlight w:val="none"/>
        </w:rPr>
      </w:pPr>
      <w:r>
        <w:rPr>
          <w:color w:val="auto"/>
          <w:highlight w:val="none"/>
        </w:rPr>
        <w:drawing>
          <wp:anchor distT="0" distB="0" distL="114300" distR="114300" simplePos="0" relativeHeight="251659264" behindDoc="0" locked="0" layoutInCell="1" allowOverlap="0">
            <wp:simplePos x="0" y="0"/>
            <wp:positionH relativeFrom="column">
              <wp:posOffset>-126365</wp:posOffset>
            </wp:positionH>
            <wp:positionV relativeFrom="paragraph">
              <wp:posOffset>1485265</wp:posOffset>
            </wp:positionV>
            <wp:extent cx="6452870" cy="2157730"/>
            <wp:effectExtent l="0" t="0" r="5080" b="13970"/>
            <wp:wrapSquare wrapText="bothSides"/>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6452870" cy="2157730"/>
                    </a:xfrm>
                    <a:prstGeom prst="rect">
                      <a:avLst/>
                    </a:prstGeom>
                    <a:noFill/>
                    <a:ln>
                      <a:noFill/>
                    </a:ln>
                  </pic:spPr>
                </pic:pic>
              </a:graphicData>
            </a:graphic>
          </wp:anchor>
        </w:drawing>
      </w:r>
      <w:r>
        <w:rPr>
          <w:rFonts w:hint="eastAsia" w:ascii="宋体" w:hAnsi="宋体" w:cs="宋体"/>
          <w:bCs/>
          <w:color w:val="auto"/>
          <w:spacing w:val="20"/>
          <w:sz w:val="28"/>
          <w:szCs w:val="28"/>
          <w:highlight w:val="none"/>
        </w:rPr>
        <w:t>签订地点：</w:t>
      </w:r>
      <w:r>
        <w:rPr>
          <w:rFonts w:hint="eastAsia" w:ascii="宋体" w:hAnsi="宋体" w:cs="宋体"/>
          <w:bCs/>
          <w:color w:val="auto"/>
          <w:spacing w:val="20"/>
          <w:sz w:val="28"/>
          <w:szCs w:val="28"/>
          <w:highlight w:val="none"/>
          <w:u w:val="single"/>
          <w:shd w:val="clear" w:color="auto" w:fill="auto"/>
          <w:lang w:eastAsia="zh-CN"/>
        </w:rPr>
        <w:t>【】</w:t>
      </w:r>
    </w:p>
    <w:p w14:paraId="06BAFF0D">
      <w:pPr>
        <w:snapToGrid w:val="0"/>
        <w:spacing w:line="440" w:lineRule="exact"/>
        <w:ind w:left="1638" w:leftChars="600" w:hanging="378" w:hangingChars="180"/>
        <w:rPr>
          <w:rFonts w:ascii="宋体" w:hAnsi="宋体" w:cs="宋体"/>
          <w:color w:val="auto"/>
          <w:szCs w:val="24"/>
          <w:highlight w:val="none"/>
        </w:rPr>
        <w:sectPr>
          <w:footerReference r:id="rId3" w:type="default"/>
          <w:pgSz w:w="11906" w:h="16838"/>
          <w:pgMar w:top="1440" w:right="1080" w:bottom="1440" w:left="1080" w:header="850" w:footer="992" w:gutter="0"/>
          <w:cols w:space="720" w:num="1"/>
          <w:docGrid w:type="lines" w:linePitch="408" w:charSpace="0"/>
        </w:sectPr>
      </w:pPr>
    </w:p>
    <w:p w14:paraId="6853F88E">
      <w:pPr>
        <w:snapToGrid w:val="0"/>
        <w:spacing w:line="440" w:lineRule="atLeast"/>
        <w:jc w:val="center"/>
        <w:rPr>
          <w:rFonts w:ascii="宋体" w:hAnsi="宋体" w:cs="宋体"/>
          <w:b/>
          <w:color w:val="auto"/>
          <w:sz w:val="30"/>
          <w:szCs w:val="30"/>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0"/>
          <w:szCs w:val="30"/>
          <w:highlight w:val="none"/>
        </w:rPr>
        <w:t>第一部分   协议书</w:t>
      </w:r>
    </w:p>
    <w:p w14:paraId="409EA24F">
      <w:pPr>
        <w:snapToGrid w:val="0"/>
        <w:spacing w:line="360" w:lineRule="auto"/>
        <w:rPr>
          <w:rFonts w:ascii="宋体" w:hAnsi="宋体" w:cs="宋体"/>
          <w:b/>
          <w:color w:val="auto"/>
          <w:sz w:val="32"/>
          <w:szCs w:val="32"/>
          <w:highlight w:val="none"/>
        </w:rPr>
      </w:pPr>
    </w:p>
    <w:p w14:paraId="2A50EEE0">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eastAsia="宋体" w:cs="Times New Roman"/>
          <w:bCs w:val="0"/>
          <w:color w:val="auto"/>
          <w:spacing w:val="0"/>
          <w:sz w:val="24"/>
          <w:szCs w:val="24"/>
          <w:highlight w:val="none"/>
          <w:u w:val="single"/>
          <w:lang w:eastAsia="zh-CN"/>
        </w:rPr>
        <w:t>广佛(佛冈)产业园高新投资开发有限公司</w:t>
      </w:r>
    </w:p>
    <w:p w14:paraId="74EFAD84">
      <w:pPr>
        <w:snapToGrid w:val="0"/>
        <w:spacing w:line="360" w:lineRule="auto"/>
        <w:jc w:val="left"/>
        <w:rPr>
          <w:rFonts w:ascii="Calibri" w:hAnsi="Calibri" w:cs="宋体"/>
          <w:color w:val="auto"/>
          <w:sz w:val="24"/>
          <w:szCs w:val="24"/>
          <w:highlight w:val="none"/>
          <w:u w:val="single"/>
        </w:rPr>
      </w:pPr>
      <w:r>
        <w:rPr>
          <w:rFonts w:hint="eastAsia" w:ascii="宋体" w:hAnsi="宋体" w:cs="宋体"/>
          <w:color w:val="auto"/>
          <w:sz w:val="24"/>
          <w:szCs w:val="24"/>
          <w:highlight w:val="none"/>
        </w:rPr>
        <w:t>承包人（全称）：</w:t>
      </w:r>
      <w:r>
        <w:rPr>
          <w:rFonts w:hint="eastAsia" w:ascii="Calibri" w:hAnsi="Calibri" w:cs="宋体"/>
          <w:color w:val="auto"/>
          <w:sz w:val="24"/>
          <w:szCs w:val="24"/>
          <w:highlight w:val="none"/>
          <w:u w:val="single"/>
        </w:rPr>
        <w:t xml:space="preserve"> 　　　　</w:t>
      </w:r>
      <w:r>
        <w:rPr>
          <w:rFonts w:hint="eastAsia" w:ascii="Calibri" w:hAnsi="Calibri" w:cs="宋体"/>
          <w:color w:val="auto"/>
          <w:sz w:val="24"/>
          <w:szCs w:val="24"/>
          <w:highlight w:val="none"/>
          <w:u w:val="single"/>
          <w:lang w:val="en-US" w:eastAsia="zh-CN"/>
        </w:rPr>
        <w:t xml:space="preserve">  </w:t>
      </w:r>
      <w:r>
        <w:rPr>
          <w:rFonts w:hint="eastAsia" w:ascii="Calibri" w:hAnsi="Calibri" w:cs="宋体"/>
          <w:color w:val="auto"/>
          <w:sz w:val="24"/>
          <w:szCs w:val="24"/>
          <w:highlight w:val="none"/>
          <w:u w:val="single"/>
        </w:rPr>
        <w:t xml:space="preserve">　　　　　　　　　　　　  </w:t>
      </w:r>
    </w:p>
    <w:p w14:paraId="423E96F2">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依照《中华人民共和国民法典》、《中华人民共和国建筑法》及其他有关法律、行政法规，遵循平等、自愿、公平和诚实信用的原则，双方就本</w:t>
      </w:r>
      <w:r>
        <w:rPr>
          <w:rFonts w:hint="eastAsia" w:ascii="宋体" w:hAnsi="宋体" w:cs="宋体"/>
          <w:color w:val="auto"/>
          <w:sz w:val="24"/>
          <w:szCs w:val="24"/>
          <w:highlight w:val="none"/>
          <w:lang w:val="en-US" w:eastAsia="zh-CN"/>
        </w:rPr>
        <w:t>勘察、</w:t>
      </w:r>
      <w:r>
        <w:rPr>
          <w:rFonts w:hint="eastAsia" w:ascii="宋体" w:hAnsi="宋体" w:cs="宋体"/>
          <w:color w:val="auto"/>
          <w:sz w:val="24"/>
          <w:szCs w:val="24"/>
          <w:highlight w:val="none"/>
        </w:rPr>
        <w:t>设计、建设工程施工事项协商一致，订立本合同。</w:t>
      </w:r>
    </w:p>
    <w:p w14:paraId="11E6BE45">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一、工程概况</w:t>
      </w:r>
    </w:p>
    <w:p w14:paraId="2AFBDF5B">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工程名称：</w:t>
      </w:r>
      <w:r>
        <w:rPr>
          <w:rFonts w:hint="eastAsia" w:ascii="宋体" w:hAnsi="宋体"/>
          <w:color w:val="auto"/>
          <w:sz w:val="24"/>
          <w:szCs w:val="24"/>
          <w:highlight w:val="none"/>
          <w:u w:val="single"/>
          <w:lang w:eastAsia="zh-CN"/>
        </w:rPr>
        <w:t>广佛(佛冈)产业园应急救援设施建设项目勘察设计施工总承包（EPC）</w:t>
      </w:r>
      <w:r>
        <w:rPr>
          <w:rFonts w:hint="eastAsia" w:ascii="宋体" w:hAnsi="宋体" w:cs="宋体"/>
          <w:bCs/>
          <w:color w:val="auto"/>
          <w:sz w:val="24"/>
          <w:szCs w:val="24"/>
          <w:highlight w:val="none"/>
        </w:rPr>
        <w:t>。</w:t>
      </w:r>
    </w:p>
    <w:p w14:paraId="1B9496B7">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工程地点：</w:t>
      </w:r>
      <w:r>
        <w:rPr>
          <w:rFonts w:hint="eastAsia" w:ascii="宋体" w:hAnsi="宋体"/>
          <w:color w:val="auto"/>
          <w:sz w:val="24"/>
          <w:szCs w:val="24"/>
          <w:highlight w:val="none"/>
          <w:u w:val="single"/>
          <w:lang w:eastAsia="zh-CN"/>
        </w:rPr>
        <w:t>清远市佛冈县南部汤塘镇广佛(佛冈)产业园内</w:t>
      </w:r>
      <w:r>
        <w:rPr>
          <w:rFonts w:hint="eastAsia" w:ascii="宋体" w:hAnsi="宋体" w:cs="宋体"/>
          <w:color w:val="auto"/>
          <w:sz w:val="24"/>
          <w:szCs w:val="24"/>
          <w:highlight w:val="none"/>
          <w:u w:val="single"/>
          <w:lang w:val="en-US" w:eastAsia="zh-CN"/>
        </w:rPr>
        <w:t xml:space="preserve"> </w:t>
      </w:r>
      <w:r>
        <w:rPr>
          <w:rFonts w:hint="eastAsia" w:ascii="宋体" w:hAnsi="宋体" w:cs="宋体"/>
          <w:bCs/>
          <w:color w:val="auto"/>
          <w:sz w:val="24"/>
          <w:szCs w:val="24"/>
          <w:highlight w:val="none"/>
        </w:rPr>
        <w:t>。</w:t>
      </w:r>
    </w:p>
    <w:p w14:paraId="6CA5232D">
      <w:pPr>
        <w:keepNext w:val="0"/>
        <w:keepLines w:val="0"/>
        <w:pageBreakBefore w:val="0"/>
        <w:widowControl w:val="0"/>
        <w:kinsoku/>
        <w:wordWrap/>
        <w:overflowPunct/>
        <w:topLinePunct w:val="0"/>
        <w:autoSpaceDE/>
        <w:autoSpaceDN/>
        <w:bidi w:val="0"/>
        <w:adjustRightInd/>
        <w:snapToGrid w:val="0"/>
        <w:spacing w:line="360" w:lineRule="auto"/>
        <w:ind w:firstLine="424" w:firstLineChars="177"/>
        <w:textAlignment w:val="auto"/>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rPr>
        <w:t>工程内容：</w:t>
      </w:r>
      <w:r>
        <w:rPr>
          <w:rFonts w:hint="eastAsia" w:ascii="宋体" w:hAnsi="宋体" w:eastAsia="宋体" w:cs="宋体"/>
          <w:color w:val="auto"/>
          <w:sz w:val="24"/>
          <w:szCs w:val="24"/>
          <w:highlight w:val="none"/>
          <w:u w:val="single"/>
        </w:rPr>
        <w:t>本项目场地内设计综合楼、训练塔以及岗亭。消防站场地有:室外训练场、道路、绿地、训练塔、停车位、岗亭。消防站建筑包括:业务用房、业务附属用房和辅助用房。项目总用地面积 4200 m2，总建筑面积为 3300 m2，其中:计容面积 3300 m2(包括综合楼 3000 m2和训练塔 300 m2)。本项目容积率为 0.79，建筑密度 25%，绿地率为 20%</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最终建设规模以园区规划及建设主管部门批复确认为准。</w:t>
      </w:r>
      <w:r>
        <w:rPr>
          <w:rFonts w:hint="eastAsia" w:ascii="宋体" w:hAnsi="宋体" w:cs="宋体"/>
          <w:color w:val="auto"/>
          <w:sz w:val="24"/>
          <w:szCs w:val="24"/>
          <w:highlight w:val="none"/>
          <w:u w:val="single"/>
          <w:lang w:eastAsia="zh-CN"/>
        </w:rPr>
        <w:t>）</w:t>
      </w:r>
    </w:p>
    <w:p w14:paraId="69ADC78E">
      <w:pPr>
        <w:keepNext w:val="0"/>
        <w:keepLines w:val="0"/>
        <w:pageBreakBefore w:val="0"/>
        <w:widowControl w:val="0"/>
        <w:kinsoku/>
        <w:wordWrap/>
        <w:overflowPunct/>
        <w:topLinePunct w:val="0"/>
        <w:autoSpaceDE/>
        <w:autoSpaceDN/>
        <w:bidi w:val="0"/>
        <w:adjustRightInd/>
        <w:snapToGrid w:val="0"/>
        <w:spacing w:line="360" w:lineRule="auto"/>
        <w:ind w:firstLine="424" w:firstLineChars="177"/>
        <w:textAlignment w:val="auto"/>
        <w:rPr>
          <w:rFonts w:ascii="宋体" w:hAnsi="宋体" w:cs="宋体"/>
          <w:color w:val="auto"/>
          <w:sz w:val="24"/>
          <w:szCs w:val="24"/>
          <w:highlight w:val="none"/>
        </w:rPr>
      </w:pPr>
      <w:r>
        <w:rPr>
          <w:rFonts w:hint="eastAsia" w:ascii="宋体" w:hAnsi="宋体" w:cs="宋体"/>
          <w:color w:val="auto"/>
          <w:sz w:val="24"/>
          <w:szCs w:val="24"/>
          <w:highlight w:val="none"/>
        </w:rPr>
        <w:t>工程立项批准文号：</w:t>
      </w:r>
      <w:r>
        <w:rPr>
          <w:rFonts w:hint="eastAsia" w:ascii="宋体" w:hAnsi="宋体" w:cs="宋体"/>
          <w:color w:val="auto"/>
          <w:sz w:val="24"/>
          <w:szCs w:val="24"/>
          <w:highlight w:val="none"/>
          <w:u w:val="single"/>
        </w:rPr>
        <w:t>广佛经发投审[2024]</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 xml:space="preserve">号 </w:t>
      </w:r>
      <w:r>
        <w:rPr>
          <w:rFonts w:hint="eastAsia" w:ascii="宋体" w:hAnsi="宋体" w:cs="宋体"/>
          <w:color w:val="auto"/>
          <w:sz w:val="24"/>
          <w:szCs w:val="24"/>
          <w:highlight w:val="none"/>
        </w:rPr>
        <w:t>。</w:t>
      </w:r>
    </w:p>
    <w:p w14:paraId="50F772E2">
      <w:pPr>
        <w:snapToGrid w:val="0"/>
        <w:spacing w:line="360" w:lineRule="auto"/>
        <w:ind w:firstLine="424" w:firstLineChars="177"/>
        <w:rPr>
          <w:rFonts w:ascii="宋体" w:hAnsi="宋体" w:cs="宋体"/>
          <w:color w:val="auto"/>
          <w:sz w:val="24"/>
          <w:szCs w:val="24"/>
          <w:highlight w:val="none"/>
          <w:u w:val="single"/>
        </w:rPr>
      </w:pPr>
      <w:r>
        <w:rPr>
          <w:rFonts w:hint="eastAsia" w:ascii="宋体" w:hAnsi="宋体" w:cs="宋体"/>
          <w:color w:val="auto"/>
          <w:sz w:val="24"/>
          <w:szCs w:val="24"/>
          <w:highlight w:val="none"/>
        </w:rPr>
        <w:t>资金来源：</w:t>
      </w:r>
      <w:r>
        <w:rPr>
          <w:rFonts w:hint="eastAsia" w:ascii="宋体" w:hAnsi="宋体" w:cs="宋体"/>
          <w:color w:val="auto"/>
          <w:sz w:val="24"/>
          <w:szCs w:val="24"/>
          <w:highlight w:val="none"/>
          <w:u w:val="single"/>
          <w:lang w:val="en-US" w:eastAsia="zh-CN"/>
        </w:rPr>
        <w:t>园区</w:t>
      </w:r>
      <w:r>
        <w:rPr>
          <w:rFonts w:hint="eastAsia" w:ascii="宋体" w:hAnsi="宋体" w:cs="宋体"/>
          <w:color w:val="auto"/>
          <w:sz w:val="24"/>
          <w:szCs w:val="24"/>
          <w:highlight w:val="none"/>
          <w:u w:val="single"/>
        </w:rPr>
        <w:t>财政投资</w:t>
      </w:r>
      <w:r>
        <w:rPr>
          <w:rFonts w:hint="eastAsia" w:ascii="宋体" w:hAnsi="宋体" w:cs="宋体"/>
          <w:color w:val="auto"/>
          <w:sz w:val="24"/>
          <w:szCs w:val="24"/>
          <w:highlight w:val="none"/>
        </w:rPr>
        <w:t>。</w:t>
      </w:r>
    </w:p>
    <w:p w14:paraId="551452E9">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二、工程承包范围及承包方式</w:t>
      </w:r>
    </w:p>
    <w:p w14:paraId="4EE79F7C">
      <w:pPr>
        <w:spacing w:line="360" w:lineRule="auto"/>
        <w:ind w:firstLine="424" w:firstLineChars="177"/>
        <w:rPr>
          <w:rFonts w:ascii="宋体" w:hAnsi="宋体"/>
          <w:b/>
          <w:color w:val="auto"/>
          <w:sz w:val="24"/>
          <w:szCs w:val="24"/>
          <w:highlight w:val="none"/>
        </w:rPr>
      </w:pPr>
      <w:r>
        <w:rPr>
          <w:rFonts w:hint="eastAsia" w:ascii="宋体" w:hAnsi="宋体" w:cs="宋体"/>
          <w:color w:val="auto"/>
          <w:sz w:val="24"/>
          <w:szCs w:val="24"/>
          <w:highlight w:val="none"/>
        </w:rPr>
        <w:t>（一）承包范围：</w:t>
      </w:r>
      <w:r>
        <w:rPr>
          <w:rFonts w:hint="eastAsia" w:ascii="宋体" w:hAnsi="宋体"/>
          <w:color w:val="auto"/>
          <w:sz w:val="24"/>
          <w:szCs w:val="24"/>
          <w:highlight w:val="none"/>
          <w:u w:val="single"/>
        </w:rPr>
        <w:t>勘察</w:t>
      </w:r>
      <w:r>
        <w:rPr>
          <w:rFonts w:hint="eastAsia" w:ascii="宋体" w:hAnsi="宋体" w:cs="宋体"/>
          <w:color w:val="auto"/>
          <w:sz w:val="24"/>
          <w:szCs w:val="24"/>
          <w:highlight w:val="none"/>
          <w:u w:val="single"/>
        </w:rPr>
        <w:t>设计施工总承包工程，包括</w:t>
      </w:r>
      <w:r>
        <w:rPr>
          <w:rFonts w:hint="eastAsia" w:ascii="宋体" w:hAnsi="宋体"/>
          <w:b/>
          <w:color w:val="auto"/>
          <w:sz w:val="24"/>
          <w:szCs w:val="24"/>
          <w:highlight w:val="none"/>
        </w:rPr>
        <w:t>：</w:t>
      </w:r>
    </w:p>
    <w:p w14:paraId="4BA3194C">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1.勘察部分</w:t>
      </w:r>
    </w:p>
    <w:p w14:paraId="73A7DC2A">
      <w:pPr>
        <w:spacing w:line="360" w:lineRule="auto"/>
        <w:ind w:firstLine="424" w:firstLineChars="177"/>
        <w:rPr>
          <w:rFonts w:hint="eastAsia" w:ascii="宋体" w:hAnsi="宋体" w:eastAsia="宋体"/>
          <w:color w:val="auto"/>
          <w:sz w:val="24"/>
          <w:szCs w:val="24"/>
          <w:highlight w:val="none"/>
          <w:u w:val="single"/>
          <w:lang w:eastAsia="zh-CN"/>
        </w:rPr>
      </w:pPr>
      <w:r>
        <w:rPr>
          <w:rFonts w:hint="eastAsia" w:ascii="宋体" w:hAnsi="宋体"/>
          <w:color w:val="auto"/>
          <w:sz w:val="24"/>
          <w:szCs w:val="24"/>
          <w:highlight w:val="none"/>
          <w:u w:val="single"/>
        </w:rPr>
        <w:t>负责本项目规划用地红线范围内及经发包人审批同意用于辅助项目建设所需的红线范围外的勘察工作，包括但不限于以下内容：</w:t>
      </w:r>
      <w:r>
        <w:rPr>
          <w:rFonts w:hint="eastAsia" w:ascii="宋体" w:hAnsi="宋体"/>
          <w:color w:val="auto"/>
          <w:sz w:val="24"/>
          <w:szCs w:val="24"/>
          <w:highlight w:val="none"/>
          <w:u w:val="single"/>
        </w:rPr>
        <w:t>工程勘察（包含岩土工程勘察、工程测量）、补勘等勘察工作</w:t>
      </w:r>
      <w:r>
        <w:rPr>
          <w:rFonts w:hint="eastAsia" w:ascii="宋体" w:hAnsi="宋体"/>
          <w:color w:val="auto"/>
          <w:sz w:val="24"/>
          <w:szCs w:val="24"/>
          <w:highlight w:val="none"/>
          <w:u w:val="single"/>
          <w:lang w:eastAsia="zh-CN"/>
        </w:rPr>
        <w:t>。</w:t>
      </w:r>
    </w:p>
    <w:p w14:paraId="0E1970F1">
      <w:pPr>
        <w:spacing w:line="360" w:lineRule="auto"/>
        <w:ind w:firstLine="426" w:firstLineChars="177"/>
        <w:rPr>
          <w:rFonts w:ascii="宋体" w:hAnsi="宋体"/>
          <w:color w:val="auto"/>
          <w:sz w:val="24"/>
          <w:szCs w:val="24"/>
          <w:highlight w:val="none"/>
        </w:rPr>
      </w:pPr>
      <w:r>
        <w:rPr>
          <w:rFonts w:hint="eastAsia" w:ascii="宋体" w:hAnsi="宋体"/>
          <w:b/>
          <w:color w:val="auto"/>
          <w:sz w:val="24"/>
          <w:szCs w:val="24"/>
          <w:highlight w:val="none"/>
        </w:rPr>
        <w:t>2.设计部分</w:t>
      </w:r>
    </w:p>
    <w:p w14:paraId="64BDE252">
      <w:pPr>
        <w:spacing w:line="360" w:lineRule="auto"/>
        <w:ind w:firstLine="424" w:firstLineChars="177"/>
        <w:rPr>
          <w:rFonts w:ascii="宋体" w:hAnsi="宋体"/>
          <w:color w:val="auto"/>
          <w:sz w:val="24"/>
          <w:szCs w:val="24"/>
          <w:highlight w:val="none"/>
          <w:u w:val="single"/>
        </w:rPr>
      </w:pPr>
      <w:r>
        <w:rPr>
          <w:rFonts w:hint="eastAsia" w:ascii="宋体" w:hAnsi="宋体"/>
          <w:color w:val="auto"/>
          <w:sz w:val="24"/>
          <w:szCs w:val="24"/>
          <w:highlight w:val="none"/>
          <w:u w:val="single"/>
        </w:rPr>
        <w:t>方案设计、协助业主办理工程前期的报建及报批工作、编制初步设计及概算、施工图设计、现场服务、施工过程中的方案优化及设计变更、施工及验收过程的配合、竣工图审核及盖章等。</w:t>
      </w:r>
    </w:p>
    <w:p w14:paraId="211C3E01">
      <w:pPr>
        <w:spacing w:line="360" w:lineRule="auto"/>
        <w:ind w:firstLine="426" w:firstLineChars="177"/>
        <w:rPr>
          <w:rFonts w:ascii="宋体" w:hAnsi="宋体"/>
          <w:b/>
          <w:color w:val="auto"/>
          <w:sz w:val="24"/>
          <w:szCs w:val="24"/>
          <w:highlight w:val="none"/>
        </w:rPr>
      </w:pPr>
      <w:r>
        <w:rPr>
          <w:rFonts w:hint="eastAsia" w:ascii="宋体" w:hAnsi="宋体"/>
          <w:b/>
          <w:color w:val="auto"/>
          <w:sz w:val="24"/>
          <w:szCs w:val="24"/>
          <w:highlight w:val="none"/>
        </w:rPr>
        <w:t>3.施工部分</w:t>
      </w:r>
    </w:p>
    <w:p w14:paraId="5998F772">
      <w:pPr>
        <w:spacing w:line="360" w:lineRule="auto"/>
        <w:ind w:firstLine="424" w:firstLineChars="177"/>
        <w:rPr>
          <w:rFonts w:ascii="宋体" w:hAnsi="宋体"/>
          <w:color w:val="auto"/>
          <w:sz w:val="24"/>
          <w:szCs w:val="24"/>
          <w:highlight w:val="none"/>
        </w:rPr>
      </w:pPr>
      <w:r>
        <w:rPr>
          <w:rFonts w:ascii="宋体" w:hAnsi="宋体"/>
          <w:color w:val="auto"/>
          <w:sz w:val="24"/>
          <w:szCs w:val="24"/>
          <w:highlight w:val="none"/>
        </w:rPr>
        <w:t>施工内容包括</w:t>
      </w:r>
      <w:r>
        <w:rPr>
          <w:rFonts w:hint="eastAsia" w:ascii="宋体" w:hAnsi="宋体"/>
          <w:color w:val="auto"/>
          <w:sz w:val="24"/>
          <w:szCs w:val="24"/>
          <w:highlight w:val="none"/>
        </w:rPr>
        <w:t>：</w:t>
      </w:r>
      <w:r>
        <w:rPr>
          <w:rFonts w:hint="eastAsia" w:ascii="宋体" w:hAnsi="宋体" w:cs="宋体"/>
          <w:color w:val="auto"/>
          <w:sz w:val="24"/>
          <w:szCs w:val="24"/>
          <w:highlight w:val="none"/>
          <w:u w:val="single"/>
        </w:rPr>
        <w:t>完成本项目所有施工内容，包括：</w:t>
      </w:r>
      <w:r>
        <w:rPr>
          <w:rFonts w:hint="eastAsia" w:ascii="宋体" w:hAnsi="宋体"/>
          <w:color w:val="auto"/>
          <w:sz w:val="24"/>
          <w:szCs w:val="24"/>
          <w:highlight w:val="none"/>
          <w:u w:val="single"/>
        </w:rPr>
        <w:t>具体以招标文件及合同约定的范围、建设业主审核确认的施工图、经建设业主审定的施工图预算内容为准。</w:t>
      </w:r>
    </w:p>
    <w:p w14:paraId="00785D8D">
      <w:pPr>
        <w:spacing w:line="36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（二）承包方式：</w:t>
      </w:r>
      <w:r>
        <w:rPr>
          <w:rFonts w:hint="eastAsia" w:ascii="宋体" w:hAnsi="宋体" w:cs="宋体"/>
          <w:color w:val="auto"/>
          <w:sz w:val="24"/>
          <w:szCs w:val="24"/>
          <w:highlight w:val="none"/>
          <w:u w:val="single"/>
          <w:lang w:val="en-US" w:eastAsia="zh-CN"/>
        </w:rPr>
        <w:t>包勘察、包设计、</w:t>
      </w:r>
      <w:r>
        <w:rPr>
          <w:rFonts w:hint="eastAsia" w:ascii="宋体" w:hAnsi="宋体"/>
          <w:color w:val="auto"/>
          <w:sz w:val="24"/>
          <w:szCs w:val="24"/>
          <w:highlight w:val="none"/>
          <w:u w:val="single"/>
          <w:lang w:val="en-US" w:eastAsia="zh-CN"/>
        </w:rPr>
        <w:t>包工、包料、包设备、包工期、包质量、包造价控制（含施工图预算及竣工结算文件的编制报审等）、包安全、包文明施工、包项目协调管理、包验收移交、包竣工资料收集整理备案及资料汇总归档、包竣工图编制及签审、包保修、包保险、包总承包管理和现场整体组织、包专业协调及配合等。</w:t>
      </w:r>
      <w:r>
        <w:rPr>
          <w:rFonts w:hint="eastAsia" w:ascii="宋体" w:hAnsi="宋体"/>
          <w:color w:val="auto"/>
          <w:sz w:val="24"/>
          <w:szCs w:val="24"/>
          <w:highlight w:val="none"/>
          <w:u w:val="single"/>
        </w:rPr>
        <w:t>综合单价包干、项目措施费中围蔽费用按实结算、项目措施费除围蔽外的部分包干。</w:t>
      </w:r>
    </w:p>
    <w:p w14:paraId="5C7B4935">
      <w:pPr>
        <w:snapToGrid w:val="0"/>
        <w:spacing w:line="360" w:lineRule="auto"/>
        <w:ind w:firstLine="424" w:firstLineChars="177"/>
        <w:rPr>
          <w:rFonts w:ascii="宋体" w:hAnsi="宋体" w:cs="宋体"/>
          <w:bCs/>
          <w:snapToGrid w:val="0"/>
          <w:color w:val="auto"/>
          <w:sz w:val="24"/>
          <w:szCs w:val="24"/>
          <w:highlight w:val="none"/>
          <w:u w:val="single"/>
        </w:rPr>
      </w:pPr>
      <w:r>
        <w:rPr>
          <w:rFonts w:hint="eastAsia" w:ascii="宋体" w:hAnsi="宋体" w:cs="宋体"/>
          <w:bCs/>
          <w:snapToGrid w:val="0"/>
          <w:color w:val="auto"/>
          <w:sz w:val="24"/>
          <w:szCs w:val="24"/>
          <w:highlight w:val="none"/>
          <w:u w:val="single"/>
        </w:rPr>
        <w:t>本工程实行全过程限额设计施工，发包人有权在限额范围内，根据对承包人的承包范围和承包工程量进行适当调整。</w:t>
      </w:r>
    </w:p>
    <w:p w14:paraId="044F81C9">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三、合同工期</w:t>
      </w:r>
    </w:p>
    <w:p w14:paraId="6B500F3F">
      <w:pPr>
        <w:spacing w:line="360" w:lineRule="auto"/>
        <w:ind w:firstLine="424" w:firstLineChars="177"/>
        <w:rPr>
          <w:rFonts w:hint="eastAsia"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本项目设计合同期限＋具备进场开工条件之日起</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rPr>
        <w:t>日历天。</w:t>
      </w:r>
    </w:p>
    <w:p w14:paraId="34FCA4B2">
      <w:pPr>
        <w:spacing w:line="360" w:lineRule="auto"/>
        <w:ind w:firstLine="424" w:firstLineChars="177"/>
        <w:rPr>
          <w:rFonts w:hint="eastAsia"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暂定施工开工日期以批准的开工报告为准。</w:t>
      </w:r>
    </w:p>
    <w:p w14:paraId="349A3F32">
      <w:pPr>
        <w:spacing w:line="360" w:lineRule="auto"/>
        <w:ind w:firstLine="424" w:firstLineChars="177"/>
        <w:rPr>
          <w:rFonts w:hint="eastAsia"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设计工期：中标单位在合同签订后  个工作日内完成初步设计，初步设计审查批准后</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rPr>
        <w:t>个工作日内完成施工图设计，施工图设计文件经审查发现问题后</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rPr>
        <w:t>个工作日内完成补充、修订。</w:t>
      </w:r>
    </w:p>
    <w:p w14:paraId="772CB01E">
      <w:pPr>
        <w:spacing w:line="360" w:lineRule="auto"/>
        <w:ind w:firstLine="424" w:firstLineChars="177"/>
        <w:rPr>
          <w:rFonts w:hint="eastAsia"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勘察工期：中标通知书发出后，承包人收到发包人发出具备进场条件的通知起计   天内提交勘察成果文件。</w:t>
      </w:r>
    </w:p>
    <w:p w14:paraId="335CE64F">
      <w:pPr>
        <w:spacing w:line="360" w:lineRule="auto"/>
        <w:ind w:firstLine="424" w:firstLineChars="177"/>
        <w:rPr>
          <w:rFonts w:ascii="宋体" w:hAnsi="宋体"/>
          <w:bCs/>
          <w:color w:val="auto"/>
          <w:sz w:val="24"/>
          <w:szCs w:val="24"/>
          <w:highlight w:val="none"/>
          <w:u w:val="single"/>
        </w:rPr>
      </w:pPr>
      <w:r>
        <w:rPr>
          <w:rFonts w:hint="eastAsia" w:ascii="宋体" w:hAnsi="宋体" w:cs="宋体"/>
          <w:bCs/>
          <w:snapToGrid w:val="0"/>
          <w:color w:val="auto"/>
          <w:sz w:val="24"/>
          <w:szCs w:val="24"/>
          <w:highlight w:val="none"/>
        </w:rPr>
        <w:t>施工工期：    。</w:t>
      </w:r>
    </w:p>
    <w:p w14:paraId="08FCB430">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四、质量标准</w:t>
      </w:r>
    </w:p>
    <w:p w14:paraId="39693E15">
      <w:pPr>
        <w:snapToGrid w:val="0"/>
        <w:spacing w:line="360" w:lineRule="auto"/>
        <w:ind w:firstLine="424" w:firstLineChars="177"/>
        <w:rPr>
          <w:rFonts w:ascii="宋体" w:hAnsi="宋体" w:cs="宋体"/>
          <w:color w:val="auto"/>
          <w:sz w:val="24"/>
          <w:szCs w:val="24"/>
          <w:highlight w:val="none"/>
          <w:u w:val="single"/>
        </w:rPr>
      </w:pPr>
      <w:r>
        <w:rPr>
          <w:rFonts w:hint="eastAsia" w:ascii="宋体" w:hAnsi="宋体" w:cs="宋体"/>
          <w:b w:val="0"/>
          <w:bCs/>
          <w:snapToGrid w:val="0"/>
          <w:color w:val="auto"/>
          <w:sz w:val="24"/>
          <w:szCs w:val="24"/>
          <w:highlight w:val="none"/>
        </w:rPr>
        <w:t>工程质量标准：达到国家或行业质量检验评定的合格标准及符合招标人要求。</w:t>
      </w:r>
    </w:p>
    <w:p w14:paraId="0F76F528">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五、合同价款</w:t>
      </w:r>
    </w:p>
    <w:p w14:paraId="19496621">
      <w:pPr>
        <w:autoSpaceDE w:val="0"/>
        <w:autoSpaceDN w:val="0"/>
        <w:adjustRightInd w:val="0"/>
        <w:snapToGrid w:val="0"/>
        <w:spacing w:line="360" w:lineRule="auto"/>
        <w:ind w:firstLine="424" w:firstLineChars="177"/>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合同价款暂定为（小写）¥</w:t>
      </w:r>
      <w:r>
        <w:rPr>
          <w:rFonts w:hint="eastAsia" w:ascii="宋体" w:hAnsi="宋体" w:cs="宋体"/>
          <w:bCs/>
          <w:snapToGrid w:val="0"/>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snapToGrid w:val="0"/>
          <w:color w:val="auto"/>
          <w:sz w:val="24"/>
          <w:szCs w:val="24"/>
          <w:highlight w:val="none"/>
        </w:rPr>
        <w:t>元（大写：人民币</w:t>
      </w:r>
      <w:r>
        <w:rPr>
          <w:rFonts w:hint="eastAsia" w:ascii="宋体" w:hAnsi="宋体" w:cs="宋体"/>
          <w:bCs/>
          <w:snapToGrid w:val="0"/>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snapToGrid w:val="0"/>
          <w:color w:val="auto"/>
          <w:sz w:val="24"/>
          <w:szCs w:val="24"/>
          <w:highlight w:val="none"/>
          <w:u w:val="single"/>
        </w:rPr>
        <w:t xml:space="preserve"> </w:t>
      </w:r>
      <w:r>
        <w:rPr>
          <w:rFonts w:hint="eastAsia" w:ascii="宋体" w:hAnsi="宋体" w:cs="宋体"/>
          <w:bCs/>
          <w:snapToGrid w:val="0"/>
          <w:color w:val="auto"/>
          <w:sz w:val="24"/>
          <w:szCs w:val="24"/>
          <w:highlight w:val="none"/>
        </w:rPr>
        <w:t>），其中勘察费暂定为</w:t>
      </w:r>
      <w:r>
        <w:rPr>
          <w:rFonts w:hint="eastAsia" w:ascii="宋体" w:hAnsi="宋体" w:cs="宋体"/>
          <w:bCs/>
          <w:snapToGrid w:val="0"/>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snapToGrid w:val="0"/>
          <w:color w:val="auto"/>
          <w:sz w:val="24"/>
          <w:szCs w:val="24"/>
          <w:highlight w:val="none"/>
        </w:rPr>
        <w:t>元；设计费暂定为</w:t>
      </w:r>
      <w:r>
        <w:rPr>
          <w:rFonts w:hint="eastAsia" w:ascii="宋体" w:hAnsi="宋体" w:cs="宋体"/>
          <w:bCs/>
          <w:snapToGrid w:val="0"/>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snapToGrid w:val="0"/>
          <w:color w:val="auto"/>
          <w:sz w:val="24"/>
          <w:szCs w:val="24"/>
          <w:highlight w:val="none"/>
        </w:rPr>
        <w:t>元；</w:t>
      </w:r>
      <w:r>
        <w:rPr>
          <w:rFonts w:hint="eastAsia" w:ascii="宋体" w:hAnsi="宋体" w:cs="宋体"/>
          <w:bCs/>
          <w:snapToGrid w:val="0"/>
          <w:color w:val="auto"/>
          <w:sz w:val="24"/>
          <w:szCs w:val="24"/>
          <w:highlight w:val="none"/>
          <w:lang w:val="en-US" w:eastAsia="zh-CN"/>
        </w:rPr>
        <w:t>建安</w:t>
      </w:r>
      <w:r>
        <w:rPr>
          <w:rFonts w:hint="eastAsia" w:ascii="宋体" w:hAnsi="宋体" w:cs="宋体"/>
          <w:bCs/>
          <w:snapToGrid w:val="0"/>
          <w:color w:val="auto"/>
          <w:sz w:val="24"/>
          <w:szCs w:val="24"/>
          <w:highlight w:val="none"/>
        </w:rPr>
        <w:t>工程费暂定为</w:t>
      </w:r>
      <w:r>
        <w:rPr>
          <w:rFonts w:hint="eastAsia" w:ascii="宋体" w:hAnsi="宋体"/>
          <w:bCs/>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snapToGrid w:val="0"/>
          <w:color w:val="auto"/>
          <w:sz w:val="24"/>
          <w:szCs w:val="24"/>
          <w:highlight w:val="none"/>
        </w:rPr>
        <w:t>元（以此暂定价支付预付款，预付款在支付工程进度款时，按每期进度款的</w:t>
      </w:r>
      <w:r>
        <w:rPr>
          <w:rFonts w:hint="eastAsia" w:ascii="宋体" w:hAnsi="宋体" w:cs="宋体"/>
          <w:bCs/>
          <w:snapToGrid w:val="0"/>
          <w:color w:val="auto"/>
          <w:sz w:val="24"/>
          <w:szCs w:val="24"/>
          <w:highlight w:val="none"/>
          <w:lang w:val="en-US" w:eastAsia="zh-CN"/>
        </w:rPr>
        <w:t>50</w:t>
      </w:r>
      <w:r>
        <w:rPr>
          <w:rFonts w:hint="eastAsia" w:ascii="宋体" w:hAnsi="宋体" w:cs="宋体"/>
          <w:bCs/>
          <w:snapToGrid w:val="0"/>
          <w:color w:val="auto"/>
          <w:sz w:val="24"/>
          <w:szCs w:val="24"/>
          <w:highlight w:val="none"/>
        </w:rPr>
        <w:t>%逐期扣回，预付款中的工人工资比例暂按20%计算）；</w:t>
      </w:r>
    </w:p>
    <w:p w14:paraId="380813B3">
      <w:pPr>
        <w:spacing w:line="360" w:lineRule="auto"/>
        <w:ind w:firstLine="424" w:firstLineChars="177"/>
        <w:rPr>
          <w:rFonts w:ascii="宋体" w:hAnsi="宋体" w:cs="宋体"/>
          <w:bCs/>
          <w:snapToGrid w:val="0"/>
          <w:color w:val="auto"/>
          <w:sz w:val="24"/>
          <w:szCs w:val="24"/>
          <w:highlight w:val="none"/>
        </w:rPr>
      </w:pPr>
      <w:r>
        <w:rPr>
          <w:rFonts w:hint="eastAsia" w:ascii="宋体" w:hAnsi="宋体" w:cs="宋体"/>
          <w:bCs/>
          <w:snapToGrid w:val="0"/>
          <w:color w:val="auto"/>
          <w:sz w:val="24"/>
          <w:szCs w:val="24"/>
          <w:highlight w:val="none"/>
        </w:rPr>
        <w:t>1.工程预付款、工程进度款的支付方式：</w:t>
      </w:r>
    </w:p>
    <w:p w14:paraId="093A9132">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（1）工程预付款：</w:t>
      </w:r>
      <w:r>
        <w:rPr>
          <w:rFonts w:hint="eastAsia" w:ascii="宋体" w:hAnsi="宋体" w:cs="宋体"/>
          <w:color w:val="auto"/>
          <w:sz w:val="24"/>
          <w:szCs w:val="24"/>
          <w:highlight w:val="none"/>
          <w:lang w:val="en-US" w:eastAsia="zh-CN"/>
        </w:rPr>
        <w:t>合同签订后，</w:t>
      </w:r>
      <w:r>
        <w:rPr>
          <w:rFonts w:hint="eastAsia" w:ascii="宋体" w:hAnsi="宋体" w:eastAsia="宋体" w:cs="宋体"/>
          <w:color w:val="auto"/>
          <w:sz w:val="24"/>
          <w:szCs w:val="24"/>
          <w:highlight w:val="none"/>
        </w:rPr>
        <w:t>承包人</w:t>
      </w:r>
      <w:r>
        <w:rPr>
          <w:rFonts w:hint="eastAsia" w:ascii="宋体" w:hAnsi="宋体" w:cs="宋体"/>
          <w:bCs/>
          <w:snapToGrid w:val="0"/>
          <w:color w:val="auto"/>
          <w:sz w:val="24"/>
          <w:szCs w:val="24"/>
          <w:highlight w:val="none"/>
        </w:rPr>
        <w:t>提供了预付款保函、履约保函及</w:t>
      </w:r>
      <w:r>
        <w:rPr>
          <w:rFonts w:hint="eastAsia" w:ascii="宋体" w:hAnsi="宋体" w:cs="宋体"/>
          <w:bCs/>
          <w:snapToGrid w:val="0"/>
          <w:color w:val="auto"/>
          <w:sz w:val="24"/>
          <w:szCs w:val="24"/>
          <w:highlight w:val="none"/>
          <w:lang w:val="en-US" w:eastAsia="zh-CN"/>
        </w:rPr>
        <w:t>资金</w:t>
      </w:r>
      <w:r>
        <w:rPr>
          <w:rFonts w:hint="eastAsia" w:ascii="宋体" w:hAnsi="宋体" w:cs="宋体"/>
          <w:bCs/>
          <w:snapToGrid w:val="0"/>
          <w:color w:val="auto"/>
          <w:sz w:val="24"/>
          <w:szCs w:val="24"/>
          <w:highlight w:val="none"/>
        </w:rPr>
        <w:t>到位</w:t>
      </w:r>
      <w:r>
        <w:rPr>
          <w:rFonts w:hint="eastAsia" w:ascii="宋体" w:hAnsi="宋体" w:cs="宋体"/>
          <w:bCs/>
          <w:snapToGrid w:val="0"/>
          <w:color w:val="auto"/>
          <w:sz w:val="24"/>
          <w:szCs w:val="24"/>
          <w:highlight w:val="none"/>
          <w:lang w:val="en-US" w:eastAsia="zh-CN"/>
        </w:rPr>
        <w:t>后</w:t>
      </w:r>
      <w:r>
        <w:rPr>
          <w:rFonts w:hint="eastAsia" w:ascii="宋体" w:hAnsi="宋体" w:cs="宋体"/>
          <w:bCs/>
          <w:snapToGrid w:val="0"/>
          <w:color w:val="auto"/>
          <w:sz w:val="24"/>
          <w:szCs w:val="24"/>
          <w:highlight w:val="none"/>
        </w:rPr>
        <w:t>，</w:t>
      </w:r>
      <w:r>
        <w:rPr>
          <w:rFonts w:hint="eastAsia" w:ascii="宋体" w:hAnsi="宋体"/>
          <w:color w:val="auto"/>
          <w:sz w:val="24"/>
          <w:szCs w:val="24"/>
          <w:highlight w:val="none"/>
        </w:rPr>
        <w:t>发包人向承包人预付</w:t>
      </w:r>
      <w:r>
        <w:rPr>
          <w:rFonts w:hint="eastAsia" w:ascii="宋体" w:hAnsi="宋体" w:eastAsia="宋体" w:cs="宋体"/>
          <w:bCs/>
          <w:snapToGrid w:val="0"/>
          <w:color w:val="auto"/>
          <w:sz w:val="24"/>
          <w:szCs w:val="24"/>
          <w:highlight w:val="none"/>
        </w:rPr>
        <w:t>工程费</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的</w:t>
      </w:r>
      <w:r>
        <w:rPr>
          <w:rFonts w:hint="eastAsia"/>
          <w:color w:val="auto"/>
          <w:sz w:val="24"/>
          <w:szCs w:val="24"/>
          <w:highlight w:val="none"/>
          <w:u w:val="single"/>
          <w:lang w:val="en-US" w:eastAsia="zh-CN"/>
        </w:rPr>
        <w:t>20</w:t>
      </w:r>
      <w:r>
        <w:rPr>
          <w:rFonts w:hint="eastAsia" w:ascii="宋体" w:hAnsi="宋体"/>
          <w:color w:val="auto"/>
          <w:sz w:val="24"/>
          <w:szCs w:val="24"/>
          <w:highlight w:val="none"/>
        </w:rPr>
        <w:t>%作为预付款</w:t>
      </w:r>
      <w:r>
        <w:rPr>
          <w:rFonts w:hint="eastAsia" w:ascii="宋体" w:hAnsi="宋体" w:eastAsia="宋体" w:cs="宋体"/>
          <w:bCs/>
          <w:snapToGrid w:val="0"/>
          <w:color w:val="auto"/>
          <w:sz w:val="24"/>
          <w:szCs w:val="24"/>
          <w:highlight w:val="none"/>
        </w:rPr>
        <w:t>，预付款中的工人工资比例暂按20%计算</w:t>
      </w:r>
      <w:r>
        <w:rPr>
          <w:rFonts w:hint="eastAsia" w:ascii="宋体" w:hAnsi="宋体" w:cs="宋体"/>
          <w:bCs/>
          <w:snapToGrid w:val="0"/>
          <w:color w:val="auto"/>
          <w:sz w:val="24"/>
          <w:szCs w:val="24"/>
          <w:highlight w:val="none"/>
          <w:lang w:eastAsia="zh-CN"/>
        </w:rPr>
        <w:t>，</w:t>
      </w:r>
      <w:r>
        <w:rPr>
          <w:rFonts w:hint="eastAsia" w:ascii="宋体" w:hAnsi="宋体" w:cs="宋体"/>
          <w:bCs/>
          <w:snapToGrid w:val="0"/>
          <w:color w:val="auto"/>
          <w:sz w:val="24"/>
          <w:szCs w:val="24"/>
          <w:highlight w:val="none"/>
          <w:lang w:val="en-US" w:eastAsia="zh-CN"/>
        </w:rPr>
        <w:t>预算审定后，</w:t>
      </w:r>
      <w:r>
        <w:rPr>
          <w:rFonts w:hint="eastAsia" w:ascii="宋体" w:hAnsi="宋体" w:cs="宋体"/>
          <w:bCs/>
          <w:snapToGrid w:val="0"/>
          <w:color w:val="auto"/>
          <w:sz w:val="24"/>
          <w:szCs w:val="24"/>
          <w:highlight w:val="none"/>
          <w:u w:val="single"/>
        </w:rPr>
        <w:t>根据审定预算调整工人工资比例</w:t>
      </w:r>
      <w:r>
        <w:rPr>
          <w:rFonts w:hint="eastAsia" w:ascii="宋体" w:hAnsi="宋体" w:cs="宋体"/>
          <w:bCs/>
          <w:snapToGrid w:val="0"/>
          <w:color w:val="auto"/>
          <w:sz w:val="24"/>
          <w:szCs w:val="24"/>
          <w:highlight w:val="none"/>
        </w:rPr>
        <w:t>。</w:t>
      </w:r>
      <w:r>
        <w:rPr>
          <w:rFonts w:hint="eastAsia" w:ascii="宋体" w:hAnsi="宋体" w:eastAsia="宋体" w:cs="宋体"/>
          <w:color w:val="auto"/>
          <w:sz w:val="24"/>
          <w:szCs w:val="24"/>
          <w:highlight w:val="none"/>
        </w:rPr>
        <w:t xml:space="preserve"> </w:t>
      </w:r>
    </w:p>
    <w:p w14:paraId="259034BC">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（2）工程进度款：发包人根据不同阶段支付不同比例的工程进度款，具体如下：</w:t>
      </w:r>
    </w:p>
    <w:p w14:paraId="6C216491">
      <w:pPr>
        <w:snapToGrid w:val="0"/>
        <w:spacing w:line="360" w:lineRule="auto"/>
        <w:ind w:firstLine="424" w:firstLineChars="177"/>
        <w:rPr>
          <w:rFonts w:hint="eastAsia" w:ascii="宋体" w:hAnsi="宋体" w:eastAsia="宋体" w:cs="Times New Roman"/>
          <w:bCs/>
          <w:color w:val="auto"/>
          <w:sz w:val="24"/>
          <w:szCs w:val="24"/>
          <w:highlight w:val="none"/>
        </w:rPr>
      </w:pPr>
      <w:r>
        <w:rPr>
          <w:rFonts w:hint="eastAsia" w:ascii="宋体" w:hAnsi="宋体" w:eastAsia="宋体" w:cs="宋体"/>
          <w:color w:val="auto"/>
          <w:sz w:val="24"/>
          <w:szCs w:val="24"/>
          <w:highlight w:val="none"/>
        </w:rPr>
        <w:t>①</w:t>
      </w:r>
      <w:r>
        <w:rPr>
          <w:rFonts w:hint="eastAsia" w:ascii="宋体" w:hAnsi="宋体" w:eastAsia="宋体"/>
          <w:bCs/>
          <w:color w:val="auto"/>
          <w:sz w:val="24"/>
          <w:szCs w:val="24"/>
          <w:highlight w:val="none"/>
        </w:rPr>
        <w:t>在施工图预算未审定期间，按</w:t>
      </w:r>
      <w:r>
        <w:rPr>
          <w:rFonts w:hint="eastAsia" w:ascii="宋体" w:hAnsi="宋体" w:eastAsia="宋体" w:cs="Times New Roman"/>
          <w:bCs/>
          <w:color w:val="auto"/>
          <w:sz w:val="24"/>
          <w:szCs w:val="24"/>
          <w:highlight w:val="none"/>
        </w:rPr>
        <w:t>现场监理审核并经</w:t>
      </w:r>
      <w:r>
        <w:rPr>
          <w:rFonts w:hint="eastAsia" w:ascii="宋体" w:hAnsi="宋体" w:eastAsia="宋体" w:cs="Times New Roman"/>
          <w:bCs/>
          <w:color w:val="auto"/>
          <w:sz w:val="24"/>
          <w:szCs w:val="24"/>
          <w:highlight w:val="none"/>
          <w:lang w:eastAsia="zh-CN"/>
        </w:rPr>
        <w:t>发包人</w:t>
      </w:r>
      <w:r>
        <w:rPr>
          <w:rFonts w:hint="eastAsia" w:ascii="宋体" w:hAnsi="宋体" w:eastAsia="宋体" w:cs="Times New Roman"/>
          <w:bCs/>
          <w:color w:val="auto"/>
          <w:sz w:val="24"/>
          <w:szCs w:val="24"/>
          <w:highlight w:val="none"/>
        </w:rPr>
        <w:t>确认的</w:t>
      </w:r>
      <w:r>
        <w:rPr>
          <w:rFonts w:hint="eastAsia" w:ascii="宋体" w:hAnsi="宋体" w:eastAsia="宋体"/>
          <w:bCs/>
          <w:color w:val="auto"/>
          <w:sz w:val="24"/>
          <w:szCs w:val="24"/>
          <w:highlight w:val="none"/>
        </w:rPr>
        <w:t>月度完成产值的</w:t>
      </w:r>
      <w:r>
        <w:rPr>
          <w:rFonts w:hint="eastAsia" w:ascii="宋体" w:hAnsi="宋体" w:eastAsia="宋体"/>
          <w:bCs/>
          <w:color w:val="auto"/>
          <w:sz w:val="24"/>
          <w:szCs w:val="24"/>
          <w:highlight w:val="none"/>
          <w:lang w:val="en-US" w:eastAsia="zh-CN"/>
        </w:rPr>
        <w:t>75</w:t>
      </w:r>
      <w:r>
        <w:rPr>
          <w:rFonts w:hint="eastAsia" w:ascii="宋体" w:hAnsi="宋体" w:eastAsia="宋体"/>
          <w:bCs/>
          <w:color w:val="auto"/>
          <w:sz w:val="24"/>
          <w:szCs w:val="24"/>
          <w:highlight w:val="none"/>
        </w:rPr>
        <w:t>%并扣除应扣回的</w:t>
      </w:r>
      <w:r>
        <w:rPr>
          <w:rFonts w:hint="eastAsia" w:ascii="宋体" w:hAnsi="宋体" w:eastAsia="宋体"/>
          <w:bCs/>
          <w:color w:val="auto"/>
          <w:sz w:val="24"/>
          <w:szCs w:val="24"/>
          <w:highlight w:val="none"/>
          <w:lang w:eastAsia="zh-CN"/>
        </w:rPr>
        <w:t>预付款（每期按审定月度完成工程量的75%中50%扣回预付款，直至全部扣回为止）</w:t>
      </w:r>
      <w:r>
        <w:rPr>
          <w:rFonts w:hint="eastAsia" w:ascii="宋体" w:hAnsi="宋体" w:eastAsia="宋体"/>
          <w:bCs/>
          <w:color w:val="auto"/>
          <w:sz w:val="24"/>
          <w:szCs w:val="24"/>
          <w:highlight w:val="none"/>
        </w:rPr>
        <w:t>后支付工程进度款</w:t>
      </w:r>
      <w:r>
        <w:rPr>
          <w:rFonts w:hint="eastAsia" w:ascii="宋体" w:hAnsi="宋体" w:eastAsia="宋体" w:cs="Times New Roman"/>
          <w:bCs/>
          <w:color w:val="auto"/>
          <w:sz w:val="24"/>
          <w:szCs w:val="24"/>
          <w:highlight w:val="none"/>
        </w:rPr>
        <w:t>（不含绿色施工安全防护措施费及暂列金额）；</w:t>
      </w:r>
    </w:p>
    <w:p w14:paraId="79F810CA">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eastAsia="宋体"/>
          <w:bCs/>
          <w:color w:val="auto"/>
          <w:sz w:val="24"/>
          <w:szCs w:val="24"/>
          <w:highlight w:val="none"/>
          <w:u w:val="single"/>
        </w:rPr>
        <w:t>在施工</w:t>
      </w:r>
      <w:r>
        <w:rPr>
          <w:rFonts w:hint="eastAsia" w:ascii="宋体" w:hAnsi="宋体" w:eastAsia="宋体" w:cs="宋体"/>
          <w:bCs/>
          <w:snapToGrid w:val="0"/>
          <w:color w:val="auto"/>
          <w:sz w:val="24"/>
          <w:szCs w:val="24"/>
          <w:highlight w:val="none"/>
          <w:u w:val="single"/>
        </w:rPr>
        <w:t>图预算</w:t>
      </w:r>
      <w:r>
        <w:rPr>
          <w:rFonts w:hint="eastAsia" w:ascii="宋体" w:hAnsi="宋体" w:cs="宋体"/>
          <w:bCs/>
          <w:snapToGrid w:val="0"/>
          <w:color w:val="auto"/>
          <w:sz w:val="24"/>
          <w:szCs w:val="24"/>
          <w:highlight w:val="none"/>
          <w:u w:val="single"/>
          <w:lang w:val="en-US" w:eastAsia="zh-CN"/>
        </w:rPr>
        <w:t>审定后，</w:t>
      </w:r>
      <w:r>
        <w:rPr>
          <w:rFonts w:hint="eastAsia" w:ascii="宋体" w:hAnsi="宋体" w:cs="宋体"/>
          <w:bCs/>
          <w:snapToGrid w:val="0"/>
          <w:color w:val="auto"/>
          <w:sz w:val="24"/>
          <w:szCs w:val="24"/>
          <w:highlight w:val="none"/>
          <w:u w:val="single"/>
        </w:rPr>
        <w:t>根据审定</w:t>
      </w:r>
      <w:r>
        <w:rPr>
          <w:rFonts w:hint="eastAsia" w:ascii="宋体" w:hAnsi="宋体" w:cs="宋体"/>
          <w:bCs/>
          <w:snapToGrid w:val="0"/>
          <w:color w:val="auto"/>
          <w:sz w:val="24"/>
          <w:szCs w:val="24"/>
          <w:highlight w:val="none"/>
          <w:u w:val="single"/>
          <w:lang w:val="en-US" w:eastAsia="zh-CN"/>
        </w:rPr>
        <w:t>预</w:t>
      </w:r>
      <w:r>
        <w:rPr>
          <w:rFonts w:hint="eastAsia" w:ascii="宋体" w:hAnsi="宋体" w:cs="宋体"/>
          <w:bCs/>
          <w:snapToGrid w:val="0"/>
          <w:color w:val="auto"/>
          <w:sz w:val="24"/>
          <w:szCs w:val="24"/>
          <w:highlight w:val="none"/>
          <w:u w:val="single"/>
        </w:rPr>
        <w:t>算对合同暂定价及工程量清单综合单价进行调整，按调整后的工程量清单综合单价及</w:t>
      </w:r>
      <w:r>
        <w:rPr>
          <w:rFonts w:hint="eastAsia" w:ascii="宋体" w:hAnsi="宋体" w:eastAsia="宋体" w:cs="宋体"/>
          <w:bCs/>
          <w:snapToGrid w:val="0"/>
          <w:color w:val="auto"/>
          <w:sz w:val="24"/>
          <w:szCs w:val="24"/>
          <w:highlight w:val="none"/>
          <w:u w:val="single"/>
        </w:rPr>
        <w:t>现场监理审核并经</w:t>
      </w:r>
      <w:r>
        <w:rPr>
          <w:rFonts w:hint="eastAsia" w:ascii="宋体" w:hAnsi="宋体" w:eastAsia="宋体" w:cs="宋体"/>
          <w:bCs/>
          <w:snapToGrid w:val="0"/>
          <w:color w:val="auto"/>
          <w:sz w:val="24"/>
          <w:szCs w:val="24"/>
          <w:highlight w:val="none"/>
          <w:u w:val="single"/>
          <w:lang w:eastAsia="zh-CN"/>
        </w:rPr>
        <w:t>发包人</w:t>
      </w:r>
      <w:r>
        <w:rPr>
          <w:rFonts w:hint="eastAsia" w:ascii="宋体" w:hAnsi="宋体" w:eastAsia="宋体" w:cs="宋体"/>
          <w:bCs/>
          <w:snapToGrid w:val="0"/>
          <w:color w:val="auto"/>
          <w:sz w:val="24"/>
          <w:szCs w:val="24"/>
          <w:highlight w:val="none"/>
          <w:u w:val="single"/>
        </w:rPr>
        <w:t>确认的月度完成产值的</w:t>
      </w:r>
      <w:r>
        <w:rPr>
          <w:rFonts w:hint="eastAsia" w:ascii="宋体" w:hAnsi="宋体" w:eastAsia="宋体" w:cs="宋体"/>
          <w:bCs/>
          <w:snapToGrid w:val="0"/>
          <w:color w:val="auto"/>
          <w:sz w:val="24"/>
          <w:szCs w:val="24"/>
          <w:highlight w:val="none"/>
          <w:u w:val="single"/>
          <w:lang w:val="en-US" w:eastAsia="zh-CN"/>
        </w:rPr>
        <w:t>8</w:t>
      </w:r>
      <w:r>
        <w:rPr>
          <w:rFonts w:hint="eastAsia" w:ascii="宋体" w:hAnsi="宋体" w:cs="宋体"/>
          <w:bCs/>
          <w:snapToGrid w:val="0"/>
          <w:color w:val="auto"/>
          <w:sz w:val="24"/>
          <w:szCs w:val="24"/>
          <w:highlight w:val="none"/>
          <w:u w:val="single"/>
          <w:lang w:val="en-US" w:eastAsia="zh-CN"/>
        </w:rPr>
        <w:t>5</w:t>
      </w:r>
      <w:r>
        <w:rPr>
          <w:rFonts w:hint="eastAsia" w:ascii="宋体" w:hAnsi="宋体" w:eastAsia="宋体" w:cs="宋体"/>
          <w:bCs/>
          <w:snapToGrid w:val="0"/>
          <w:color w:val="auto"/>
          <w:sz w:val="24"/>
          <w:szCs w:val="24"/>
          <w:highlight w:val="none"/>
          <w:u w:val="single"/>
        </w:rPr>
        <w:t>%并扣除应扣回的</w:t>
      </w:r>
      <w:r>
        <w:rPr>
          <w:rFonts w:hint="eastAsia" w:ascii="宋体" w:hAnsi="宋体" w:eastAsia="宋体" w:cs="宋体"/>
          <w:bCs/>
          <w:snapToGrid w:val="0"/>
          <w:color w:val="auto"/>
          <w:sz w:val="24"/>
          <w:szCs w:val="24"/>
          <w:highlight w:val="none"/>
          <w:u w:val="single"/>
          <w:lang w:eastAsia="zh-CN"/>
        </w:rPr>
        <w:t>预付款（每期按审定月度完成工程量的85%中之50%扣回预付款，直至全部扣回为止）</w:t>
      </w:r>
      <w:r>
        <w:rPr>
          <w:rFonts w:hint="eastAsia" w:ascii="宋体" w:hAnsi="宋体" w:eastAsia="宋体" w:cs="宋体"/>
          <w:bCs/>
          <w:snapToGrid w:val="0"/>
          <w:color w:val="auto"/>
          <w:sz w:val="24"/>
          <w:szCs w:val="24"/>
          <w:highlight w:val="none"/>
          <w:u w:val="single"/>
        </w:rPr>
        <w:t>后支付工程进度款</w:t>
      </w:r>
      <w:r>
        <w:rPr>
          <w:rFonts w:hint="eastAsia" w:ascii="宋体" w:hAnsi="宋体" w:eastAsia="宋体" w:cs="宋体"/>
          <w:color w:val="auto"/>
          <w:sz w:val="24"/>
          <w:szCs w:val="24"/>
          <w:highlight w:val="none"/>
        </w:rPr>
        <w:t>（不含绿色施工安全防护措施费及暂列金额）</w:t>
      </w:r>
      <w:r>
        <w:rPr>
          <w:rFonts w:hint="eastAsia" w:ascii="宋体" w:hAnsi="宋体" w:eastAsia="宋体" w:cs="宋体"/>
          <w:bCs/>
          <w:snapToGrid w:val="0"/>
          <w:color w:val="auto"/>
          <w:sz w:val="24"/>
          <w:szCs w:val="24"/>
          <w:highlight w:val="none"/>
          <w:u w:val="single"/>
          <w:lang w:eastAsia="zh-CN"/>
        </w:rPr>
        <w:t>。</w:t>
      </w:r>
      <w:r>
        <w:rPr>
          <w:rFonts w:hint="eastAsia" w:ascii="宋体" w:hAnsi="宋体" w:eastAsia="宋体" w:cs="宋体"/>
          <w:bCs/>
          <w:snapToGrid w:val="0"/>
          <w:color w:val="auto"/>
          <w:sz w:val="24"/>
          <w:szCs w:val="24"/>
          <w:highlight w:val="none"/>
          <w:u w:val="single"/>
          <w:lang w:val="en-US" w:eastAsia="zh-CN"/>
        </w:rPr>
        <w:t>其中，</w:t>
      </w:r>
      <w:r>
        <w:rPr>
          <w:rFonts w:hint="eastAsia" w:ascii="宋体" w:hAnsi="宋体" w:eastAsia="宋体" w:cs="宋体"/>
          <w:bCs/>
          <w:snapToGrid w:val="0"/>
          <w:color w:val="auto"/>
          <w:sz w:val="24"/>
          <w:szCs w:val="24"/>
          <w:highlight w:val="none"/>
          <w:u w:val="single"/>
        </w:rPr>
        <w:t>在施工图预算</w:t>
      </w:r>
      <w:r>
        <w:rPr>
          <w:rFonts w:hint="eastAsia" w:ascii="宋体" w:hAnsi="宋体" w:cs="宋体"/>
          <w:bCs/>
          <w:snapToGrid w:val="0"/>
          <w:color w:val="auto"/>
          <w:sz w:val="24"/>
          <w:szCs w:val="24"/>
          <w:highlight w:val="none"/>
          <w:u w:val="single"/>
          <w:lang w:val="en-US" w:eastAsia="zh-CN"/>
        </w:rPr>
        <w:t>审定后</w:t>
      </w:r>
      <w:r>
        <w:rPr>
          <w:rFonts w:hint="eastAsia" w:ascii="宋体" w:hAnsi="宋体" w:cs="宋体"/>
          <w:bCs/>
          <w:snapToGrid w:val="0"/>
          <w:color w:val="auto"/>
          <w:sz w:val="24"/>
          <w:szCs w:val="24"/>
          <w:highlight w:val="none"/>
          <w:u w:val="single"/>
        </w:rPr>
        <w:t>申请的第一笔工程进度款支付（仅适用于工程</w:t>
      </w:r>
      <w:r>
        <w:rPr>
          <w:rFonts w:hint="eastAsia" w:ascii="宋体" w:hAnsi="宋体" w:eastAsia="宋体" w:cs="宋体"/>
          <w:bCs/>
          <w:snapToGrid w:val="0"/>
          <w:color w:val="auto"/>
          <w:sz w:val="24"/>
          <w:szCs w:val="24"/>
          <w:highlight w:val="none"/>
          <w:u w:val="single"/>
        </w:rPr>
        <w:t>预算</w:t>
      </w:r>
      <w:r>
        <w:rPr>
          <w:rFonts w:hint="eastAsia" w:ascii="宋体" w:hAnsi="宋体" w:cs="宋体"/>
          <w:bCs/>
          <w:snapToGrid w:val="0"/>
          <w:color w:val="auto"/>
          <w:sz w:val="24"/>
          <w:szCs w:val="24"/>
          <w:highlight w:val="none"/>
          <w:u w:val="single"/>
        </w:rPr>
        <w:t>审定前已支付过进度款的情况），需根据</w:t>
      </w:r>
      <w:r>
        <w:rPr>
          <w:rFonts w:hint="eastAsia" w:ascii="宋体" w:hAnsi="宋体" w:cs="宋体"/>
          <w:bCs/>
          <w:snapToGrid w:val="0"/>
          <w:color w:val="auto"/>
          <w:sz w:val="24"/>
          <w:szCs w:val="24"/>
          <w:highlight w:val="none"/>
          <w:u w:val="single"/>
          <w:lang w:val="en-US" w:eastAsia="zh-CN"/>
        </w:rPr>
        <w:t>发包方</w:t>
      </w:r>
      <w:r>
        <w:rPr>
          <w:rFonts w:hint="eastAsia" w:ascii="宋体" w:hAnsi="宋体" w:cs="宋体"/>
          <w:bCs/>
          <w:snapToGrid w:val="0"/>
          <w:color w:val="auto"/>
          <w:sz w:val="24"/>
          <w:szCs w:val="24"/>
          <w:highlight w:val="none"/>
          <w:u w:val="single"/>
        </w:rPr>
        <w:t>审定</w:t>
      </w:r>
      <w:r>
        <w:rPr>
          <w:rFonts w:hint="eastAsia" w:ascii="宋体" w:hAnsi="宋体" w:eastAsia="宋体" w:cs="宋体"/>
          <w:bCs/>
          <w:snapToGrid w:val="0"/>
          <w:color w:val="auto"/>
          <w:sz w:val="24"/>
          <w:szCs w:val="24"/>
          <w:highlight w:val="none"/>
          <w:u w:val="single"/>
        </w:rPr>
        <w:t>预算</w:t>
      </w:r>
      <w:r>
        <w:rPr>
          <w:rFonts w:hint="eastAsia" w:ascii="宋体" w:hAnsi="宋体" w:cs="宋体"/>
          <w:bCs/>
          <w:snapToGrid w:val="0"/>
          <w:color w:val="auto"/>
          <w:sz w:val="24"/>
          <w:szCs w:val="24"/>
          <w:highlight w:val="none"/>
          <w:u w:val="single"/>
        </w:rPr>
        <w:t>中工程量清单综合单价及累计完成工程量对本次应支付进度款进行修正，具体为：本次应支付进度款=累计应支付进度款-累计已支付进度款。同时根据审定预算调整工人工资比例。</w:t>
      </w:r>
    </w:p>
    <w:p w14:paraId="6D9A04D8">
      <w:pPr>
        <w:pStyle w:val="3"/>
        <w:spacing w:line="360" w:lineRule="auto"/>
        <w:ind w:firstLine="424" w:firstLineChars="177"/>
        <w:rPr>
          <w:rFonts w:hint="eastAsia" w:ascii="宋体" w:hAnsi="宋体" w:cs="宋体"/>
          <w:color w:val="auto"/>
          <w:sz w:val="24"/>
          <w:highlight w:val="none"/>
        </w:rPr>
      </w:pPr>
      <w:r>
        <w:rPr>
          <w:rFonts w:hint="eastAsia" w:ascii="宋体" w:hAnsi="宋体" w:eastAsia="宋体" w:cs="宋体"/>
          <w:color w:val="auto"/>
          <w:sz w:val="24"/>
          <w:highlight w:val="none"/>
        </w:rPr>
        <w:t>③工程通过验收并经</w:t>
      </w:r>
      <w:r>
        <w:rPr>
          <w:rFonts w:hint="eastAsia" w:ascii="宋体" w:hAnsi="宋体" w:cs="宋体"/>
          <w:color w:val="auto"/>
          <w:sz w:val="24"/>
          <w:highlight w:val="none"/>
          <w:lang w:val="en-US" w:eastAsia="zh-CN"/>
        </w:rPr>
        <w:t>园区财政评审部门或其授权委托单位</w:t>
      </w:r>
      <w:r>
        <w:rPr>
          <w:rFonts w:hint="eastAsia" w:ascii="宋体" w:hAnsi="宋体" w:eastAsia="宋体" w:cs="宋体"/>
          <w:color w:val="auto"/>
          <w:sz w:val="24"/>
          <w:highlight w:val="none"/>
        </w:rPr>
        <w:t>审定施工结算后支付工程款（含绿色施工安全防护措施费）至结算价的97%；工程结算价款额度的3%作为质量保修金，待缺陷责任期结束后结清（不计利息）。</w:t>
      </w:r>
    </w:p>
    <w:p w14:paraId="10948A9B">
      <w:pPr>
        <w:numPr>
          <w:ilvl w:val="0"/>
          <w:numId w:val="1"/>
        </w:numPr>
        <w:snapToGrid w:val="0"/>
        <w:spacing w:line="360" w:lineRule="auto"/>
        <w:ind w:firstLine="424" w:firstLineChars="177"/>
        <w:rPr>
          <w:rFonts w:hint="eastAsia" w:ascii="宋体" w:hAnsi="宋体" w:eastAsia="宋体" w:cs="宋体"/>
          <w:color w:val="auto"/>
          <w:sz w:val="24"/>
          <w:szCs w:val="24"/>
          <w:highlight w:val="none"/>
        </w:rPr>
      </w:pPr>
      <w:r>
        <w:rPr>
          <w:rFonts w:ascii="宋体" w:hAnsi="宋体" w:cs="宋体"/>
          <w:color w:val="auto"/>
          <w:sz w:val="24"/>
          <w:highlight w:val="none"/>
        </w:rPr>
        <w:t>绿色施工安全防护措施费支付</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绿色施工安全防护措施费实行专款专用，</w:t>
      </w:r>
      <w:r>
        <w:rPr>
          <w:rFonts w:hint="eastAsia" w:ascii="宋体" w:hAnsi="宋体" w:cs="宋体"/>
          <w:color w:val="auto"/>
          <w:sz w:val="24"/>
          <w:szCs w:val="24"/>
          <w:highlight w:val="none"/>
          <w:lang w:val="en-US" w:eastAsia="zh-CN"/>
        </w:rPr>
        <w:t>预算审定</w:t>
      </w:r>
      <w:r>
        <w:rPr>
          <w:rFonts w:hint="eastAsia" w:ascii="宋体" w:hAnsi="宋体" w:eastAsia="宋体" w:cs="宋体"/>
          <w:color w:val="auto"/>
          <w:sz w:val="24"/>
          <w:szCs w:val="24"/>
          <w:highlight w:val="none"/>
        </w:rPr>
        <w:t>前，绿色施工安全防护措施费暂按建安工程费</w:t>
      </w:r>
      <w:r>
        <w:rPr>
          <w:rFonts w:hint="eastAsia" w:ascii="宋体" w:hAnsi="宋体" w:cs="宋体"/>
          <w:color w:val="auto"/>
          <w:sz w:val="24"/>
          <w:szCs w:val="24"/>
          <w:highlight w:val="none"/>
          <w:lang w:val="en-US" w:eastAsia="zh-CN"/>
        </w:rPr>
        <w:t>合同</w:t>
      </w:r>
      <w:r>
        <w:rPr>
          <w:rFonts w:hint="eastAsia" w:ascii="宋体" w:hAnsi="宋体" w:eastAsia="宋体" w:cs="宋体"/>
          <w:color w:val="auto"/>
          <w:sz w:val="24"/>
          <w:szCs w:val="24"/>
          <w:highlight w:val="none"/>
        </w:rPr>
        <w:t>价的3%计取</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预算审定</w:t>
      </w:r>
      <w:r>
        <w:rPr>
          <w:rFonts w:hint="eastAsia" w:ascii="宋体" w:hAnsi="宋体" w:eastAsia="宋体" w:cs="宋体"/>
          <w:color w:val="auto"/>
          <w:sz w:val="24"/>
          <w:szCs w:val="24"/>
          <w:highlight w:val="none"/>
        </w:rPr>
        <w:t>后，绿色施工安全防护措施费按本工程</w:t>
      </w:r>
      <w:r>
        <w:rPr>
          <w:rFonts w:hint="eastAsia" w:ascii="宋体" w:hAnsi="宋体" w:cs="宋体"/>
          <w:color w:val="auto"/>
          <w:sz w:val="24"/>
          <w:szCs w:val="24"/>
          <w:highlight w:val="none"/>
          <w:lang w:val="en-US" w:eastAsia="zh-CN"/>
        </w:rPr>
        <w:t>预算价</w:t>
      </w:r>
      <w:r>
        <w:rPr>
          <w:rFonts w:hint="eastAsia" w:ascii="宋体" w:hAnsi="宋体" w:eastAsia="宋体" w:cs="宋体"/>
          <w:color w:val="auto"/>
          <w:sz w:val="24"/>
          <w:szCs w:val="24"/>
          <w:highlight w:val="none"/>
        </w:rPr>
        <w:t>的绿色施工安全防护措施费用计取，</w:t>
      </w:r>
      <w:r>
        <w:rPr>
          <w:rFonts w:hint="eastAsia" w:ascii="宋体" w:hAnsi="宋体" w:cs="宋体"/>
          <w:color w:val="auto"/>
          <w:kern w:val="2"/>
          <w:sz w:val="24"/>
          <w:szCs w:val="24"/>
          <w:highlight w:val="none"/>
        </w:rPr>
        <w:t>根据《关于加强安全文明施工管理及措施费支付管理的通知》（穗开建管〔2015〕7号）及“穗建筑【2008】967号及“穗建筑【2018】981号”文规定，分阶段支付绿色施工安全防护措施费</w:t>
      </w:r>
      <w:r>
        <w:rPr>
          <w:rFonts w:hint="eastAsia" w:ascii="宋体" w:hAnsi="宋体" w:cs="宋体"/>
          <w:color w:val="auto"/>
          <w:sz w:val="24"/>
          <w:szCs w:val="24"/>
          <w:highlight w:val="none"/>
          <w:lang w:eastAsia="zh-CN"/>
        </w:rPr>
        <w:t>：</w:t>
      </w:r>
    </w:p>
    <w:p w14:paraId="24A83274">
      <w:pPr>
        <w:widowControl/>
        <w:numPr>
          <w:ilvl w:val="0"/>
          <w:numId w:val="0"/>
        </w:numPr>
        <w:snapToGrid w:val="0"/>
        <w:spacing w:before="0" w:beforeAutospacing="0" w:after="0" w:afterAutospacing="0" w:line="360" w:lineRule="auto"/>
        <w:ind w:firstLine="424" w:firstLineChars="177"/>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施工单位进场完成工地围墙、大门、临时设施、洗车槽、水枪、场内道路硬化、绿化、钢筋堆放点及加工场、垃圾收集点等部位的建设或布置后，由园区管委会相关、发包人、监理单位根据《广州市建设工程文明施工管理规定》、《广州市建设工程文明施工标准》等有关规定，对施工现场进行现场验收并拍照留存，《建设工程项目申办施工许可证安全文明施工现场查勘表》评为合格或以上且财政拨款到位后，支付绿色施工安全防护措施费的50%（预算审定前，绿色施工安全防护措施费暂按建安工程费合同价的3%计取）。</w:t>
      </w:r>
    </w:p>
    <w:p w14:paraId="2391478D">
      <w:pPr>
        <w:widowControl/>
        <w:numPr>
          <w:ilvl w:val="0"/>
          <w:numId w:val="0"/>
        </w:numPr>
        <w:snapToGrid w:val="0"/>
        <w:spacing w:before="0" w:beforeAutospacing="0" w:after="0" w:afterAutospacing="0" w:line="360" w:lineRule="auto"/>
        <w:ind w:firstLine="424" w:firstLineChars="177"/>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房建工程完成主体结构封顶、市政工程完成路基工作、其它工程完成合同约定工程量的60%后，再次按上述要求进行现场验收并拍照留存，《建筑工程安全中间检查评价表》评为合格或以上且财政拨款到位后，在施工图预算审定后累计支付至审定预算中绿色施工安全防护措施费的90%。</w:t>
      </w:r>
    </w:p>
    <w:p w14:paraId="1527154F">
      <w:pPr>
        <w:pStyle w:val="3"/>
        <w:spacing w:line="360" w:lineRule="auto"/>
        <w:ind w:firstLine="424" w:firstLineChars="177"/>
        <w:rPr>
          <w:rFonts w:hint="eastAsia" w:ascii="宋体" w:hAnsi="宋体" w:eastAsia="宋体" w:cs="宋体"/>
          <w:color w:val="auto"/>
          <w:kern w:val="2"/>
          <w:sz w:val="21"/>
          <w:szCs w:val="21"/>
          <w:highlight w:val="none"/>
          <w:lang w:val="en-US" w:eastAsia="zh-CN"/>
        </w:rPr>
      </w:pPr>
      <w:r>
        <w:rPr>
          <w:rFonts w:hint="eastAsia" w:ascii="宋体" w:hAnsi="宋体" w:cs="宋体"/>
          <w:color w:val="auto"/>
          <w:sz w:val="24"/>
          <w:szCs w:val="24"/>
          <w:highlight w:val="none"/>
          <w:lang w:val="en-US" w:eastAsia="zh-CN"/>
        </w:rPr>
        <w:t>3、工程完工，《建设工程施工安全评价书》评为合格或以上后，累计支付至审定预算中绿色施工安全防护措施费的100%。</w:t>
      </w: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1"/>
          <w:szCs w:val="21"/>
          <w:highlight w:val="none"/>
          <w:lang w:val="en-US" w:eastAsia="zh-CN"/>
        </w:rPr>
        <w:t xml:space="preserve">  </w:t>
      </w:r>
    </w:p>
    <w:p w14:paraId="7054A864">
      <w:pPr>
        <w:pStyle w:val="3"/>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园区财政评审部门或其授权委托单位</w:t>
      </w:r>
      <w:r>
        <w:rPr>
          <w:rFonts w:ascii="宋体" w:hAnsi="宋体" w:cs="宋体"/>
          <w:color w:val="auto"/>
          <w:sz w:val="24"/>
          <w:highlight w:val="none"/>
        </w:rPr>
        <w:t>审定本工程</w:t>
      </w:r>
      <w:r>
        <w:rPr>
          <w:rFonts w:hint="eastAsia" w:ascii="宋体" w:hAnsi="宋体" w:cs="宋体"/>
          <w:color w:val="auto"/>
          <w:sz w:val="24"/>
          <w:highlight w:val="none"/>
          <w:lang w:val="en-US" w:eastAsia="zh-CN"/>
        </w:rPr>
        <w:t>预</w:t>
      </w:r>
      <w:r>
        <w:rPr>
          <w:rFonts w:ascii="宋体" w:hAnsi="宋体" w:cs="宋体"/>
          <w:color w:val="auto"/>
          <w:sz w:val="24"/>
          <w:highlight w:val="none"/>
        </w:rPr>
        <w:t>算之前，绿色施工安全防护措施费暂按建安工程费</w:t>
      </w:r>
      <w:r>
        <w:rPr>
          <w:rFonts w:hint="eastAsia" w:ascii="宋体" w:hAnsi="宋体" w:cs="宋体"/>
          <w:color w:val="auto"/>
          <w:sz w:val="24"/>
          <w:highlight w:val="none"/>
          <w:lang w:val="en-US" w:eastAsia="zh-CN"/>
        </w:rPr>
        <w:t>合同</w:t>
      </w:r>
      <w:r>
        <w:rPr>
          <w:rFonts w:ascii="宋体" w:hAnsi="宋体" w:cs="宋体"/>
          <w:color w:val="auto"/>
          <w:sz w:val="24"/>
          <w:highlight w:val="none"/>
        </w:rPr>
        <w:t>价的3%计取及支付。审定</w:t>
      </w:r>
      <w:r>
        <w:rPr>
          <w:rFonts w:hint="eastAsia" w:ascii="宋体" w:hAnsi="宋体" w:cs="宋体"/>
          <w:color w:val="auto"/>
          <w:sz w:val="24"/>
          <w:highlight w:val="none"/>
          <w:lang w:val="en-US" w:eastAsia="zh-CN"/>
        </w:rPr>
        <w:t>预</w:t>
      </w:r>
      <w:r>
        <w:rPr>
          <w:rFonts w:ascii="宋体" w:hAnsi="宋体" w:cs="宋体"/>
          <w:color w:val="auto"/>
          <w:sz w:val="24"/>
          <w:highlight w:val="none"/>
        </w:rPr>
        <w:t>算之后，按</w:t>
      </w:r>
      <w:r>
        <w:rPr>
          <w:rFonts w:hint="eastAsia" w:ascii="宋体" w:hAnsi="宋体" w:cs="宋体"/>
          <w:color w:val="auto"/>
          <w:sz w:val="24"/>
          <w:highlight w:val="none"/>
        </w:rPr>
        <w:t>审定预算中绿色施工安全防护措施费</w:t>
      </w:r>
      <w:r>
        <w:rPr>
          <w:rFonts w:ascii="宋体" w:hAnsi="宋体" w:cs="宋体"/>
          <w:color w:val="auto"/>
          <w:sz w:val="24"/>
          <w:highlight w:val="none"/>
        </w:rPr>
        <w:t>计取及支付，并对已支付绿色施工安全防护措施费实行多还少补，如已支付的绿色施工安全防护措施费超出本工程应付的绿色施工安全防护措施费时，则在最近一次的本工程应付工程款中扣除相应超付的绿色施工安全防护措施费。</w:t>
      </w:r>
    </w:p>
    <w:p w14:paraId="623576BC">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2.工程实施阶段</w:t>
      </w:r>
    </w:p>
    <w:p w14:paraId="10742B3E">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实行限额设计。要求承包人按照批准的可行性研究报告的投资估算控制初步设计,同时各专业在保证达到使用功能的前提下,按分配的投资限额控制设计,确保不超最高投标限价。严格执行概算、预算、结算、决算的基建审批程序，合理确定和有效控制建设成本。</w:t>
      </w:r>
    </w:p>
    <w:p w14:paraId="0D84E7B7">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（2）严格控制设计变更及现场签证。要求承包人充分发挥设计施工总承包的优势，于设计前期工作阶段尽可能优化设计方案，减少施工过程中的设计变更及现场签证的发生。</w:t>
      </w:r>
    </w:p>
    <w:p w14:paraId="3F7A7310">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施工承包人</w:t>
      </w:r>
      <w:r>
        <w:rPr>
          <w:rFonts w:hint="eastAsia" w:ascii="宋体" w:hAnsi="宋体" w:eastAsia="宋体" w:cs="宋体"/>
          <w:color w:val="auto"/>
          <w:sz w:val="24"/>
          <w:szCs w:val="24"/>
          <w:highlight w:val="none"/>
        </w:rPr>
        <w:t>根据施工图编制工程预算，与设计承包人编制的工程概算建安费进行对比、查漏补缺，双方确认并经</w:t>
      </w:r>
      <w:r>
        <w:rPr>
          <w:rFonts w:hint="eastAsia" w:ascii="宋体" w:hAnsi="宋体" w:cs="宋体"/>
          <w:color w:val="auto"/>
          <w:sz w:val="24"/>
          <w:szCs w:val="24"/>
          <w:highlight w:val="none"/>
          <w:lang w:val="en-US" w:eastAsia="zh-CN"/>
        </w:rPr>
        <w:t>园区财政评审部门或其授权委托单位</w:t>
      </w:r>
      <w:r>
        <w:rPr>
          <w:rFonts w:hint="eastAsia" w:ascii="宋体" w:hAnsi="宋体" w:eastAsia="宋体" w:cs="宋体"/>
          <w:color w:val="auto"/>
          <w:sz w:val="24"/>
          <w:szCs w:val="24"/>
          <w:highlight w:val="none"/>
        </w:rPr>
        <w:t>审定的</w:t>
      </w:r>
      <w:r>
        <w:rPr>
          <w:rFonts w:hint="eastAsia" w:ascii="宋体" w:hAnsi="宋体" w:cs="宋体"/>
          <w:color w:val="auto"/>
          <w:sz w:val="24"/>
          <w:szCs w:val="24"/>
          <w:highlight w:val="none"/>
          <w:lang w:val="en-US" w:eastAsia="zh-CN"/>
        </w:rPr>
        <w:t>预算</w:t>
      </w:r>
      <w:r>
        <w:rPr>
          <w:rFonts w:hint="eastAsia" w:ascii="宋体" w:hAnsi="宋体" w:eastAsia="宋体" w:cs="宋体"/>
          <w:color w:val="auto"/>
          <w:sz w:val="24"/>
          <w:szCs w:val="24"/>
          <w:highlight w:val="none"/>
        </w:rPr>
        <w:t>作为合同暂定价调整的依据。调整原则为：①建安工程费中标下浮率=（1-建安工程费中标价格÷建安工程费最高投标限价）×100%；②分部分项工程的综合单价=审定的</w:t>
      </w:r>
      <w:r>
        <w:rPr>
          <w:rFonts w:hint="eastAsia" w:ascii="宋体" w:hAnsi="宋体" w:cs="宋体"/>
          <w:color w:val="auto"/>
          <w:sz w:val="24"/>
          <w:szCs w:val="24"/>
          <w:highlight w:val="none"/>
          <w:lang w:val="en-US" w:eastAsia="zh-CN"/>
        </w:rPr>
        <w:t>预算</w:t>
      </w:r>
      <w:r>
        <w:rPr>
          <w:rFonts w:hint="eastAsia" w:ascii="宋体" w:hAnsi="宋体" w:eastAsia="宋体" w:cs="宋体"/>
          <w:color w:val="auto"/>
          <w:sz w:val="24"/>
          <w:szCs w:val="24"/>
          <w:highlight w:val="none"/>
        </w:rPr>
        <w:t>分部分项工程综合单价×（1-中标下浮率），结算时综合单价包干、工程量按实计算；③措施项目费除不可竞争费用“绿色施工安全防护措施费”外，其他均执行中标下浮率。以审定</w:t>
      </w:r>
      <w:r>
        <w:rPr>
          <w:rFonts w:hint="eastAsia" w:ascii="宋体" w:hAnsi="宋体" w:cs="宋体"/>
          <w:color w:val="auto"/>
          <w:sz w:val="24"/>
          <w:szCs w:val="24"/>
          <w:highlight w:val="none"/>
          <w:lang w:val="en-US" w:eastAsia="zh-CN"/>
        </w:rPr>
        <w:t>预算</w:t>
      </w:r>
      <w:r>
        <w:rPr>
          <w:rFonts w:hint="eastAsia" w:ascii="宋体" w:hAnsi="宋体" w:eastAsia="宋体" w:cs="宋体"/>
          <w:color w:val="auto"/>
          <w:sz w:val="24"/>
          <w:szCs w:val="24"/>
          <w:highlight w:val="none"/>
        </w:rPr>
        <w:t>中对应部分的措施项目费为基础进行调整，调整后的措施项目费（除施工围蔽外）包干，施工围蔽按实结算；④其他项目费以审定</w:t>
      </w:r>
      <w:r>
        <w:rPr>
          <w:rFonts w:hint="eastAsia" w:ascii="宋体" w:hAnsi="宋体" w:cs="宋体"/>
          <w:color w:val="auto"/>
          <w:sz w:val="24"/>
          <w:szCs w:val="24"/>
          <w:highlight w:val="none"/>
          <w:lang w:val="en-US" w:eastAsia="zh-CN"/>
        </w:rPr>
        <w:t>预算</w:t>
      </w:r>
      <w:r>
        <w:rPr>
          <w:rFonts w:hint="eastAsia" w:ascii="宋体" w:hAnsi="宋体" w:eastAsia="宋体" w:cs="宋体"/>
          <w:color w:val="auto"/>
          <w:sz w:val="24"/>
          <w:szCs w:val="24"/>
          <w:highlight w:val="none"/>
        </w:rPr>
        <w:t>中的相应项目费率执行；⑤税金按国家规定费率计算。</w:t>
      </w:r>
    </w:p>
    <w:p w14:paraId="64461E49">
      <w:pPr>
        <w:snapToGrid w:val="0"/>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3.工程预算编审：原则上承包人只可申报一次完整的工程预算，</w:t>
      </w:r>
      <w:r>
        <w:rPr>
          <w:rFonts w:hint="eastAsia" w:ascii="宋体" w:hAnsi="宋体" w:cs="宋体"/>
          <w:color w:val="auto"/>
          <w:sz w:val="24"/>
          <w:szCs w:val="24"/>
          <w:highlight w:val="none"/>
          <w:lang w:val="en-US" w:eastAsia="zh-CN"/>
        </w:rPr>
        <w:t>工程预算送审价</w:t>
      </w:r>
      <w:r>
        <w:rPr>
          <w:rFonts w:hint="eastAsia" w:ascii="宋体" w:hAnsi="宋体" w:eastAsia="宋体" w:cs="宋体"/>
          <w:color w:val="auto"/>
          <w:sz w:val="24"/>
          <w:szCs w:val="24"/>
          <w:highlight w:val="none"/>
        </w:rPr>
        <w:t>不得高于建安工程</w:t>
      </w:r>
      <w:r>
        <w:rPr>
          <w:rFonts w:hint="eastAsia" w:ascii="宋体" w:hAnsi="宋体" w:cs="宋体"/>
          <w:color w:val="auto"/>
          <w:sz w:val="24"/>
          <w:szCs w:val="24"/>
          <w:highlight w:val="none"/>
          <w:lang w:val="en-US" w:eastAsia="zh-CN"/>
        </w:rPr>
        <w:t>合同价</w:t>
      </w:r>
      <w:r>
        <w:rPr>
          <w:rFonts w:hint="eastAsia" w:ascii="宋体" w:hAnsi="宋体" w:eastAsia="宋体" w:cs="宋体"/>
          <w:color w:val="auto"/>
          <w:sz w:val="24"/>
          <w:szCs w:val="24"/>
          <w:highlight w:val="none"/>
        </w:rPr>
        <w:t>。如因项目特殊情况确须分次或分段申报工程预算并进行工程款支付的，应报</w:t>
      </w:r>
      <w:r>
        <w:rPr>
          <w:rFonts w:hint="eastAsia" w:ascii="宋体" w:hAnsi="宋体" w:cs="宋体"/>
          <w:color w:val="auto"/>
          <w:sz w:val="24"/>
          <w:szCs w:val="24"/>
          <w:highlight w:val="none"/>
          <w:lang w:eastAsia="zh-CN"/>
        </w:rPr>
        <w:t>发包人</w:t>
      </w:r>
      <w:r>
        <w:rPr>
          <w:rFonts w:hint="eastAsia" w:ascii="宋体" w:hAnsi="宋体" w:eastAsia="宋体" w:cs="宋体"/>
          <w:color w:val="auto"/>
          <w:sz w:val="24"/>
          <w:szCs w:val="24"/>
          <w:highlight w:val="none"/>
        </w:rPr>
        <w:t>会议研究决定具体的申报拆分原则，累次申报造价合计不得高于建安工程费合同价。在图纸稳定且施工图审查完成之后，</w:t>
      </w:r>
      <w:r>
        <w:rPr>
          <w:rFonts w:hint="eastAsia" w:ascii="宋体" w:hAnsi="宋体" w:cs="宋体"/>
          <w:color w:val="auto"/>
          <w:sz w:val="24"/>
          <w:szCs w:val="24"/>
          <w:highlight w:val="none"/>
          <w:lang w:val="en-US" w:eastAsia="zh-CN"/>
        </w:rPr>
        <w:t>施工</w:t>
      </w:r>
      <w:r>
        <w:rPr>
          <w:rFonts w:hint="eastAsia" w:ascii="宋体" w:hAnsi="宋体" w:eastAsia="宋体" w:cs="宋体"/>
          <w:color w:val="auto"/>
          <w:sz w:val="24"/>
          <w:szCs w:val="24"/>
          <w:highlight w:val="none"/>
        </w:rPr>
        <w:t>承包人需在一个月之内报送工程</w:t>
      </w:r>
      <w:r>
        <w:rPr>
          <w:rFonts w:hint="eastAsia" w:ascii="宋体" w:hAnsi="宋体" w:cs="宋体"/>
          <w:color w:val="auto"/>
          <w:sz w:val="24"/>
          <w:szCs w:val="24"/>
          <w:highlight w:val="none"/>
          <w:lang w:val="en-US" w:eastAsia="zh-CN"/>
        </w:rPr>
        <w:t>预</w:t>
      </w:r>
      <w:r>
        <w:rPr>
          <w:rFonts w:hint="eastAsia" w:ascii="宋体" w:hAnsi="宋体" w:eastAsia="宋体" w:cs="宋体"/>
          <w:color w:val="auto"/>
          <w:sz w:val="24"/>
          <w:szCs w:val="24"/>
          <w:highlight w:val="none"/>
        </w:rPr>
        <w:t>算到</w:t>
      </w:r>
      <w:r>
        <w:rPr>
          <w:rFonts w:hint="eastAsia" w:ascii="宋体" w:hAnsi="宋体" w:cs="宋体"/>
          <w:color w:val="auto"/>
          <w:sz w:val="24"/>
          <w:szCs w:val="24"/>
          <w:highlight w:val="none"/>
          <w:lang w:eastAsia="zh-CN"/>
        </w:rPr>
        <w:t>发包人</w:t>
      </w:r>
      <w:r>
        <w:rPr>
          <w:rFonts w:hint="eastAsia" w:ascii="宋体" w:hAnsi="宋体" w:eastAsia="宋体" w:cs="宋体"/>
          <w:color w:val="auto"/>
          <w:sz w:val="24"/>
          <w:szCs w:val="24"/>
          <w:highlight w:val="none"/>
        </w:rPr>
        <w:t>审核，已经审核确认的部分，如发生工程内容的变化，应在</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审定工程</w:t>
      </w:r>
      <w:r>
        <w:rPr>
          <w:rFonts w:hint="eastAsia" w:ascii="宋体" w:hAnsi="宋体" w:cs="宋体"/>
          <w:color w:val="auto"/>
          <w:sz w:val="24"/>
          <w:szCs w:val="24"/>
          <w:highlight w:val="none"/>
          <w:lang w:val="en-US" w:eastAsia="zh-CN"/>
        </w:rPr>
        <w:t>预</w:t>
      </w:r>
      <w:r>
        <w:rPr>
          <w:rFonts w:hint="eastAsia" w:ascii="宋体" w:hAnsi="宋体" w:eastAsia="宋体" w:cs="宋体"/>
          <w:color w:val="auto"/>
          <w:sz w:val="24"/>
          <w:szCs w:val="24"/>
          <w:highlight w:val="none"/>
        </w:rPr>
        <w:t>算后，按合同约定的变更或签证计价原则，以变更或签证方式进行申报。</w:t>
      </w:r>
    </w:p>
    <w:p w14:paraId="6BEDEB57">
      <w:pPr>
        <w:snapToGrid w:val="0"/>
        <w:spacing w:line="360" w:lineRule="auto"/>
        <w:ind w:firstLine="424" w:firstLineChars="177"/>
        <w:rPr>
          <w:rFonts w:ascii="宋体" w:hAnsi="宋体" w:cs="宋体"/>
          <w:color w:val="auto"/>
          <w:sz w:val="24"/>
          <w:szCs w:val="24"/>
          <w:highlight w:val="none"/>
        </w:rPr>
      </w:pPr>
      <w:r>
        <w:rPr>
          <w:rFonts w:hint="eastAsia" w:ascii="宋体" w:hAnsi="宋体" w:eastAsia="宋体" w:cs="宋体"/>
          <w:color w:val="auto"/>
          <w:sz w:val="24"/>
          <w:szCs w:val="24"/>
          <w:highlight w:val="none"/>
        </w:rPr>
        <w:t>4.工程结算阶段</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结算送审严格执行基建程序中的审批流程。合同条款中约定工程结算应进行</w:t>
      </w:r>
      <w:r>
        <w:rPr>
          <w:rFonts w:hint="eastAsia" w:ascii="宋体" w:hAnsi="宋体" w:cs="宋体"/>
          <w:color w:val="auto"/>
          <w:sz w:val="24"/>
          <w:szCs w:val="24"/>
          <w:highlight w:val="none"/>
          <w:lang w:val="en-US" w:eastAsia="zh-CN"/>
        </w:rPr>
        <w:t>审核</w:t>
      </w:r>
      <w:r>
        <w:rPr>
          <w:rFonts w:hint="eastAsia" w:ascii="宋体" w:hAnsi="宋体" w:eastAsia="宋体" w:cs="宋体"/>
          <w:color w:val="auto"/>
          <w:sz w:val="24"/>
          <w:szCs w:val="24"/>
          <w:highlight w:val="none"/>
        </w:rPr>
        <w:t>，并以经</w:t>
      </w:r>
      <w:r>
        <w:rPr>
          <w:rFonts w:hint="eastAsia" w:ascii="宋体" w:hAnsi="宋体" w:cs="宋体"/>
          <w:color w:val="auto"/>
          <w:sz w:val="24"/>
          <w:szCs w:val="24"/>
          <w:highlight w:val="none"/>
          <w:lang w:val="en-US" w:eastAsia="zh-CN"/>
        </w:rPr>
        <w:t>园区财政评审部门或其授权委托单位审核</w:t>
      </w:r>
      <w:r>
        <w:rPr>
          <w:rFonts w:hint="eastAsia" w:ascii="宋体" w:hAnsi="宋体" w:eastAsia="宋体" w:cs="宋体"/>
          <w:color w:val="auto"/>
          <w:sz w:val="24"/>
          <w:szCs w:val="24"/>
          <w:highlight w:val="none"/>
        </w:rPr>
        <w:t>的工程结算价作为竣工结算价款拨付的依据。</w:t>
      </w:r>
    </w:p>
    <w:p w14:paraId="3FC0414D">
      <w:pPr>
        <w:snapToGrid w:val="0"/>
        <w:spacing w:line="360" w:lineRule="auto"/>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六、组成合同的文件</w:t>
      </w:r>
    </w:p>
    <w:p w14:paraId="397D24CA">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组成本合同的文件包括：</w:t>
      </w:r>
    </w:p>
    <w:p w14:paraId="061C676D">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1.本合同履行期间发包人与承包人双方签订的补充合同（协议）或修正文件；</w:t>
      </w:r>
    </w:p>
    <w:p w14:paraId="283F1146">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2.本合同协议书；</w:t>
      </w:r>
    </w:p>
    <w:p w14:paraId="73F398B9">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3.国家、广东省、</w:t>
      </w:r>
      <w:r>
        <w:rPr>
          <w:rFonts w:hint="eastAsia" w:ascii="宋体" w:hAnsi="宋体" w:cs="宋体"/>
          <w:color w:val="auto"/>
          <w:sz w:val="24"/>
          <w:szCs w:val="24"/>
          <w:highlight w:val="none"/>
          <w:lang w:val="en-US" w:eastAsia="zh-CN"/>
        </w:rPr>
        <w:t>清远市、佛冈县、园区管委会</w:t>
      </w:r>
      <w:r>
        <w:rPr>
          <w:rFonts w:hint="eastAsia" w:ascii="宋体" w:hAnsi="宋体" w:cs="宋体"/>
          <w:color w:val="auto"/>
          <w:sz w:val="24"/>
          <w:szCs w:val="24"/>
          <w:highlight w:val="none"/>
        </w:rPr>
        <w:t>关于本工程勘察设计、施工的有关文件（发包人在收到后尽快通报给承包人）；</w:t>
      </w:r>
    </w:p>
    <w:p w14:paraId="78C1F1D2">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4.建设业主针对本工程建设管理的各项制度、规定；</w:t>
      </w:r>
    </w:p>
    <w:p w14:paraId="05119589">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5.中标通知书；</w:t>
      </w:r>
    </w:p>
    <w:p w14:paraId="1658EF51">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6.本合同设计部分合同条款，及本合同施工部分专用合同条款；</w:t>
      </w:r>
    </w:p>
    <w:p w14:paraId="3B6ED945">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7.招标文件及附件（包括补充、修改、澄清文件及答疑纪要等）；</w:t>
      </w:r>
    </w:p>
    <w:p w14:paraId="2F7CA6C0">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8.本合同施工部分通用合同条款；</w:t>
      </w:r>
    </w:p>
    <w:p w14:paraId="51B41B68">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9.投标文件及附件；</w:t>
      </w:r>
    </w:p>
    <w:p w14:paraId="72456DE5">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10.标准、规范和其他有关技术文件；</w:t>
      </w:r>
    </w:p>
    <w:p w14:paraId="3363DE48">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11.图纸；</w:t>
      </w:r>
    </w:p>
    <w:p w14:paraId="6075DEB7">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12.工程量清单；</w:t>
      </w:r>
    </w:p>
    <w:p w14:paraId="44D6884E">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13.合同附件（工程质量保修责任书、标函承诺书、</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负责人驻场承诺书、工程建设廉政协议书等）；</w:t>
      </w:r>
    </w:p>
    <w:p w14:paraId="15D134B5">
      <w:pPr>
        <w:snapToGrid w:val="0"/>
        <w:spacing w:line="360" w:lineRule="auto"/>
        <w:ind w:firstLine="424" w:firstLineChars="177"/>
        <w:rPr>
          <w:rFonts w:ascii="宋体" w:hAnsi="宋体" w:cs="宋体"/>
          <w:bCs/>
          <w:color w:val="auto"/>
          <w:sz w:val="24"/>
          <w:szCs w:val="24"/>
          <w:highlight w:val="none"/>
        </w:rPr>
      </w:pPr>
      <w:r>
        <w:rPr>
          <w:rFonts w:hint="eastAsia" w:ascii="宋体" w:hAnsi="宋体" w:cs="宋体"/>
          <w:color w:val="auto"/>
          <w:sz w:val="24"/>
          <w:szCs w:val="24"/>
          <w:highlight w:val="none"/>
        </w:rPr>
        <w:t>双方有关工程的洽商、变更等书面协议或文件视为本合同的组成部分。</w:t>
      </w:r>
    </w:p>
    <w:p w14:paraId="45470808">
      <w:pPr>
        <w:snapToGrid w:val="0"/>
        <w:spacing w:line="360" w:lineRule="auto"/>
        <w:ind w:firstLine="426" w:firstLineChars="177"/>
        <w:rPr>
          <w:rFonts w:ascii="宋体" w:hAnsi="宋体" w:cs="宋体"/>
          <w:bCs/>
          <w:color w:val="auto"/>
          <w:sz w:val="24"/>
          <w:szCs w:val="24"/>
          <w:highlight w:val="none"/>
        </w:rPr>
      </w:pPr>
      <w:r>
        <w:rPr>
          <w:rFonts w:hint="eastAsia" w:ascii="宋体" w:hAnsi="宋体" w:cs="宋体"/>
          <w:b/>
          <w:bCs/>
          <w:color w:val="auto"/>
          <w:sz w:val="24"/>
          <w:szCs w:val="24"/>
          <w:highlight w:val="none"/>
        </w:rPr>
        <w:t>七、承包人向发包人承诺按照合同约定进行勘察、设计、施工、竣工并在质量保修期内承担工程质量保修责任。</w:t>
      </w:r>
    </w:p>
    <w:p w14:paraId="28B4A6D4">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八、发包人向承包人承诺按照合同约定的期限和方式支付合同价款及其他应当支付的款项。</w:t>
      </w:r>
    </w:p>
    <w:p w14:paraId="02287751">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如本合同需缴纳合同印花税，承包人需在有关税务部门规定期限及结清本合同费用前，代缴按规定属发包人缴纳的部分，代缴后发包人按代缴金额实报实销。承包人未能按规定期限代缴印花税而产生滞纳金的，滞纳金由承包人承担。</w:t>
      </w:r>
    </w:p>
    <w:p w14:paraId="610B89DD">
      <w:pPr>
        <w:wordWrap w:val="0"/>
        <w:topLinePunct/>
        <w:adjustRightInd w:val="0"/>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十、如承包人为联合体，本合同协议书部分由联合体共同签订、本合同由联合体共同加盖骑缝章；本合同第二部分勘察合同由联合体授权负责勘察工作的联合体成员负责签订，本合同第三部分设计合同由联合体授权负责设计工作的联合体成员负责签订，本合同第四部分施工合同由联合体授权负责施工的联合体成员负责签订，以上授权需在联合体协议中明确；承包人收取款项时，</w:t>
      </w:r>
      <w:r>
        <w:rPr>
          <w:rFonts w:hint="eastAsia" w:ascii="宋体" w:hAnsi="宋体" w:cs="宋体"/>
          <w:color w:val="auto"/>
          <w:sz w:val="24"/>
          <w:szCs w:val="24"/>
          <w:highlight w:val="none"/>
        </w:rPr>
        <w:t>可由联合体各方分别收取相应款项，</w:t>
      </w:r>
      <w:r>
        <w:rPr>
          <w:rFonts w:hint="eastAsia" w:ascii="宋体" w:hAnsi="宋体" w:cs="宋体"/>
          <w:color w:val="auto"/>
          <w:sz w:val="24"/>
          <w:szCs w:val="24"/>
          <w:highlight w:val="none"/>
        </w:rPr>
        <w:t>但在合同实施过程中如发生联合体成员不能履行合同等违约行为的，发包人有权要求联合体任一成员单位履行合同全部义务并将款项直接支付给履行合同义务的联合体成员。</w:t>
      </w:r>
    </w:p>
    <w:p w14:paraId="08D7A622">
      <w:pPr>
        <w:wordWrap w:val="0"/>
        <w:topLinePunct/>
        <w:adjustRightInd w:val="0"/>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十一、特别条款</w:t>
      </w:r>
    </w:p>
    <w:p w14:paraId="7AA743E8">
      <w:pPr>
        <w:wordWrap w:val="0"/>
        <w:topLinePunct/>
        <w:adjustRightInd w:val="0"/>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1、本项目如因征地拆迁或其它原因无法按期提供项目用地导致项目取消实施或工期延后较多，或因规划调整导致项目取消实施，或因发包人原因导致本项目规模缩小或大幅调减工程量的，</w:t>
      </w:r>
      <w:r>
        <w:rPr>
          <w:rFonts w:hint="eastAsia" w:ascii="宋体" w:hAnsi="宋体" w:cs="宋体"/>
          <w:color w:val="auto"/>
          <w:sz w:val="24"/>
          <w:szCs w:val="24"/>
          <w:highlight w:val="none"/>
          <w:lang w:val="en-US" w:eastAsia="zh-CN"/>
        </w:rPr>
        <w:t>或经园区管委会同意，取消项目实施的，</w:t>
      </w:r>
      <w:r>
        <w:rPr>
          <w:rFonts w:hint="eastAsia" w:ascii="宋体" w:hAnsi="宋体" w:cs="宋体"/>
          <w:color w:val="auto"/>
          <w:sz w:val="24"/>
          <w:szCs w:val="24"/>
          <w:highlight w:val="none"/>
        </w:rPr>
        <w:t>发包人均按承包人实际完成的工作量结算费用，不另行给予承包人任何补偿。</w:t>
      </w:r>
    </w:p>
    <w:p w14:paraId="308DC9FC">
      <w:pPr>
        <w:wordWrap w:val="0"/>
        <w:topLinePunct/>
        <w:adjustRightInd w:val="0"/>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2、承包人需经发包人通知后方可就本项目开展施工前期准备工作，否则，如项目取消或部分取消实施，承包人不得以已开展前期准备工作要求发包人给予任何补偿。</w:t>
      </w:r>
    </w:p>
    <w:p w14:paraId="06ACC97D">
      <w:pPr>
        <w:spacing w:after="120"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3、如承包人及承包人的</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市场监督管理机关在国家企业信用信息公示系统中列入严重违法失信名单或被黄埔区、广州开发区公安、城管、住建、交通、水务、规自等部门列入黑名单、不良行为记录（处罚有效期内）的，经发包人核实，发包人有权终止合同。</w:t>
      </w:r>
    </w:p>
    <w:p w14:paraId="302E2BA5">
      <w:pPr>
        <w:spacing w:after="120"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市场监督管理机关在国家企业信用信息公示系统中列入严重违法失信名单或被黄埔区、广州开发区公安、城管、住建、交通、水务、规自等部门列入黑名单、不良行为记录（处罚有效期内）的单位或个体经营者运输的，经发包人核实，发包人有权终止合同。</w:t>
      </w:r>
    </w:p>
    <w:p w14:paraId="411E070E">
      <w:pPr>
        <w:spacing w:line="360" w:lineRule="auto"/>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5、承包人应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72CF17E9">
      <w:pPr>
        <w:spacing w:line="360" w:lineRule="auto"/>
        <w:ind w:firstLine="424" w:firstLineChars="177"/>
        <w:rPr>
          <w:rFonts w:ascii="宋体" w:hAnsi="宋体" w:cs="宋体"/>
          <w:b w:val="0"/>
          <w:bCs/>
          <w:color w:val="auto"/>
          <w:sz w:val="24"/>
          <w:szCs w:val="24"/>
          <w:highlight w:val="none"/>
        </w:rPr>
      </w:pPr>
      <w:r>
        <w:rPr>
          <w:rFonts w:hint="eastAsia" w:ascii="宋体" w:hAnsi="宋体" w:cs="宋体"/>
          <w:b w:val="0"/>
          <w:bCs/>
          <w:color w:val="auto"/>
          <w:sz w:val="24"/>
          <w:szCs w:val="24"/>
          <w:highlight w:val="none"/>
        </w:rPr>
        <w:t>6、工程总承包综合协调管理。本项目实行以</w:t>
      </w:r>
      <w:r>
        <w:rPr>
          <w:rFonts w:hint="eastAsia" w:ascii="宋体" w:hAnsi="宋体" w:cs="宋体"/>
          <w:b w:val="0"/>
          <w:bCs/>
          <w:color w:val="auto"/>
          <w:sz w:val="24"/>
          <w:szCs w:val="24"/>
          <w:highlight w:val="none"/>
          <w:lang w:val="en-US" w:eastAsia="zh-CN"/>
        </w:rPr>
        <w:t>施工</w:t>
      </w:r>
      <w:r>
        <w:rPr>
          <w:rFonts w:hint="eastAsia" w:ascii="宋体" w:hAnsi="宋体" w:cs="宋体"/>
          <w:b w:val="0"/>
          <w:bCs/>
          <w:color w:val="auto"/>
          <w:sz w:val="24"/>
          <w:szCs w:val="24"/>
          <w:highlight w:val="none"/>
        </w:rPr>
        <w:t>单位牵头的勘察设计施工工程总承包模式，</w:t>
      </w:r>
      <w:r>
        <w:rPr>
          <w:rFonts w:hint="eastAsia" w:ascii="宋体" w:hAnsi="宋体" w:cs="宋体"/>
          <w:b w:val="0"/>
          <w:bCs/>
          <w:color w:val="auto"/>
          <w:sz w:val="24"/>
          <w:szCs w:val="24"/>
          <w:highlight w:val="none"/>
          <w:lang w:val="en-US" w:eastAsia="zh-CN"/>
        </w:rPr>
        <w:t>施工</w:t>
      </w:r>
      <w:r>
        <w:rPr>
          <w:rFonts w:hint="eastAsia" w:ascii="宋体" w:hAnsi="宋体" w:cs="宋体"/>
          <w:b w:val="0"/>
          <w:bCs/>
          <w:color w:val="auto"/>
          <w:sz w:val="24"/>
          <w:szCs w:val="24"/>
          <w:highlight w:val="none"/>
        </w:rPr>
        <w:t>单位应牵头组建工程总承包管理团队，做好项目勘察、设计、施工全过程总协调及管理工作。除负责本项目的</w:t>
      </w:r>
      <w:r>
        <w:rPr>
          <w:rFonts w:hint="eastAsia" w:ascii="宋体" w:hAnsi="宋体" w:cs="宋体"/>
          <w:b w:val="0"/>
          <w:bCs/>
          <w:color w:val="auto"/>
          <w:sz w:val="24"/>
          <w:szCs w:val="24"/>
          <w:highlight w:val="none"/>
          <w:lang w:val="en-US" w:eastAsia="zh-CN"/>
        </w:rPr>
        <w:t>施工</w:t>
      </w:r>
      <w:r>
        <w:rPr>
          <w:rFonts w:hint="eastAsia" w:ascii="宋体" w:hAnsi="宋体" w:cs="宋体"/>
          <w:b w:val="0"/>
          <w:bCs/>
          <w:color w:val="auto"/>
          <w:sz w:val="24"/>
          <w:szCs w:val="24"/>
          <w:highlight w:val="none"/>
        </w:rPr>
        <w:t>外，还对本招标项目的进度、质量、安全、投资控制、管理、协调等负全责。</w:t>
      </w:r>
    </w:p>
    <w:p w14:paraId="7DFDCE4E">
      <w:pPr>
        <w:snapToGrid w:val="0"/>
        <w:spacing w:line="360" w:lineRule="auto"/>
        <w:ind w:firstLine="426" w:firstLineChars="177"/>
        <w:rPr>
          <w:rFonts w:ascii="宋体" w:hAnsi="宋体" w:cs="宋体"/>
          <w:b/>
          <w:bCs/>
          <w:color w:val="auto"/>
          <w:sz w:val="24"/>
          <w:szCs w:val="24"/>
          <w:highlight w:val="none"/>
        </w:rPr>
      </w:pPr>
      <w:r>
        <w:rPr>
          <w:rFonts w:hint="eastAsia" w:ascii="宋体" w:hAnsi="宋体" w:cs="宋体"/>
          <w:b/>
          <w:bCs/>
          <w:color w:val="auto"/>
          <w:sz w:val="24"/>
          <w:szCs w:val="24"/>
          <w:highlight w:val="none"/>
        </w:rPr>
        <w:t>十二、合同生效</w:t>
      </w:r>
    </w:p>
    <w:p w14:paraId="066B83AC">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合同订立时间：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9F27558">
      <w:pPr>
        <w:snapToGrid w:val="0"/>
        <w:spacing w:line="360" w:lineRule="auto"/>
        <w:ind w:firstLine="424" w:firstLineChars="177"/>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合同订立地点：</w:t>
      </w:r>
      <w:r>
        <w:rPr>
          <w:rFonts w:hint="eastAsia" w:ascii="宋体" w:hAnsi="宋体" w:cs="宋体"/>
          <w:color w:val="auto"/>
          <w:sz w:val="24"/>
          <w:szCs w:val="24"/>
          <w:highlight w:val="none"/>
          <w:u w:val="single"/>
          <w:lang w:val="en-US" w:eastAsia="zh-CN"/>
        </w:rPr>
        <w:t xml:space="preserve">    </w:t>
      </w:r>
    </w:p>
    <w:p w14:paraId="3B0D419B">
      <w:pPr>
        <w:snapToGrid w:val="0"/>
        <w:spacing w:line="360" w:lineRule="auto"/>
        <w:ind w:firstLine="424" w:firstLineChars="177"/>
        <w:rPr>
          <w:rFonts w:ascii="宋体" w:hAnsi="宋体"/>
          <w:b/>
          <w:bCs/>
          <w:color w:val="auto"/>
          <w:sz w:val="32"/>
          <w:szCs w:val="32"/>
          <w:highlight w:val="none"/>
        </w:rPr>
      </w:pPr>
      <w:r>
        <w:rPr>
          <w:rFonts w:hint="eastAsia" w:ascii="宋体" w:hAnsi="宋体" w:cs="宋体"/>
          <w:color w:val="auto"/>
          <w:sz w:val="24"/>
          <w:szCs w:val="24"/>
          <w:highlight w:val="none"/>
        </w:rPr>
        <w:t>本合同双方约定：</w:t>
      </w:r>
      <w:r>
        <w:rPr>
          <w:rFonts w:hint="eastAsia" w:ascii="宋体" w:hAnsi="宋体" w:cs="宋体"/>
          <w:color w:val="auto"/>
          <w:sz w:val="24"/>
          <w:szCs w:val="24"/>
          <w:highlight w:val="none"/>
          <w:u w:val="single"/>
        </w:rPr>
        <w:t>双方签名、盖章并在承包人提交施工履约担保后生效。本合同正本一式</w:t>
      </w:r>
      <w:r>
        <w:rPr>
          <w:rFonts w:hint="eastAsia" w:ascii="宋体" w:hAnsi="宋体" w:cs="宋体"/>
          <w:color w:val="auto"/>
          <w:sz w:val="24"/>
          <w:szCs w:val="24"/>
          <w:highlight w:val="none"/>
          <w:u w:val="single"/>
          <w:lang w:val="en-US" w:eastAsia="zh-CN"/>
        </w:rPr>
        <w:t>肆</w:t>
      </w:r>
      <w:r>
        <w:rPr>
          <w:rFonts w:hint="eastAsia" w:ascii="宋体" w:hAnsi="宋体" w:cs="宋体"/>
          <w:color w:val="auto"/>
          <w:sz w:val="24"/>
          <w:szCs w:val="24"/>
          <w:highlight w:val="none"/>
          <w:u w:val="single"/>
        </w:rPr>
        <w:t>份，发包人、承包人各执一份；副本十一份，发包人执五份，承包人各执三份。</w:t>
      </w:r>
    </w:p>
    <w:p w14:paraId="7E2EA8D0">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本页为签署页</w:t>
      </w:r>
      <w:r>
        <w:rPr>
          <w:rFonts w:hint="eastAsia" w:ascii="宋体" w:hAnsi="宋体" w:cs="宋体"/>
          <w:color w:val="auto"/>
          <w:sz w:val="24"/>
          <w:szCs w:val="24"/>
          <w:highlight w:val="none"/>
          <w:lang w:eastAsia="zh-CN"/>
        </w:rPr>
        <w:t>）</w:t>
      </w:r>
    </w:p>
    <w:p w14:paraId="450C2D65">
      <w:pPr>
        <w:pStyle w:val="5"/>
        <w:rPr>
          <w:rFonts w:hint="eastAsia"/>
          <w:color w:val="auto"/>
          <w:highlight w:val="none"/>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2493"/>
        <w:gridCol w:w="1984"/>
        <w:gridCol w:w="2259"/>
      </w:tblGrid>
      <w:tr w14:paraId="5DCA6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37C6605D">
            <w:pPr>
              <w:jc w:val="both"/>
              <w:rPr>
                <w:rFonts w:hint="eastAsia" w:ascii="宋体" w:hAnsi="宋体" w:cs="宋体"/>
                <w:color w:val="auto"/>
                <w:sz w:val="24"/>
                <w:szCs w:val="24"/>
                <w:highlight w:val="none"/>
                <w:vertAlign w:val="baseline"/>
              </w:rPr>
            </w:pPr>
            <w:r>
              <w:rPr>
                <w:rFonts w:hint="eastAsia" w:ascii="宋体" w:hAnsi="宋体" w:cs="宋体"/>
                <w:b w:val="0"/>
                <w:bCs w:val="0"/>
                <w:color w:val="auto"/>
                <w:sz w:val="24"/>
                <w:szCs w:val="24"/>
                <w:highlight w:val="none"/>
              </w:rPr>
              <w:t>发包人</w:t>
            </w:r>
            <w:r>
              <w:rPr>
                <w:rFonts w:hint="eastAsia" w:ascii="宋体" w:hAnsi="宋体" w:eastAsia="宋体" w:cs="宋体"/>
                <w:b w:val="0"/>
                <w:bCs w:val="0"/>
                <w:color w:val="auto"/>
                <w:sz w:val="24"/>
                <w:szCs w:val="24"/>
                <w:highlight w:val="none"/>
              </w:rPr>
              <w:t>：（盖章）</w:t>
            </w:r>
          </w:p>
        </w:tc>
        <w:tc>
          <w:tcPr>
            <w:tcW w:w="2493" w:type="dxa"/>
          </w:tcPr>
          <w:p w14:paraId="69C0A59E">
            <w:pPr>
              <w:jc w:val="left"/>
              <w:rPr>
                <w:rFonts w:hint="eastAsia" w:ascii="宋体" w:hAnsi="宋体" w:cs="宋体"/>
                <w:color w:val="auto"/>
                <w:sz w:val="24"/>
                <w:szCs w:val="24"/>
                <w:highlight w:val="none"/>
                <w:vertAlign w:val="baseline"/>
              </w:rPr>
            </w:pPr>
          </w:p>
        </w:tc>
        <w:tc>
          <w:tcPr>
            <w:tcW w:w="1984" w:type="dxa"/>
            <w:vAlign w:val="center"/>
          </w:tcPr>
          <w:p w14:paraId="2BA723CF">
            <w:pPr>
              <w:jc w:val="both"/>
              <w:rPr>
                <w:rFonts w:hint="eastAsia" w:ascii="宋体" w:hAnsi="宋体" w:cs="宋体"/>
                <w:color w:val="auto"/>
                <w:sz w:val="24"/>
                <w:szCs w:val="24"/>
                <w:highlight w:val="none"/>
                <w:vertAlign w:val="baseline"/>
              </w:rPr>
            </w:pPr>
            <w:r>
              <w:rPr>
                <w:rFonts w:hint="eastAsia" w:ascii="宋体" w:hAnsi="宋体" w:cs="宋体"/>
                <w:b w:val="0"/>
                <w:bCs w:val="0"/>
                <w:color w:val="auto"/>
                <w:sz w:val="24"/>
                <w:szCs w:val="24"/>
                <w:highlight w:val="none"/>
              </w:rPr>
              <w:t>承包人：（盖章）</w:t>
            </w:r>
          </w:p>
        </w:tc>
        <w:tc>
          <w:tcPr>
            <w:tcW w:w="2259" w:type="dxa"/>
          </w:tcPr>
          <w:p w14:paraId="2E8F4F42">
            <w:pPr>
              <w:jc w:val="left"/>
              <w:rPr>
                <w:rFonts w:hint="eastAsia" w:ascii="宋体" w:hAnsi="宋体" w:cs="宋体"/>
                <w:color w:val="auto"/>
                <w:sz w:val="24"/>
                <w:szCs w:val="24"/>
                <w:highlight w:val="none"/>
                <w:vertAlign w:val="baseline"/>
              </w:rPr>
            </w:pPr>
          </w:p>
        </w:tc>
      </w:tr>
      <w:tr w14:paraId="7654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260DFC3E">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住  所：</w:t>
            </w:r>
          </w:p>
        </w:tc>
        <w:tc>
          <w:tcPr>
            <w:tcW w:w="2493" w:type="dxa"/>
            <w:vAlign w:val="top"/>
          </w:tcPr>
          <w:p w14:paraId="28171855">
            <w:pPr>
              <w:jc w:val="left"/>
              <w:rPr>
                <w:rFonts w:hint="eastAsia" w:ascii="宋体" w:hAnsi="宋体" w:cs="宋体"/>
                <w:color w:val="auto"/>
                <w:sz w:val="24"/>
                <w:szCs w:val="24"/>
                <w:highlight w:val="none"/>
                <w:vertAlign w:val="baseline"/>
              </w:rPr>
            </w:pPr>
          </w:p>
        </w:tc>
        <w:tc>
          <w:tcPr>
            <w:tcW w:w="1984" w:type="dxa"/>
            <w:vAlign w:val="center"/>
          </w:tcPr>
          <w:p w14:paraId="5CA5E31C">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住  所：</w:t>
            </w:r>
          </w:p>
        </w:tc>
        <w:tc>
          <w:tcPr>
            <w:tcW w:w="2259" w:type="dxa"/>
            <w:vAlign w:val="top"/>
          </w:tcPr>
          <w:p w14:paraId="45561904">
            <w:pPr>
              <w:jc w:val="left"/>
              <w:rPr>
                <w:rFonts w:hint="eastAsia" w:ascii="宋体" w:hAnsi="宋体" w:cs="宋体"/>
                <w:color w:val="auto"/>
                <w:sz w:val="24"/>
                <w:szCs w:val="24"/>
                <w:highlight w:val="none"/>
                <w:vertAlign w:val="baseline"/>
              </w:rPr>
            </w:pPr>
          </w:p>
        </w:tc>
      </w:tr>
      <w:tr w14:paraId="22A7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49101B5F">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法定代表人：</w:t>
            </w:r>
          </w:p>
        </w:tc>
        <w:tc>
          <w:tcPr>
            <w:tcW w:w="2493" w:type="dxa"/>
            <w:vAlign w:val="top"/>
          </w:tcPr>
          <w:p w14:paraId="4B04F165">
            <w:pPr>
              <w:jc w:val="left"/>
              <w:rPr>
                <w:rFonts w:hint="eastAsia" w:ascii="宋体" w:hAnsi="宋体" w:cs="宋体"/>
                <w:color w:val="auto"/>
                <w:sz w:val="24"/>
                <w:szCs w:val="24"/>
                <w:highlight w:val="none"/>
                <w:vertAlign w:val="baseline"/>
              </w:rPr>
            </w:pPr>
          </w:p>
        </w:tc>
        <w:tc>
          <w:tcPr>
            <w:tcW w:w="1984" w:type="dxa"/>
            <w:vAlign w:val="center"/>
          </w:tcPr>
          <w:p w14:paraId="528FFB19">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法定代表人：</w:t>
            </w:r>
          </w:p>
        </w:tc>
        <w:tc>
          <w:tcPr>
            <w:tcW w:w="2259" w:type="dxa"/>
            <w:vAlign w:val="top"/>
          </w:tcPr>
          <w:p w14:paraId="48701F5F">
            <w:pPr>
              <w:jc w:val="left"/>
              <w:rPr>
                <w:rFonts w:hint="eastAsia" w:ascii="宋体" w:hAnsi="宋体" w:cs="宋体"/>
                <w:color w:val="auto"/>
                <w:sz w:val="24"/>
                <w:szCs w:val="24"/>
                <w:highlight w:val="none"/>
                <w:vertAlign w:val="baseline"/>
              </w:rPr>
            </w:pPr>
          </w:p>
        </w:tc>
      </w:tr>
      <w:tr w14:paraId="54EF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508095B3">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委托代理人：</w:t>
            </w:r>
          </w:p>
        </w:tc>
        <w:tc>
          <w:tcPr>
            <w:tcW w:w="2493" w:type="dxa"/>
            <w:vAlign w:val="top"/>
          </w:tcPr>
          <w:p w14:paraId="34A6406E">
            <w:pPr>
              <w:jc w:val="left"/>
              <w:rPr>
                <w:rFonts w:hint="eastAsia" w:ascii="宋体" w:hAnsi="宋体" w:cs="宋体"/>
                <w:color w:val="auto"/>
                <w:sz w:val="24"/>
                <w:szCs w:val="24"/>
                <w:highlight w:val="none"/>
                <w:vertAlign w:val="baseline"/>
              </w:rPr>
            </w:pPr>
          </w:p>
        </w:tc>
        <w:tc>
          <w:tcPr>
            <w:tcW w:w="1984" w:type="dxa"/>
            <w:vAlign w:val="center"/>
          </w:tcPr>
          <w:p w14:paraId="16214EAF">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委托代理人：</w:t>
            </w:r>
          </w:p>
        </w:tc>
        <w:tc>
          <w:tcPr>
            <w:tcW w:w="2259" w:type="dxa"/>
            <w:vAlign w:val="top"/>
          </w:tcPr>
          <w:p w14:paraId="268B5EFC">
            <w:pPr>
              <w:jc w:val="left"/>
              <w:rPr>
                <w:rFonts w:hint="eastAsia" w:ascii="宋体" w:hAnsi="宋体" w:cs="宋体"/>
                <w:color w:val="auto"/>
                <w:sz w:val="24"/>
                <w:szCs w:val="24"/>
                <w:highlight w:val="none"/>
                <w:vertAlign w:val="baseline"/>
              </w:rPr>
            </w:pPr>
          </w:p>
        </w:tc>
      </w:tr>
      <w:tr w14:paraId="1C2FE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7F22A9E4">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电    话：</w:t>
            </w:r>
          </w:p>
        </w:tc>
        <w:tc>
          <w:tcPr>
            <w:tcW w:w="2493" w:type="dxa"/>
            <w:vAlign w:val="top"/>
          </w:tcPr>
          <w:p w14:paraId="5FCF4C3C">
            <w:pPr>
              <w:jc w:val="left"/>
              <w:rPr>
                <w:rFonts w:hint="eastAsia" w:ascii="宋体" w:hAnsi="宋体" w:cs="宋体"/>
                <w:color w:val="auto"/>
                <w:sz w:val="24"/>
                <w:szCs w:val="24"/>
                <w:highlight w:val="none"/>
                <w:vertAlign w:val="baseline"/>
              </w:rPr>
            </w:pPr>
          </w:p>
        </w:tc>
        <w:tc>
          <w:tcPr>
            <w:tcW w:w="1984" w:type="dxa"/>
            <w:vAlign w:val="center"/>
          </w:tcPr>
          <w:p w14:paraId="3A84CE11">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电    话：</w:t>
            </w:r>
          </w:p>
        </w:tc>
        <w:tc>
          <w:tcPr>
            <w:tcW w:w="2259" w:type="dxa"/>
            <w:vAlign w:val="top"/>
          </w:tcPr>
          <w:p w14:paraId="0DB51FFD">
            <w:pPr>
              <w:jc w:val="left"/>
              <w:rPr>
                <w:rFonts w:hint="eastAsia" w:ascii="宋体" w:hAnsi="宋体" w:cs="宋体"/>
                <w:color w:val="auto"/>
                <w:sz w:val="24"/>
                <w:szCs w:val="24"/>
                <w:highlight w:val="none"/>
                <w:vertAlign w:val="baseline"/>
              </w:rPr>
            </w:pPr>
          </w:p>
        </w:tc>
      </w:tr>
      <w:tr w14:paraId="0BAC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5D33F9A8">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传    真：</w:t>
            </w:r>
          </w:p>
        </w:tc>
        <w:tc>
          <w:tcPr>
            <w:tcW w:w="2493" w:type="dxa"/>
            <w:vAlign w:val="top"/>
          </w:tcPr>
          <w:p w14:paraId="50F4DB47">
            <w:pPr>
              <w:jc w:val="left"/>
              <w:rPr>
                <w:rFonts w:hint="eastAsia" w:ascii="宋体" w:hAnsi="宋体" w:cs="宋体"/>
                <w:color w:val="auto"/>
                <w:sz w:val="24"/>
                <w:szCs w:val="24"/>
                <w:highlight w:val="none"/>
                <w:vertAlign w:val="baseline"/>
              </w:rPr>
            </w:pPr>
          </w:p>
        </w:tc>
        <w:tc>
          <w:tcPr>
            <w:tcW w:w="1984" w:type="dxa"/>
            <w:vAlign w:val="center"/>
          </w:tcPr>
          <w:p w14:paraId="0B13B33C">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传    真：</w:t>
            </w:r>
          </w:p>
        </w:tc>
        <w:tc>
          <w:tcPr>
            <w:tcW w:w="2259" w:type="dxa"/>
            <w:vAlign w:val="top"/>
          </w:tcPr>
          <w:p w14:paraId="3692B082">
            <w:pPr>
              <w:jc w:val="left"/>
              <w:rPr>
                <w:rFonts w:hint="eastAsia" w:ascii="宋体" w:hAnsi="宋体" w:cs="宋体"/>
                <w:color w:val="auto"/>
                <w:sz w:val="24"/>
                <w:szCs w:val="24"/>
                <w:highlight w:val="none"/>
                <w:vertAlign w:val="baseline"/>
              </w:rPr>
            </w:pPr>
          </w:p>
        </w:tc>
      </w:tr>
      <w:tr w14:paraId="14CD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4A8DAC1B">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开户银行：</w:t>
            </w:r>
          </w:p>
        </w:tc>
        <w:tc>
          <w:tcPr>
            <w:tcW w:w="2493" w:type="dxa"/>
            <w:vAlign w:val="top"/>
          </w:tcPr>
          <w:p w14:paraId="452AD9DD">
            <w:pPr>
              <w:jc w:val="left"/>
              <w:rPr>
                <w:rFonts w:hint="eastAsia" w:ascii="宋体" w:hAnsi="宋体" w:cs="宋体"/>
                <w:color w:val="auto"/>
                <w:sz w:val="24"/>
                <w:szCs w:val="24"/>
                <w:highlight w:val="none"/>
                <w:vertAlign w:val="baseline"/>
              </w:rPr>
            </w:pPr>
          </w:p>
        </w:tc>
        <w:tc>
          <w:tcPr>
            <w:tcW w:w="1984" w:type="dxa"/>
            <w:vAlign w:val="center"/>
          </w:tcPr>
          <w:p w14:paraId="4E42BA88">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开户银行：</w:t>
            </w:r>
          </w:p>
        </w:tc>
        <w:tc>
          <w:tcPr>
            <w:tcW w:w="2259" w:type="dxa"/>
            <w:vAlign w:val="top"/>
          </w:tcPr>
          <w:p w14:paraId="67E4C8F6">
            <w:pPr>
              <w:jc w:val="left"/>
              <w:rPr>
                <w:rFonts w:hint="eastAsia" w:ascii="宋体" w:hAnsi="宋体" w:cs="宋体"/>
                <w:color w:val="auto"/>
                <w:sz w:val="24"/>
                <w:szCs w:val="24"/>
                <w:highlight w:val="none"/>
                <w:vertAlign w:val="baseline"/>
              </w:rPr>
            </w:pPr>
          </w:p>
        </w:tc>
      </w:tr>
      <w:tr w14:paraId="7EDD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04466585">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帐    号：</w:t>
            </w:r>
          </w:p>
        </w:tc>
        <w:tc>
          <w:tcPr>
            <w:tcW w:w="2493" w:type="dxa"/>
            <w:vAlign w:val="top"/>
          </w:tcPr>
          <w:p w14:paraId="7962953F">
            <w:pPr>
              <w:jc w:val="left"/>
              <w:rPr>
                <w:rFonts w:hint="eastAsia" w:ascii="宋体" w:hAnsi="宋体" w:cs="宋体"/>
                <w:color w:val="auto"/>
                <w:sz w:val="24"/>
                <w:szCs w:val="24"/>
                <w:highlight w:val="none"/>
                <w:vertAlign w:val="baseline"/>
              </w:rPr>
            </w:pPr>
          </w:p>
        </w:tc>
        <w:tc>
          <w:tcPr>
            <w:tcW w:w="1984" w:type="dxa"/>
            <w:vAlign w:val="center"/>
          </w:tcPr>
          <w:p w14:paraId="5164FC39">
            <w:pPr>
              <w:jc w:val="both"/>
              <w:rPr>
                <w:rFonts w:hint="eastAsia" w:ascii="宋体" w:hAnsi="宋体" w:cs="宋体"/>
                <w:color w:val="auto"/>
                <w:sz w:val="24"/>
                <w:szCs w:val="24"/>
                <w:highlight w:val="none"/>
                <w:vertAlign w:val="baseline"/>
              </w:rPr>
            </w:pPr>
            <w:r>
              <w:rPr>
                <w:rFonts w:hint="eastAsia" w:ascii="宋体" w:hAnsi="宋体" w:cs="宋体"/>
                <w:color w:val="auto"/>
                <w:sz w:val="24"/>
                <w:szCs w:val="24"/>
                <w:highlight w:val="none"/>
              </w:rPr>
              <w:t>帐    号：</w:t>
            </w:r>
          </w:p>
        </w:tc>
        <w:tc>
          <w:tcPr>
            <w:tcW w:w="2259" w:type="dxa"/>
            <w:vAlign w:val="top"/>
          </w:tcPr>
          <w:p w14:paraId="203482CB">
            <w:pPr>
              <w:jc w:val="left"/>
              <w:rPr>
                <w:rFonts w:hint="eastAsia" w:ascii="宋体" w:hAnsi="宋体" w:cs="宋体"/>
                <w:color w:val="auto"/>
                <w:sz w:val="24"/>
                <w:szCs w:val="24"/>
                <w:highlight w:val="none"/>
                <w:vertAlign w:val="baseline"/>
              </w:rPr>
            </w:pPr>
          </w:p>
        </w:tc>
      </w:tr>
      <w:tr w14:paraId="6A234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4" w:type="dxa"/>
            <w:vAlign w:val="center"/>
          </w:tcPr>
          <w:p w14:paraId="4177A7A7">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493" w:type="dxa"/>
            <w:vAlign w:val="top"/>
          </w:tcPr>
          <w:p w14:paraId="6A19E684">
            <w:pPr>
              <w:jc w:val="left"/>
              <w:rPr>
                <w:rFonts w:hint="eastAsia" w:ascii="宋体" w:hAnsi="宋体" w:cs="宋体"/>
                <w:color w:val="auto"/>
                <w:sz w:val="24"/>
                <w:szCs w:val="24"/>
                <w:highlight w:val="none"/>
                <w:vertAlign w:val="baseline"/>
              </w:rPr>
            </w:pPr>
          </w:p>
        </w:tc>
        <w:tc>
          <w:tcPr>
            <w:tcW w:w="1984" w:type="dxa"/>
            <w:vAlign w:val="center"/>
          </w:tcPr>
          <w:p w14:paraId="06A0710E">
            <w:pPr>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259" w:type="dxa"/>
            <w:vAlign w:val="top"/>
          </w:tcPr>
          <w:p w14:paraId="509A19CE">
            <w:pPr>
              <w:jc w:val="left"/>
              <w:rPr>
                <w:rFonts w:hint="eastAsia" w:ascii="宋体" w:hAnsi="宋体" w:cs="宋体"/>
                <w:color w:val="auto"/>
                <w:sz w:val="24"/>
                <w:szCs w:val="24"/>
                <w:highlight w:val="none"/>
                <w:vertAlign w:val="baseline"/>
              </w:rPr>
            </w:pPr>
          </w:p>
        </w:tc>
      </w:tr>
    </w:tbl>
    <w:p w14:paraId="167B3DDD">
      <w:pPr>
        <w:keepNext w:val="0"/>
        <w:keepLines w:val="0"/>
        <w:pageBreakBefore w:val="0"/>
        <w:kinsoku/>
        <w:wordWrap/>
        <w:overflowPunct/>
        <w:topLinePunct w:val="0"/>
        <w:autoSpaceDE/>
        <w:autoSpaceDN/>
        <w:bidi w:val="0"/>
        <w:adjustRightInd/>
        <w:snapToGrid w:val="0"/>
        <w:spacing w:line="360" w:lineRule="auto"/>
        <w:jc w:val="left"/>
        <w:textAlignment w:val="auto"/>
        <w:rPr>
          <w:rFonts w:ascii="宋体" w:hAnsi="宋体" w:cs="宋体"/>
          <w:color w:val="auto"/>
          <w:sz w:val="24"/>
          <w:szCs w:val="24"/>
          <w:highlight w:val="none"/>
        </w:rPr>
      </w:pPr>
    </w:p>
    <w:p w14:paraId="26974AA8">
      <w:pPr>
        <w:spacing w:line="400" w:lineRule="exact"/>
        <w:rPr>
          <w:rFonts w:ascii="宋体" w:hAnsi="宋体" w:cs="宋体"/>
          <w:color w:val="auto"/>
          <w:sz w:val="24"/>
          <w:szCs w:val="24"/>
          <w:highlight w:val="none"/>
        </w:rPr>
      </w:pPr>
    </w:p>
    <w:p w14:paraId="5BFB7199">
      <w:pPr>
        <w:spacing w:line="400" w:lineRule="exact"/>
        <w:rPr>
          <w:color w:val="auto"/>
          <w:szCs w:val="24"/>
          <w:highlight w:val="none"/>
        </w:rPr>
      </w:pPr>
      <w:r>
        <w:rPr>
          <w:rFonts w:hint="eastAsia" w:ascii="宋体" w:hAnsi="宋体" w:cs="宋体"/>
          <w:color w:val="auto"/>
          <w:sz w:val="24"/>
          <w:szCs w:val="24"/>
          <w:highlight w:val="none"/>
        </w:rPr>
        <w:t>订立时间：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90B7FCF">
      <w:pPr>
        <w:jc w:val="center"/>
        <w:rPr>
          <w:rFonts w:ascii="宋体" w:hAnsi="宋体" w:cs="宋体"/>
          <w:b/>
          <w:bCs/>
          <w:color w:val="auto"/>
          <w:spacing w:val="110"/>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pacing w:val="110"/>
          <w:sz w:val="36"/>
          <w:szCs w:val="36"/>
          <w:highlight w:val="none"/>
        </w:rPr>
        <w:t>第二部分 勘察合同</w:t>
      </w:r>
    </w:p>
    <w:p w14:paraId="6BD8BAC1">
      <w:pPr>
        <w:widowControl/>
        <w:wordWrap w:val="0"/>
        <w:topLinePunct/>
        <w:adjustRightInd w:val="0"/>
        <w:snapToGrid w:val="0"/>
        <w:spacing w:line="440" w:lineRule="exact"/>
        <w:rPr>
          <w:rFonts w:ascii="宋体" w:hAnsi="宋体" w:cs="宋体"/>
          <w:color w:val="auto"/>
          <w:sz w:val="24"/>
          <w:szCs w:val="24"/>
          <w:highlight w:val="none"/>
        </w:rPr>
      </w:pPr>
    </w:p>
    <w:p w14:paraId="36FD7FA4">
      <w:pPr>
        <w:widowControl/>
        <w:wordWrap w:val="0"/>
        <w:topLinePunct/>
        <w:adjustRightInd w:val="0"/>
        <w:snapToGrid w:val="0"/>
        <w:spacing w:line="440" w:lineRule="exact"/>
        <w:rPr>
          <w:rFonts w:ascii="宋体" w:hAnsi="宋体" w:cs="宋体"/>
          <w:color w:val="auto"/>
          <w:sz w:val="24"/>
          <w:szCs w:val="24"/>
          <w:highlight w:val="none"/>
        </w:rPr>
      </w:pPr>
    </w:p>
    <w:p w14:paraId="012C1D2E">
      <w:pPr>
        <w:widowControl/>
        <w:wordWrap w:val="0"/>
        <w:topLinePunct/>
        <w:adjustRightInd w:val="0"/>
        <w:snapToGrid w:val="0"/>
        <w:spacing w:line="440" w:lineRule="exact"/>
        <w:rPr>
          <w:rFonts w:ascii="宋体" w:hAnsi="宋体" w:cs="宋体"/>
          <w:color w:val="auto"/>
          <w:sz w:val="24"/>
          <w:szCs w:val="24"/>
          <w:highlight w:val="none"/>
        </w:rPr>
      </w:pPr>
    </w:p>
    <w:p w14:paraId="2A916339">
      <w:pPr>
        <w:widowControl/>
        <w:wordWrap w:val="0"/>
        <w:topLinePunct/>
        <w:adjustRightInd w:val="0"/>
        <w:snapToGrid w:val="0"/>
        <w:spacing w:line="440" w:lineRule="exact"/>
        <w:rPr>
          <w:rFonts w:ascii="宋体" w:hAnsi="宋体" w:cs="宋体"/>
          <w:color w:val="auto"/>
          <w:sz w:val="24"/>
          <w:szCs w:val="24"/>
          <w:highlight w:val="none"/>
        </w:rPr>
      </w:pPr>
    </w:p>
    <w:p w14:paraId="352B2F3F">
      <w:pPr>
        <w:widowControl/>
        <w:wordWrap w:val="0"/>
        <w:topLinePunct/>
        <w:adjustRightInd w:val="0"/>
        <w:snapToGrid w:val="0"/>
        <w:spacing w:line="440" w:lineRule="exact"/>
        <w:rPr>
          <w:rFonts w:ascii="宋体" w:hAnsi="宋体" w:cs="宋体"/>
          <w:color w:val="auto"/>
          <w:sz w:val="24"/>
          <w:szCs w:val="24"/>
          <w:highlight w:val="none"/>
        </w:rPr>
      </w:pPr>
    </w:p>
    <w:p w14:paraId="62D4EA27">
      <w:pPr>
        <w:widowControl/>
        <w:wordWrap w:val="0"/>
        <w:topLinePunct/>
        <w:adjustRightInd w:val="0"/>
        <w:snapToGrid w:val="0"/>
        <w:spacing w:line="440" w:lineRule="exact"/>
        <w:rPr>
          <w:rFonts w:ascii="宋体" w:hAnsi="宋体" w:cs="宋体"/>
          <w:color w:val="auto"/>
          <w:sz w:val="24"/>
          <w:szCs w:val="24"/>
          <w:highlight w:val="none"/>
        </w:rPr>
      </w:pPr>
    </w:p>
    <w:tbl>
      <w:tblPr>
        <w:tblStyle w:val="8"/>
        <w:tblW w:w="0" w:type="auto"/>
        <w:jc w:val="center"/>
        <w:tblLayout w:type="fixed"/>
        <w:tblCellMar>
          <w:top w:w="0" w:type="dxa"/>
          <w:left w:w="108" w:type="dxa"/>
          <w:bottom w:w="0" w:type="dxa"/>
          <w:right w:w="108" w:type="dxa"/>
        </w:tblCellMar>
      </w:tblPr>
      <w:tblGrid>
        <w:gridCol w:w="2093"/>
        <w:gridCol w:w="6187"/>
      </w:tblGrid>
      <w:tr w14:paraId="470E3ADA">
        <w:trPr>
          <w:trHeight w:val="1134" w:hRule="atLeast"/>
          <w:jc w:val="center"/>
        </w:trPr>
        <w:tc>
          <w:tcPr>
            <w:tcW w:w="2093" w:type="dxa"/>
            <w:noWrap w:val="0"/>
            <w:vAlign w:val="center"/>
          </w:tcPr>
          <w:p w14:paraId="63FD9954">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6187" w:type="dxa"/>
            <w:noWrap w:val="0"/>
            <w:vAlign w:val="center"/>
          </w:tcPr>
          <w:p w14:paraId="3541131F">
            <w:pPr>
              <w:widowControl/>
              <w:snapToGrid w:val="0"/>
              <w:spacing w:line="440" w:lineRule="exact"/>
              <w:ind w:right="-88" w:rightChars="-42"/>
              <w:rPr>
                <w:rFonts w:hint="default" w:ascii="宋体" w:hAnsi="宋体" w:cs="宋体"/>
                <w:color w:val="auto"/>
                <w:sz w:val="24"/>
                <w:szCs w:val="24"/>
                <w:highlight w:val="none"/>
                <w:lang w:val="en-US"/>
              </w:rPr>
            </w:pP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广佛(佛冈)产业园应急救援设施建设项目勘察设计施工总承包（EPC）</w:t>
            </w:r>
            <w:r>
              <w:rPr>
                <w:rFonts w:hint="eastAsia" w:ascii="宋体" w:hAnsi="宋体"/>
                <w:color w:val="auto"/>
                <w:sz w:val="24"/>
                <w:szCs w:val="24"/>
                <w:highlight w:val="none"/>
                <w:u w:val="single"/>
                <w:lang w:val="en-US" w:eastAsia="zh-CN"/>
              </w:rPr>
              <w:t xml:space="preserve">  </w:t>
            </w:r>
          </w:p>
        </w:tc>
      </w:tr>
      <w:tr w14:paraId="6D93A794">
        <w:tblPrEx>
          <w:tblCellMar>
            <w:top w:w="0" w:type="dxa"/>
            <w:left w:w="108" w:type="dxa"/>
            <w:bottom w:w="0" w:type="dxa"/>
            <w:right w:w="108" w:type="dxa"/>
          </w:tblCellMar>
        </w:tblPrEx>
        <w:trPr>
          <w:trHeight w:val="1134" w:hRule="atLeast"/>
          <w:jc w:val="center"/>
        </w:trPr>
        <w:tc>
          <w:tcPr>
            <w:tcW w:w="2093" w:type="dxa"/>
            <w:noWrap w:val="0"/>
            <w:vAlign w:val="center"/>
          </w:tcPr>
          <w:p w14:paraId="027DAFB8">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工程地点:</w:t>
            </w:r>
          </w:p>
        </w:tc>
        <w:tc>
          <w:tcPr>
            <w:tcW w:w="6187" w:type="dxa"/>
            <w:noWrap w:val="0"/>
            <w:vAlign w:val="center"/>
          </w:tcPr>
          <w:p w14:paraId="1529B495">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清远市佛冈县南部汤塘镇广佛(佛冈)产业园</w:t>
            </w:r>
          </w:p>
        </w:tc>
      </w:tr>
      <w:tr w14:paraId="0A20DE28">
        <w:tblPrEx>
          <w:tblCellMar>
            <w:top w:w="0" w:type="dxa"/>
            <w:left w:w="108" w:type="dxa"/>
            <w:bottom w:w="0" w:type="dxa"/>
            <w:right w:w="108" w:type="dxa"/>
          </w:tblCellMar>
        </w:tblPrEx>
        <w:trPr>
          <w:trHeight w:val="1134" w:hRule="atLeast"/>
          <w:jc w:val="center"/>
        </w:trPr>
        <w:tc>
          <w:tcPr>
            <w:tcW w:w="2093" w:type="dxa"/>
            <w:noWrap w:val="0"/>
            <w:vAlign w:val="center"/>
          </w:tcPr>
          <w:p w14:paraId="65F3EF39">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勘察证书等级：</w:t>
            </w:r>
          </w:p>
        </w:tc>
        <w:tc>
          <w:tcPr>
            <w:tcW w:w="6187" w:type="dxa"/>
            <w:noWrap w:val="0"/>
            <w:vAlign w:val="center"/>
          </w:tcPr>
          <w:p w14:paraId="32B8D962">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040AA5F4">
        <w:tblPrEx>
          <w:tblCellMar>
            <w:top w:w="0" w:type="dxa"/>
            <w:left w:w="108" w:type="dxa"/>
            <w:bottom w:w="0" w:type="dxa"/>
            <w:right w:w="108" w:type="dxa"/>
          </w:tblCellMar>
        </w:tblPrEx>
        <w:trPr>
          <w:trHeight w:val="1134" w:hRule="atLeast"/>
          <w:jc w:val="center"/>
        </w:trPr>
        <w:tc>
          <w:tcPr>
            <w:tcW w:w="2093" w:type="dxa"/>
            <w:noWrap w:val="0"/>
            <w:vAlign w:val="center"/>
          </w:tcPr>
          <w:p w14:paraId="09098FB2">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w:t>
            </w:r>
          </w:p>
        </w:tc>
        <w:tc>
          <w:tcPr>
            <w:tcW w:w="6187" w:type="dxa"/>
            <w:noWrap w:val="0"/>
            <w:vAlign w:val="center"/>
          </w:tcPr>
          <w:p w14:paraId="2934A5FC">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广佛(佛冈)产业园高新投资开发有限公司</w:t>
            </w:r>
          </w:p>
        </w:tc>
      </w:tr>
      <w:tr w14:paraId="5C0D5FBA">
        <w:tblPrEx>
          <w:tblCellMar>
            <w:top w:w="0" w:type="dxa"/>
            <w:left w:w="108" w:type="dxa"/>
            <w:bottom w:w="0" w:type="dxa"/>
            <w:right w:w="108" w:type="dxa"/>
          </w:tblCellMar>
        </w:tblPrEx>
        <w:trPr>
          <w:trHeight w:val="1134" w:hRule="atLeast"/>
          <w:jc w:val="center"/>
        </w:trPr>
        <w:tc>
          <w:tcPr>
            <w:tcW w:w="2093" w:type="dxa"/>
            <w:noWrap w:val="0"/>
            <w:vAlign w:val="center"/>
          </w:tcPr>
          <w:p w14:paraId="3C33BAE0">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w:t>
            </w:r>
          </w:p>
        </w:tc>
        <w:tc>
          <w:tcPr>
            <w:tcW w:w="6187" w:type="dxa"/>
            <w:noWrap w:val="0"/>
            <w:vAlign w:val="center"/>
          </w:tcPr>
          <w:p w14:paraId="2FFAD1A8">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6DF1D375">
        <w:tblPrEx>
          <w:tblCellMar>
            <w:top w:w="0" w:type="dxa"/>
            <w:left w:w="108" w:type="dxa"/>
            <w:bottom w:w="0" w:type="dxa"/>
            <w:right w:w="108" w:type="dxa"/>
          </w:tblCellMar>
        </w:tblPrEx>
        <w:trPr>
          <w:trHeight w:val="1134" w:hRule="atLeast"/>
          <w:jc w:val="center"/>
        </w:trPr>
        <w:tc>
          <w:tcPr>
            <w:tcW w:w="2093" w:type="dxa"/>
            <w:noWrap w:val="0"/>
            <w:vAlign w:val="center"/>
          </w:tcPr>
          <w:p w14:paraId="45D222D7">
            <w:pPr>
              <w:widowControl/>
              <w:wordWrap w:val="0"/>
              <w:topLinePunct/>
              <w:adjustRightInd w:val="0"/>
              <w:snapToGrid w:val="0"/>
              <w:spacing w:line="440" w:lineRule="exact"/>
              <w:rPr>
                <w:rFonts w:hint="eastAsia" w:ascii="宋体" w:hAnsi="宋体" w:cs="宋体"/>
                <w:color w:val="auto"/>
                <w:sz w:val="24"/>
                <w:szCs w:val="24"/>
                <w:highlight w:val="none"/>
              </w:rPr>
            </w:pPr>
          </w:p>
        </w:tc>
        <w:tc>
          <w:tcPr>
            <w:tcW w:w="6187" w:type="dxa"/>
            <w:noWrap w:val="0"/>
            <w:vAlign w:val="center"/>
          </w:tcPr>
          <w:p w14:paraId="4DA27E34">
            <w:pPr>
              <w:widowControl/>
              <w:wordWrap w:val="0"/>
              <w:topLinePunct/>
              <w:adjustRightInd w:val="0"/>
              <w:snapToGrid w:val="0"/>
              <w:spacing w:line="440" w:lineRule="exact"/>
              <w:rPr>
                <w:rFonts w:hint="eastAsia" w:ascii="宋体" w:hAnsi="宋体" w:cs="宋体"/>
                <w:color w:val="auto"/>
                <w:sz w:val="24"/>
                <w:szCs w:val="24"/>
                <w:highlight w:val="none"/>
                <w:u w:val="single"/>
              </w:rPr>
            </w:pPr>
          </w:p>
        </w:tc>
      </w:tr>
    </w:tbl>
    <w:p w14:paraId="265D75F8">
      <w:pPr>
        <w:widowControl/>
        <w:wordWrap w:val="0"/>
        <w:topLinePunct/>
        <w:adjustRightInd w:val="0"/>
        <w:snapToGrid w:val="0"/>
        <w:spacing w:line="440" w:lineRule="exact"/>
        <w:rPr>
          <w:rFonts w:ascii="宋体" w:hAnsi="宋体" w:cs="宋体"/>
          <w:color w:val="auto"/>
          <w:sz w:val="24"/>
          <w:szCs w:val="24"/>
          <w:highlight w:val="none"/>
        </w:rPr>
      </w:pPr>
    </w:p>
    <w:p w14:paraId="02D3894F">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发包人：</w:t>
      </w:r>
      <w:r>
        <w:rPr>
          <w:rFonts w:hint="eastAsia" w:ascii="宋体" w:hAnsi="宋体" w:cs="宋体"/>
          <w:b w:val="0"/>
          <w:bCs/>
          <w:color w:val="auto"/>
          <w:sz w:val="24"/>
          <w:szCs w:val="24"/>
          <w:highlight w:val="none"/>
          <w:u w:val="single"/>
          <w:lang w:eastAsia="zh-CN"/>
        </w:rPr>
        <w:t>广佛(佛冈)产业园高新投资开发有限公司</w:t>
      </w:r>
      <w:r>
        <w:rPr>
          <w:rFonts w:hint="eastAsia" w:ascii="宋体" w:hAnsi="宋体" w:cs="宋体"/>
          <w:color w:val="auto"/>
          <w:sz w:val="24"/>
          <w:szCs w:val="24"/>
          <w:highlight w:val="none"/>
          <w:u w:val="single"/>
        </w:rPr>
        <w:t xml:space="preserve"> </w:t>
      </w:r>
    </w:p>
    <w:p w14:paraId="1489680D">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b/>
          <w:color w:val="auto"/>
          <w:sz w:val="24"/>
          <w:szCs w:val="24"/>
          <w:highlight w:val="none"/>
        </w:rPr>
        <w:t>承包人：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70920554">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发包人委托承包人承担</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u w:val="single"/>
        </w:rPr>
        <w:t>广佛(佛冈)产业园应急救援设施建设项目</w:t>
      </w:r>
      <w:r>
        <w:rPr>
          <w:rFonts w:hint="eastAsia" w:ascii="宋体" w:hAnsi="宋体" w:cs="宋体"/>
          <w:color w:val="auto"/>
          <w:sz w:val="24"/>
          <w:szCs w:val="24"/>
          <w:highlight w:val="none"/>
        </w:rPr>
        <w:t>勘察任务。</w:t>
      </w:r>
    </w:p>
    <w:p w14:paraId="5D7DA9C5">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根据《中华人民共和国民法典》及国家有关法律、法规规定，结合本工程的具体情况，为明确责任，协作配合，确保工程勘察质量，经发包人、承包人协商一致，签订本合同，共同遵守。</w:t>
      </w:r>
    </w:p>
    <w:p w14:paraId="3518996E">
      <w:pPr>
        <w:widowControl/>
        <w:wordWrap w:val="0"/>
        <w:topLinePunct/>
        <w:adjustRightInd w:val="0"/>
        <w:snapToGrid w:val="0"/>
        <w:spacing w:line="440" w:lineRule="exact"/>
        <w:ind w:firstLine="426" w:firstLineChars="177"/>
        <w:rPr>
          <w:rFonts w:ascii="宋体" w:hAnsi="宋体" w:cs="宋体"/>
          <w:color w:val="auto"/>
          <w:sz w:val="24"/>
          <w:szCs w:val="24"/>
          <w:highlight w:val="none"/>
        </w:rPr>
      </w:pPr>
      <w:r>
        <w:rPr>
          <w:rFonts w:hint="eastAsia" w:ascii="宋体" w:hAnsi="宋体" w:cs="宋体"/>
          <w:b/>
          <w:color w:val="auto"/>
          <w:sz w:val="24"/>
          <w:szCs w:val="24"/>
          <w:highlight w:val="none"/>
        </w:rPr>
        <w:t>第一条</w:t>
      </w:r>
      <w:r>
        <w:rPr>
          <w:rFonts w:hint="eastAsia" w:ascii="宋体" w:hAnsi="宋体" w:cs="宋体"/>
          <w:color w:val="auto"/>
          <w:sz w:val="24"/>
          <w:szCs w:val="24"/>
          <w:highlight w:val="none"/>
        </w:rPr>
        <w:t>：工程概况：</w:t>
      </w:r>
    </w:p>
    <w:p w14:paraId="5D960945">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1.1工程名称:</w:t>
      </w:r>
      <w:r>
        <w:rPr>
          <w:rFonts w:hint="eastAsia" w:ascii="宋体" w:hAnsi="宋体"/>
          <w:color w:val="auto"/>
          <w:sz w:val="24"/>
          <w:szCs w:val="24"/>
          <w:highlight w:val="none"/>
          <w:u w:val="single"/>
          <w:lang w:eastAsia="zh-CN"/>
        </w:rPr>
        <w:t>广佛(佛冈)产业园应急救援设施建设项目勘察设计施工总承包（EPC）</w:t>
      </w:r>
      <w:r>
        <w:rPr>
          <w:rFonts w:hint="eastAsia" w:ascii="宋体" w:hAnsi="宋体" w:cs="宋体"/>
          <w:color w:val="auto"/>
          <w:sz w:val="24"/>
          <w:szCs w:val="24"/>
          <w:highlight w:val="none"/>
        </w:rPr>
        <w:t>。</w:t>
      </w:r>
    </w:p>
    <w:p w14:paraId="6A98C892">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1.2工程建设地点:</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清远市佛冈县广佛（佛冈）产业园</w:t>
      </w:r>
      <w:r>
        <w:rPr>
          <w:rFonts w:hint="eastAsia" w:ascii="宋体" w:hAnsi="宋体" w:cs="宋体"/>
          <w:color w:val="auto"/>
          <w:sz w:val="24"/>
          <w:szCs w:val="24"/>
          <w:highlight w:val="none"/>
        </w:rPr>
        <w:t>。</w:t>
      </w:r>
    </w:p>
    <w:p w14:paraId="4B66CC13">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1.3工程规模、特征:</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E097C2B">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1.4工程勘察任务委托文号、日期: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5500AB2">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1.5工程勘察任务（内容）与技术要求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rPr>
        <w:t>满足设计要求</w:t>
      </w:r>
      <w:r>
        <w:rPr>
          <w:rFonts w:hint="eastAsia" w:ascii="宋体" w:hAnsi="宋体" w:cs="宋体"/>
          <w:color w:val="auto"/>
          <w:sz w:val="24"/>
          <w:szCs w:val="24"/>
          <w:highlight w:val="none"/>
        </w:rPr>
        <w:t>。</w:t>
      </w:r>
    </w:p>
    <w:p w14:paraId="49A53BCA">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1.6承接方式:</w:t>
      </w:r>
      <w:r>
        <w:rPr>
          <w:rFonts w:hint="eastAsia" w:ascii="宋体" w:hAnsi="宋体" w:cs="宋体"/>
          <w:color w:val="auto"/>
          <w:sz w:val="24"/>
          <w:szCs w:val="24"/>
          <w:highlight w:val="none"/>
          <w:u w:val="single"/>
        </w:rPr>
        <w:t>按招标文件的要求</w:t>
      </w:r>
      <w:r>
        <w:rPr>
          <w:rFonts w:hint="eastAsia" w:ascii="宋体" w:hAnsi="宋体" w:cs="宋体"/>
          <w:color w:val="auto"/>
          <w:sz w:val="24"/>
          <w:szCs w:val="24"/>
          <w:highlight w:val="none"/>
        </w:rPr>
        <w:t>。</w:t>
      </w:r>
    </w:p>
    <w:p w14:paraId="437FEFCC">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1.7预计勘察工作量:</w:t>
      </w:r>
      <w:r>
        <w:rPr>
          <w:rFonts w:hint="eastAsia" w:ascii="宋体" w:hAnsi="宋体" w:cs="宋体"/>
          <w:color w:val="auto"/>
          <w:sz w:val="24"/>
          <w:szCs w:val="24"/>
          <w:highlight w:val="none"/>
          <w:u w:val="single"/>
        </w:rPr>
        <w:t xml:space="preserve">  </w:t>
      </w:r>
      <w:r>
        <w:rPr>
          <w:rFonts w:ascii="宋体" w:hAnsi="宋体" w:cs="宋体"/>
          <w:color w:val="auto"/>
          <w:sz w:val="24"/>
          <w:szCs w:val="24"/>
          <w:highlight w:val="none"/>
          <w:u w:val="single"/>
        </w:rPr>
        <w:t>详见4.2.2附表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DFA7A4C">
      <w:pPr>
        <w:widowControl/>
        <w:wordWrap w:val="0"/>
        <w:topLinePunct/>
        <w:adjustRightInd w:val="0"/>
        <w:snapToGrid w:val="0"/>
        <w:spacing w:line="440" w:lineRule="exact"/>
        <w:ind w:firstLine="426" w:firstLineChars="177"/>
        <w:rPr>
          <w:rFonts w:ascii="宋体" w:hAnsi="宋体" w:cs="宋体"/>
          <w:color w:val="auto"/>
          <w:sz w:val="24"/>
          <w:szCs w:val="24"/>
          <w:highlight w:val="none"/>
        </w:rPr>
      </w:pPr>
      <w:r>
        <w:rPr>
          <w:rFonts w:hint="eastAsia" w:ascii="宋体" w:hAnsi="宋体" w:cs="宋体"/>
          <w:b/>
          <w:color w:val="auto"/>
          <w:sz w:val="24"/>
          <w:szCs w:val="24"/>
          <w:highlight w:val="none"/>
        </w:rPr>
        <w:t>第二条</w:t>
      </w:r>
      <w:r>
        <w:rPr>
          <w:rFonts w:hint="eastAsia" w:ascii="宋体" w:hAnsi="宋体" w:cs="宋体"/>
          <w:color w:val="auto"/>
          <w:sz w:val="24"/>
          <w:szCs w:val="24"/>
          <w:highlight w:val="none"/>
        </w:rPr>
        <w:t>：发包人应及时向承包人提供下列文件资料，并对其准确性、可靠性负责。</w:t>
      </w:r>
    </w:p>
    <w:p w14:paraId="17612FBE">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2.1提供本工程批准文件（复印件），以及用地（附红线范围）。</w:t>
      </w:r>
    </w:p>
    <w:p w14:paraId="39FE2FD3">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2.2提供工程勘察任务委托书、技术要求和工作范围的地形图、建筑总平面布置图。</w:t>
      </w:r>
    </w:p>
    <w:p w14:paraId="2653C851">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2.3如发包人不能提供上述资料，由勘察人自行收集，费用已包含在本合同价款中。</w:t>
      </w:r>
    </w:p>
    <w:p w14:paraId="6670AE64">
      <w:pPr>
        <w:widowControl/>
        <w:wordWrap w:val="0"/>
        <w:topLinePunct/>
        <w:adjustRightInd w:val="0"/>
        <w:snapToGrid w:val="0"/>
        <w:spacing w:line="440" w:lineRule="exact"/>
        <w:ind w:firstLine="426" w:firstLineChars="177"/>
        <w:rPr>
          <w:rFonts w:ascii="宋体" w:hAnsi="宋体" w:cs="宋体"/>
          <w:color w:val="auto"/>
          <w:sz w:val="24"/>
          <w:szCs w:val="24"/>
          <w:highlight w:val="none"/>
        </w:rPr>
      </w:pPr>
      <w:r>
        <w:rPr>
          <w:rFonts w:hint="eastAsia" w:ascii="宋体" w:hAnsi="宋体" w:cs="宋体"/>
          <w:b/>
          <w:color w:val="auto"/>
          <w:sz w:val="24"/>
          <w:szCs w:val="24"/>
          <w:highlight w:val="none"/>
        </w:rPr>
        <w:t>第三条</w:t>
      </w:r>
      <w:r>
        <w:rPr>
          <w:rFonts w:hint="eastAsia" w:ascii="宋体" w:hAnsi="宋体" w:cs="宋体"/>
          <w:color w:val="auto"/>
          <w:sz w:val="24"/>
          <w:szCs w:val="24"/>
          <w:highlight w:val="none"/>
        </w:rPr>
        <w:t>：承包人向发包人提交勘察成果资料并对其质量负责。</w:t>
      </w:r>
    </w:p>
    <w:p w14:paraId="09AE6414">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承包人负责向发包人提交勘察成果资料</w:t>
      </w:r>
      <w:r>
        <w:rPr>
          <w:rFonts w:hint="eastAsia" w:ascii="宋体" w:hAnsi="宋体" w:cs="宋体"/>
          <w:color w:val="auto"/>
          <w:sz w:val="24"/>
          <w:szCs w:val="24"/>
          <w:highlight w:val="none"/>
          <w:u w:val="single"/>
        </w:rPr>
        <w:t>壹拾伍</w:t>
      </w:r>
      <w:r>
        <w:rPr>
          <w:rFonts w:hint="eastAsia" w:ascii="宋体" w:hAnsi="宋体" w:cs="宋体"/>
          <w:color w:val="auto"/>
          <w:sz w:val="24"/>
          <w:szCs w:val="24"/>
          <w:highlight w:val="none"/>
        </w:rPr>
        <w:t>份、电子文件一套，发包人要求增加的份数另行收费。</w:t>
      </w:r>
    </w:p>
    <w:p w14:paraId="4F1B56D9">
      <w:pPr>
        <w:widowControl/>
        <w:wordWrap w:val="0"/>
        <w:topLinePunct/>
        <w:adjustRightInd w:val="0"/>
        <w:snapToGrid w:val="0"/>
        <w:spacing w:line="440" w:lineRule="exact"/>
        <w:ind w:firstLine="426" w:firstLineChars="177"/>
        <w:rPr>
          <w:rFonts w:ascii="宋体" w:hAnsi="宋体" w:cs="宋体"/>
          <w:color w:val="auto"/>
          <w:sz w:val="24"/>
          <w:szCs w:val="24"/>
          <w:highlight w:val="none"/>
        </w:rPr>
      </w:pPr>
      <w:r>
        <w:rPr>
          <w:rFonts w:hint="eastAsia" w:ascii="宋体" w:hAnsi="宋体" w:cs="宋体"/>
          <w:b/>
          <w:color w:val="auto"/>
          <w:sz w:val="24"/>
          <w:szCs w:val="24"/>
          <w:highlight w:val="none"/>
        </w:rPr>
        <w:t>第四条</w:t>
      </w:r>
      <w:r>
        <w:rPr>
          <w:rFonts w:hint="eastAsia" w:ascii="宋体" w:hAnsi="宋体" w:cs="宋体"/>
          <w:color w:val="auto"/>
          <w:sz w:val="24"/>
          <w:szCs w:val="24"/>
          <w:highlight w:val="none"/>
        </w:rPr>
        <w:t>：开工及提交勘察成果资料的时间和收费标准及付费方式。</w:t>
      </w:r>
    </w:p>
    <w:p w14:paraId="5F4BE945">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4.1开工及提交勘察成果资料的时间。</w:t>
      </w:r>
    </w:p>
    <w:p w14:paraId="1AC6274D">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4.1.1本工程的具体勘察工作开工日期为发包人对该项目勘察工作大纲批复之日，开工</w:t>
      </w:r>
      <w:r>
        <w:rPr>
          <w:rFonts w:hint="eastAsia" w:ascii="宋体" w:hAnsi="宋体" w:cs="宋体"/>
          <w:color w:val="auto"/>
          <w:sz w:val="24"/>
          <w:szCs w:val="24"/>
          <w:highlight w:val="none"/>
          <w:u w:val="single"/>
        </w:rPr>
        <w:t xml:space="preserve">   日 </w:t>
      </w:r>
      <w:r>
        <w:rPr>
          <w:rFonts w:hint="eastAsia" w:ascii="宋体" w:hAnsi="宋体" w:cs="宋体"/>
          <w:color w:val="auto"/>
          <w:sz w:val="24"/>
          <w:szCs w:val="24"/>
          <w:highlight w:val="none"/>
        </w:rPr>
        <w:t>内提交勘察成果资料，由于发包人或承包人的原因未能按期开工或提交成果资料时，按第六条约定办理。</w:t>
      </w:r>
    </w:p>
    <w:p w14:paraId="27E0DC7B">
      <w:pPr>
        <w:widowControl/>
        <w:wordWrap w:val="0"/>
        <w:topLinePunct/>
        <w:adjustRightInd w:val="0"/>
        <w:snapToGrid w:val="0"/>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4.1.2勘察工作有效期限以发包人下达的开工通知书或合同约定的时间为准，如遇特殊情况（设计变更、工作量变化、不可抗力影响以及非承包人原因造成的停、窝工等）时，工期顺延。</w:t>
      </w:r>
    </w:p>
    <w:p w14:paraId="2FA4640F">
      <w:pPr>
        <w:widowControl/>
        <w:wordWrap w:val="0"/>
        <w:topLinePunct/>
        <w:adjustRightInd w:val="0"/>
        <w:snapToGrid w:val="0"/>
        <w:spacing w:line="480" w:lineRule="exact"/>
        <w:ind w:firstLine="424" w:firstLineChars="177"/>
        <w:rPr>
          <w:rFonts w:ascii="宋体" w:hAnsi="宋体" w:cs="宋体"/>
          <w:color w:val="auto"/>
          <w:sz w:val="24"/>
          <w:highlight w:val="none"/>
        </w:rPr>
      </w:pPr>
      <w:r>
        <w:rPr>
          <w:rFonts w:hint="eastAsia" w:ascii="宋体" w:hAnsi="宋体" w:cs="宋体"/>
          <w:color w:val="auto"/>
          <w:sz w:val="24"/>
          <w:highlight w:val="none"/>
        </w:rPr>
        <w:t>4.2收费标准及付费方式</w:t>
      </w:r>
    </w:p>
    <w:p w14:paraId="0BD3C3C0">
      <w:pPr>
        <w:widowControl/>
        <w:wordWrap w:val="0"/>
        <w:topLinePunct/>
        <w:adjustRightInd w:val="0"/>
        <w:snapToGrid w:val="0"/>
        <w:spacing w:line="480" w:lineRule="exact"/>
        <w:ind w:firstLine="424" w:firstLineChars="177"/>
        <w:rPr>
          <w:rFonts w:hint="eastAsia" w:ascii="宋体" w:hAnsi="宋体" w:cs="宋体"/>
          <w:color w:val="auto"/>
          <w:sz w:val="24"/>
          <w:highlight w:val="none"/>
        </w:rPr>
      </w:pPr>
      <w:r>
        <w:rPr>
          <w:rFonts w:hint="eastAsia" w:ascii="宋体" w:hAnsi="宋体" w:cs="宋体"/>
          <w:color w:val="auto"/>
          <w:sz w:val="24"/>
          <w:highlight w:val="none"/>
        </w:rPr>
        <w:t>4.2.1</w:t>
      </w:r>
      <w:r>
        <w:rPr>
          <w:rFonts w:hint="eastAsia" w:ascii="宋体" w:hAnsi="宋体"/>
          <w:color w:val="auto"/>
          <w:sz w:val="24"/>
          <w:szCs w:val="24"/>
          <w:highlight w:val="none"/>
          <w:shd w:val="clear" w:color="auto" w:fill="FFFFFF"/>
        </w:rPr>
        <w:t>岩土工程勘察费用，按照承发包双方确认的实际工程量（投标时暂由投标人自行估算工程量）乘以综合包干单价结算，该单价已包括所有实物工作收费、技术工作收费、税金以及办理工程勘察相关许可等全部费用。</w:t>
      </w:r>
      <w:r>
        <w:rPr>
          <w:rFonts w:hint="eastAsia" w:ascii="宋体" w:hAnsi="宋体" w:eastAsia="宋体" w:cs="Times New Roman"/>
          <w:color w:val="auto"/>
          <w:sz w:val="24"/>
          <w:szCs w:val="24"/>
          <w:highlight w:val="none"/>
          <w:shd w:val="clear" w:color="auto" w:fill="FFFFFF"/>
        </w:rPr>
        <w:t>综合包干单价</w:t>
      </w:r>
      <w:r>
        <w:rPr>
          <w:rFonts w:hint="eastAsia" w:ascii="宋体" w:hAnsi="宋体" w:eastAsia="宋体" w:cs="Times New Roman"/>
          <w:color w:val="auto"/>
          <w:sz w:val="24"/>
          <w:szCs w:val="24"/>
          <w:highlight w:val="none"/>
          <w:u w:val="single"/>
          <w:shd w:val="clear" w:color="auto" w:fill="FFFFFF"/>
        </w:rPr>
        <w:t>按广州开发区政府投资建设项目管理中心“关于印发《广州开发区、萝岗区政府投资建设项目岩土工程勘探综合费取费标准》的通知（穗开建管【2014】1号）”计取，即“一般场地道路工程、房建项目钻探：200元/米；山上道路工程、房建项目（需开辟临时进场道路，开挖工作平台，主要设备需要辅助运输的）钻探：300元/米；在鱼塘、小河涌或小型水库水上道路工程钻探（需搭设简易工作平台）：400元/米；一般场地桥梁工程钻探：350元/米；山上、鱼塘、小河涌、小型水库桥梁工程钻探：490元/米。”</w:t>
      </w:r>
      <w:r>
        <w:rPr>
          <w:rFonts w:hint="eastAsia" w:ascii="宋体" w:hAnsi="宋体"/>
          <w:color w:val="auto"/>
          <w:sz w:val="24"/>
          <w:szCs w:val="24"/>
          <w:highlight w:val="none"/>
          <w:shd w:val="clear" w:color="auto" w:fill="FFFFFF"/>
        </w:rPr>
        <w:t>。</w:t>
      </w:r>
    </w:p>
    <w:p w14:paraId="4B2437E3">
      <w:pPr>
        <w:widowControl/>
        <w:shd w:val="clear" w:color="auto" w:fill="FFFFFF"/>
        <w:tabs>
          <w:tab w:val="left" w:pos="105"/>
        </w:tabs>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4.2.2</w:t>
      </w:r>
      <w:r>
        <w:rPr>
          <w:rFonts w:hint="eastAsia" w:ascii="宋体" w:hAnsi="宋体" w:cs="宋体"/>
          <w:color w:val="auto"/>
          <w:sz w:val="24"/>
          <w:szCs w:val="24"/>
          <w:highlight w:val="none"/>
        </w:rPr>
        <w:t>工程测量费、工程物探（地下管线探测）费按照承发包双方确认的实际工程量，根据</w:t>
      </w:r>
      <w:r>
        <w:rPr>
          <w:rFonts w:hint="eastAsia" w:ascii="宋体" w:hAnsi="宋体" w:cs="宋体"/>
          <w:color w:val="auto"/>
          <w:sz w:val="24"/>
          <w:szCs w:val="24"/>
          <w:highlight w:val="none"/>
          <w:u w:val="single"/>
        </w:rPr>
        <w:t>国家计委、建设部颁发的《工程勘察设计收费标准》（计价格[2002]10号文）、</w:t>
      </w:r>
      <w:r>
        <w:rPr>
          <w:rFonts w:hint="eastAsia" w:ascii="宋体" w:hAnsi="宋体" w:cs="宋体"/>
          <w:color w:val="auto"/>
          <w:sz w:val="24"/>
          <w:szCs w:val="24"/>
          <w:highlight w:val="none"/>
          <w:shd w:val="clear" w:color="auto" w:fill="FFFFFF"/>
        </w:rPr>
        <w:t>广州开发区财政局《关于全区范围填土工程物探限价的复函》（穗开财建函[2009]625号）及《关于印发&lt;广州开发区、萝岗区政府投资建设项目岩土工程勘探综合费取费标准&gt;的通知》（穗开建管[2014]1号）的规定</w:t>
      </w:r>
      <w:r>
        <w:rPr>
          <w:rFonts w:hint="eastAsia" w:ascii="宋体" w:hAnsi="宋体" w:cs="宋体"/>
          <w:color w:val="auto"/>
          <w:sz w:val="24"/>
          <w:szCs w:val="24"/>
          <w:highlight w:val="none"/>
          <w:u w:val="single"/>
        </w:rPr>
        <w:t>执行投标下浮率计取（要求投标下浮率≥30%，投标下浮率为相对</w:t>
      </w:r>
      <w:r>
        <w:rPr>
          <w:rFonts w:hint="eastAsia" w:ascii="宋体" w:hAnsi="宋体" w:cs="宋体"/>
          <w:color w:val="auto"/>
          <w:sz w:val="24"/>
          <w:szCs w:val="24"/>
          <w:highlight w:val="none"/>
        </w:rPr>
        <w:t>工程测量费、工程物探（地下管线探测）</w:t>
      </w:r>
      <w:r>
        <w:rPr>
          <w:rFonts w:hint="eastAsia" w:ascii="宋体" w:hAnsi="宋体" w:cs="宋体"/>
          <w:color w:val="auto"/>
          <w:sz w:val="24"/>
          <w:szCs w:val="24"/>
          <w:highlight w:val="none"/>
          <w:u w:val="single"/>
        </w:rPr>
        <w:t>取费基价计算），其中用于办理规划报建用地预审、规划国土等手续的1：500地形测量收费标准按国家测绘局颁发的国家测绘产品价格收费标准</w:t>
      </w:r>
      <w:r>
        <w:rPr>
          <w:rFonts w:hint="eastAsia" w:ascii="宋体" w:hAnsi="宋体" w:cs="宋体"/>
          <w:color w:val="auto"/>
          <w:sz w:val="24"/>
          <w:szCs w:val="24"/>
          <w:highlight w:val="none"/>
          <w:shd w:val="clear" w:color="auto" w:fill="FFFFFF"/>
        </w:rPr>
        <w:t>及《关于印发&lt;广州开发区、萝岗区政府投资建设项目岩土工程勘探综合费取费标准&gt;的通知》（穗开建管[2014]1号）的规定</w:t>
      </w:r>
      <w:r>
        <w:rPr>
          <w:rFonts w:hint="eastAsia" w:ascii="宋体" w:hAnsi="宋体" w:cs="宋体"/>
          <w:color w:val="auto"/>
          <w:sz w:val="24"/>
          <w:szCs w:val="24"/>
          <w:highlight w:val="none"/>
          <w:u w:val="single"/>
        </w:rPr>
        <w:t>执行投标下浮率计取（要求投标下浮率≥30%，投标下浮率为相对地形测量取费基价计算）。</w:t>
      </w:r>
      <w:r>
        <w:rPr>
          <w:rFonts w:hint="eastAsia" w:ascii="宋体" w:hAnsi="宋体" w:cs="宋体"/>
          <w:color w:val="auto"/>
          <w:sz w:val="24"/>
          <w:szCs w:val="24"/>
          <w:highlight w:val="none"/>
          <w:shd w:val="clear" w:color="auto" w:fill="FFFFFF"/>
        </w:rPr>
        <w:t>按《测绘工程产品价格》（国测财字﹝2002﹞3号）计取单价的项目，不予计取技术工作费。在合同实施期间工程测量费、物探费按实际完成工作量调整，但费率浮动幅度不变。</w:t>
      </w:r>
    </w:p>
    <w:p w14:paraId="6689BF96">
      <w:pPr>
        <w:widowControl/>
        <w:wordWrap w:val="0"/>
        <w:topLinePunct/>
        <w:adjustRightInd w:val="0"/>
        <w:snapToGrid w:val="0"/>
        <w:spacing w:line="4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4.2.3本工程勘察费（含岩土、测量）暂定为</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万元（大写：</w:t>
      </w:r>
      <w:r>
        <w:rPr>
          <w:rFonts w:hint="eastAsia" w:ascii="宋体" w:hAnsi="宋体" w:cs="宋体"/>
          <w:color w:val="auto"/>
          <w:sz w:val="24"/>
          <w:highlight w:val="none"/>
          <w:u w:val="single"/>
        </w:rPr>
        <w:t xml:space="preserve">      整</w:t>
      </w:r>
      <w:r>
        <w:rPr>
          <w:rFonts w:hint="eastAsia" w:ascii="宋体" w:hAnsi="宋体" w:cs="宋体"/>
          <w:color w:val="auto"/>
          <w:sz w:val="24"/>
          <w:highlight w:val="none"/>
        </w:rPr>
        <w:t>），合同生效后15天内且财政拨款到位后，发包人向承包人支付本合同勘察费暂定价的20</w:t>
      </w:r>
      <w:r>
        <w:rPr>
          <w:rFonts w:hint="eastAsia" w:ascii="宋体" w:hAnsi="宋体" w:cs="宋体"/>
          <w:color w:val="auto"/>
          <w:spacing w:val="10"/>
          <w:sz w:val="24"/>
          <w:highlight w:val="none"/>
        </w:rPr>
        <w:t>%</w:t>
      </w:r>
      <w:r>
        <w:rPr>
          <w:rFonts w:hint="eastAsia" w:ascii="宋体" w:hAnsi="宋体" w:cs="宋体"/>
          <w:color w:val="auto"/>
          <w:sz w:val="24"/>
          <w:highlight w:val="none"/>
        </w:rPr>
        <w:t>作为定金，计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万元（本合同履行后，定金抵作勘察费）；提交勘察成果资料后30天内，勘察成果资料通过发包人验收，</w:t>
      </w:r>
      <w:r>
        <w:rPr>
          <w:rFonts w:hint="eastAsia" w:ascii="宋体" w:hAnsi="宋体" w:cs="宋体"/>
          <w:color w:val="auto"/>
          <w:spacing w:val="10"/>
          <w:sz w:val="24"/>
          <w:highlight w:val="none"/>
        </w:rPr>
        <w:t>发包人累计支付至实际完成勘察工程量对应勘察费的70%</w:t>
      </w:r>
      <w:r>
        <w:rPr>
          <w:rFonts w:hint="eastAsia" w:ascii="宋体" w:hAnsi="宋体" w:cs="宋体"/>
          <w:color w:val="auto"/>
          <w:spacing w:val="10"/>
          <w:sz w:val="24"/>
          <w:highlight w:val="none"/>
          <w:lang w:eastAsia="zh-CN"/>
        </w:rPr>
        <w:t>，</w:t>
      </w:r>
      <w:r>
        <w:rPr>
          <w:rFonts w:hint="eastAsia" w:ascii="宋体" w:hAnsi="宋体" w:cs="宋体"/>
          <w:color w:val="auto"/>
          <w:sz w:val="24"/>
          <w:highlight w:val="none"/>
        </w:rPr>
        <w:t>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万元；本工程项目完成施工图审查（或完成施工招标），勘察费结算经园区财政评审部门或其授权委托单位审定后，发包人向承包人支付勘察费至结算价的90%</w:t>
      </w:r>
      <w:r>
        <w:rPr>
          <w:rFonts w:hint="eastAsia" w:ascii="宋体" w:hAnsi="宋体" w:cs="宋体"/>
          <w:color w:val="auto"/>
          <w:sz w:val="24"/>
          <w:highlight w:val="none"/>
          <w:lang w:eastAsia="zh-CN"/>
        </w:rPr>
        <w:t>，</w:t>
      </w:r>
      <w:r>
        <w:rPr>
          <w:rFonts w:hint="eastAsia" w:ascii="宋体" w:hAnsi="宋体" w:cs="宋体"/>
          <w:color w:val="auto"/>
          <w:sz w:val="24"/>
          <w:highlight w:val="none"/>
        </w:rPr>
        <w:t>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万元；剩余的勘察费待工程完工后发包人一次结清（不计利息）。以上勘察费必须待财政拨款到位后方能支付。</w:t>
      </w:r>
    </w:p>
    <w:p w14:paraId="6D588D51">
      <w:pPr>
        <w:widowControl/>
        <w:wordWrap w:val="0"/>
        <w:topLinePunct/>
        <w:adjustRightInd w:val="0"/>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4.2.</w:t>
      </w:r>
      <w:r>
        <w:rPr>
          <w:rFonts w:hint="eastAsia" w:ascii="宋体" w:hAnsi="宋体" w:cs="宋体"/>
          <w:color w:val="auto"/>
          <w:sz w:val="24"/>
          <w:highlight w:val="none"/>
          <w:lang w:val="en-US" w:eastAsia="zh-CN"/>
        </w:rPr>
        <w:t>4</w:t>
      </w:r>
      <w:r>
        <w:rPr>
          <w:rFonts w:hint="eastAsia" w:ascii="宋体" w:hAnsi="宋体" w:cs="宋体"/>
          <w:color w:val="auto"/>
          <w:sz w:val="24"/>
          <w:szCs w:val="22"/>
          <w:highlight w:val="none"/>
        </w:rPr>
        <w:t>最终</w:t>
      </w:r>
      <w:r>
        <w:rPr>
          <w:rFonts w:hint="eastAsia" w:ascii="宋体" w:hAnsi="宋体" w:cs="宋体"/>
          <w:color w:val="auto"/>
          <w:sz w:val="24"/>
          <w:szCs w:val="22"/>
          <w:highlight w:val="none"/>
          <w:lang w:eastAsia="zh-CN"/>
        </w:rPr>
        <w:t>勘察</w:t>
      </w:r>
      <w:r>
        <w:rPr>
          <w:rFonts w:hint="eastAsia" w:ascii="宋体" w:hAnsi="宋体" w:cs="宋体"/>
          <w:color w:val="auto"/>
          <w:sz w:val="24"/>
          <w:szCs w:val="22"/>
          <w:highlight w:val="none"/>
        </w:rPr>
        <w:t>内容和工作量以</w:t>
      </w:r>
      <w:r>
        <w:rPr>
          <w:rFonts w:hint="eastAsia" w:ascii="宋体" w:hAnsi="宋体" w:eastAsia="宋体" w:cs="宋体"/>
          <w:color w:val="auto"/>
          <w:sz w:val="24"/>
          <w:szCs w:val="22"/>
          <w:highlight w:val="none"/>
          <w:lang w:val="en-US" w:eastAsia="zh-CN"/>
        </w:rPr>
        <w:t>发包</w:t>
      </w:r>
      <w:r>
        <w:rPr>
          <w:rFonts w:hint="eastAsia" w:ascii="宋体" w:hAnsi="宋体" w:cs="宋体"/>
          <w:color w:val="auto"/>
          <w:sz w:val="24"/>
          <w:szCs w:val="22"/>
          <w:highlight w:val="none"/>
        </w:rPr>
        <w:t>人根据现场实际情况确认为准。</w:t>
      </w:r>
    </w:p>
    <w:p w14:paraId="0415B049">
      <w:pPr>
        <w:widowControl/>
        <w:wordWrap w:val="0"/>
        <w:topLinePunct/>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注：所有勘察项目（含岩土、测量）均需报发包人根据现场实际情况确认同意后方可实施。</w:t>
      </w:r>
    </w:p>
    <w:p w14:paraId="4D9BBD18">
      <w:pPr>
        <w:widowControl/>
        <w:wordWrap w:val="0"/>
        <w:topLinePunct/>
        <w:adjustRightInd w:val="0"/>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在签订合同或结算阶段，如发包人发现</w:t>
      </w:r>
      <w:r>
        <w:rPr>
          <w:rFonts w:hint="eastAsia" w:ascii="宋体" w:hAnsi="宋体" w:eastAsia="宋体" w:cs="宋体"/>
          <w:color w:val="auto"/>
          <w:sz w:val="24"/>
          <w:highlight w:val="none"/>
          <w:lang w:val="en-US" w:eastAsia="zh-CN"/>
        </w:rPr>
        <w:t>承包</w:t>
      </w:r>
      <w:r>
        <w:rPr>
          <w:rFonts w:hint="eastAsia" w:ascii="宋体" w:hAnsi="宋体" w:eastAsia="宋体" w:cs="宋体"/>
          <w:color w:val="auto"/>
          <w:sz w:val="24"/>
          <w:highlight w:val="none"/>
        </w:rPr>
        <w:t>人的投标报价不符合招标文件规定的，可进行修正，勘察人不得有异议。如遇审计部门审计发现本合同结算价款存在超付的情形，发包人有权据实要求</w:t>
      </w:r>
      <w:r>
        <w:rPr>
          <w:rFonts w:hint="eastAsia" w:ascii="宋体" w:hAnsi="宋体" w:eastAsia="宋体" w:cs="宋体"/>
          <w:color w:val="auto"/>
          <w:sz w:val="24"/>
          <w:highlight w:val="none"/>
          <w:lang w:val="en-US" w:eastAsia="zh-CN"/>
        </w:rPr>
        <w:t>承包</w:t>
      </w:r>
      <w:r>
        <w:rPr>
          <w:rFonts w:hint="eastAsia" w:ascii="宋体" w:hAnsi="宋体" w:eastAsia="宋体" w:cs="宋体"/>
          <w:color w:val="auto"/>
          <w:sz w:val="24"/>
          <w:highlight w:val="none"/>
        </w:rPr>
        <w:t>人返还该部分款项。</w:t>
      </w:r>
    </w:p>
    <w:p w14:paraId="5D892467">
      <w:pPr>
        <w:widowControl/>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第五条：</w:t>
      </w:r>
      <w:r>
        <w:rPr>
          <w:rFonts w:hint="eastAsia" w:ascii="宋体" w:hAnsi="宋体" w:cs="宋体"/>
          <w:color w:val="auto"/>
          <w:sz w:val="24"/>
          <w:szCs w:val="24"/>
          <w:highlight w:val="none"/>
        </w:rPr>
        <w:t>发包人、承包人责任</w:t>
      </w:r>
    </w:p>
    <w:p w14:paraId="5294AD5A">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5.1发包人责任</w:t>
      </w:r>
    </w:p>
    <w:p w14:paraId="6553D6D3">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5.1.1发包人委托任务时，必须以书面形式向承包人明确勘察任务及技术要求，并按第二条约定提供文件资料。</w:t>
      </w:r>
    </w:p>
    <w:p w14:paraId="330516F4">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5.1.2勘察过程中的任何变更、签证，经办理正式变更签证手续后，发包人应按实际发生的工作量支付勘察费。</w:t>
      </w:r>
    </w:p>
    <w:p w14:paraId="5759A578">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5.1.3由于发包人原因或规划调整原因造成的承包人停、窝工，工期顺延。停工6个月以上的，双方同意按已实际完成的勘察工作量对应勘察费的90%进行支付。</w:t>
      </w:r>
    </w:p>
    <w:p w14:paraId="1C959434">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5.1.4发包人应保护承包人的投标书、勘察方案、报告书、文件、资料图纸、数据、特殊工艺(方法)、专利技术和合理化建议，未经承包人同意，发包人不得泄露、不得擅自修改、传送或向第三人转让或用于本合同外的项目；如发生上述情况，发包人应负法律责任，承包人有权索赔。</w:t>
      </w:r>
    </w:p>
    <w:p w14:paraId="3053CAED">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5.1.5本合同有关条款中约定的发包人应负的其它责任。</w:t>
      </w:r>
    </w:p>
    <w:p w14:paraId="380F77B6">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5.2承包人责任</w:t>
      </w:r>
    </w:p>
    <w:p w14:paraId="2179E780">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5.2.1承包人应按国家技术规范、标准、规程和发包人的任务委托书及技术要求进行工程勘察，按本合同规定的时间提交质量合格的勘察成果资料，并对其负责。承包人所提交的地形图测量等成果资料需满足规划报建、办理用地预审手续及规划国土部门的审批要求，否则承包人应将地形图测量工作分包给具备相应资质并能办理上述手续的勘察测量单位负责实施，如果因为资料不合格而导致的返工测量、补充测量、完善资料、修改资料等工作及费用由承包人承担。</w:t>
      </w:r>
    </w:p>
    <w:p w14:paraId="5417D053">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5.2.2由于承包人提供的勘察成果资料质量不合格，承包人应负责无偿给予补充完善使其达到质量合格；若承包人无力补充完善，需另委托其他单位时，承包人应承担全部勘察费用；因勘察质量造成重大经济损失或工程事故时，承包人</w:t>
      </w:r>
      <w:r>
        <w:rPr>
          <w:rFonts w:hint="eastAsia" w:ascii="宋体" w:hAnsi="宋体" w:cs="宋体"/>
          <w:color w:val="auto"/>
          <w:spacing w:val="10"/>
          <w:sz w:val="24"/>
          <w:szCs w:val="24"/>
          <w:highlight w:val="none"/>
        </w:rPr>
        <w:t>除应</w:t>
      </w:r>
      <w:r>
        <w:rPr>
          <w:rFonts w:hint="eastAsia" w:ascii="宋体" w:hAnsi="宋体" w:cs="宋体"/>
          <w:color w:val="auto"/>
          <w:sz w:val="24"/>
          <w:szCs w:val="24"/>
          <w:highlight w:val="none"/>
        </w:rPr>
        <w:t>负责采取补救措施，按勘察收费的30%向发包人支付违约金外，还应按《中华人民共和国建筑法》、《建设工程质量管理条例》、《建设工程勘察设计管理条例》及有关法律法规规定承担相应法律责任。</w:t>
      </w:r>
    </w:p>
    <w:p w14:paraId="2BB784CC">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5.2.3在工程勘察前，提出勘察纲要或勘察组织设计，派人与发包人的人员一起验收发包人提供的材料。</w:t>
      </w:r>
    </w:p>
    <w:p w14:paraId="421ADF99">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5.2.4勘察过程中，根据工程的岩土工程条件(或工作现场地形地貌、地质和水文地质条件)及技术规范要求，向发包人提出增减工作量或修改勘察工作的意见。并办理正式变更手续。</w:t>
      </w:r>
    </w:p>
    <w:p w14:paraId="5BE4B5BD">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5.2.5在现场工作的承包人的人员应遵守发包人的安全保卫及其它有关的规章制度，承担其有关资料保密义务。</w:t>
      </w:r>
    </w:p>
    <w:p w14:paraId="1F262464">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.6在勘察工作范围内，没有资料、图纸的地区（段），承包人应负责查清地下埋藏物，勘察单位未探明地下埋藏物即进行钻探的，发生人身伤害或造成经济损失时，由承包人承担民事责任。</w:t>
      </w:r>
    </w:p>
    <w:p w14:paraId="39F83CF0">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5.2.7本合同有关条款规定和补充协议中承包人应负的其它责任。</w:t>
      </w:r>
    </w:p>
    <w:p w14:paraId="1CA09669">
      <w:pPr>
        <w:widowControl/>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第六条：</w:t>
      </w:r>
      <w:r>
        <w:rPr>
          <w:rFonts w:hint="eastAsia" w:ascii="宋体" w:hAnsi="宋体" w:cs="宋体"/>
          <w:color w:val="auto"/>
          <w:sz w:val="24"/>
          <w:szCs w:val="24"/>
          <w:highlight w:val="none"/>
        </w:rPr>
        <w:t>违约责任</w:t>
      </w:r>
    </w:p>
    <w:p w14:paraId="63A0176B">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6.1由于承包人原因造成勘察成果资料质量不合格，不能满足技术要求时，承包人应按发包人要求期限返工，其返工勘察费用由承包人承担。</w:t>
      </w:r>
    </w:p>
    <w:p w14:paraId="5A43A02F">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6.2合同履行期间，由于工程停建或其他发包人责任，发包人解除合同的，承包人已完成的工作量相应勘察费金额不超过定金的，不退还发包人已付定金；承包人已完成的工作量相应勘察费金额超过定金的，按承包人实际完成工作量结算及支付勘察费（定金抵扣勘察费）。</w:t>
      </w:r>
    </w:p>
    <w:p w14:paraId="55209C47">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6.3发包人未按合同约定时间（日期）拨付勘察费，每超过一日，应偿付应付未付勘察费的千分之一逾期违约金。</w:t>
      </w:r>
    </w:p>
    <w:p w14:paraId="7D26A074">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6.4由于承包人原因未按合同约定时间（日期）提交勘察成果资料，每超过一日，应减收勘察费千分之三，误期损害赔偿费的最高限额为最终勘察合同价格的30%。</w:t>
      </w:r>
    </w:p>
    <w:p w14:paraId="53734436">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6.5本合同签订后，发包人不履行合同时，无权要求退还定金；承包人不履行合同时，双倍返还定金。</w:t>
      </w:r>
    </w:p>
    <w:p w14:paraId="06D3437D">
      <w:pPr>
        <w:widowControl/>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第七条：</w:t>
      </w:r>
      <w:r>
        <w:rPr>
          <w:rFonts w:hint="eastAsia" w:ascii="宋体" w:hAnsi="宋体" w:cs="宋体"/>
          <w:color w:val="auto"/>
          <w:sz w:val="24"/>
          <w:szCs w:val="24"/>
          <w:highlight w:val="none"/>
        </w:rPr>
        <w:t>本合同未尽事宜，经发包人与承包人协商一致，签订补充协议，补充协议与本合同具有同等效力。</w:t>
      </w:r>
    </w:p>
    <w:p w14:paraId="312A230F">
      <w:pPr>
        <w:widowControl/>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第八条：</w:t>
      </w:r>
      <w:r>
        <w:rPr>
          <w:rFonts w:hint="eastAsia" w:ascii="宋体" w:hAnsi="宋体" w:cs="宋体"/>
          <w:color w:val="auto"/>
          <w:sz w:val="24"/>
          <w:szCs w:val="24"/>
          <w:highlight w:val="none"/>
        </w:rPr>
        <w:t>其它约定事项</w:t>
      </w:r>
    </w:p>
    <w:p w14:paraId="38DE5CC1">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8.1 承包人不得将本工程转包给他人。</w:t>
      </w:r>
    </w:p>
    <w:p w14:paraId="72880D22">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8.2 承包人在勘察过程中发现地下不明物体及发生突发事故应及时报告发包人。</w:t>
      </w:r>
    </w:p>
    <w:p w14:paraId="13B09CB4">
      <w:pPr>
        <w:widowControl/>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8.3 发包人不提供施工及生活用水、用电，由承包人自行解决。</w:t>
      </w:r>
    </w:p>
    <w:p w14:paraId="33349CD1">
      <w:pPr>
        <w:widowControl/>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第九条：</w:t>
      </w:r>
      <w:r>
        <w:rPr>
          <w:rFonts w:hint="eastAsia" w:ascii="宋体" w:hAnsi="宋体" w:cs="宋体"/>
          <w:color w:val="auto"/>
          <w:sz w:val="24"/>
          <w:szCs w:val="24"/>
          <w:highlight w:val="none"/>
        </w:rPr>
        <w:t>本合同在履行过程中发生的争议，由双方当事人协商解决，协商不成的按下列第</w:t>
      </w:r>
      <w:r>
        <w:rPr>
          <w:rFonts w:hint="eastAsia" w:ascii="宋体" w:hAnsi="宋体" w:cs="宋体"/>
          <w:color w:val="auto"/>
          <w:sz w:val="24"/>
          <w:szCs w:val="24"/>
          <w:highlight w:val="none"/>
          <w:u w:val="single"/>
        </w:rPr>
        <w:t xml:space="preserve"> 二  </w:t>
      </w:r>
      <w:r>
        <w:rPr>
          <w:rFonts w:hint="eastAsia" w:ascii="宋体" w:hAnsi="宋体" w:cs="宋体"/>
          <w:color w:val="auto"/>
          <w:sz w:val="24"/>
          <w:szCs w:val="24"/>
          <w:highlight w:val="none"/>
        </w:rPr>
        <w:t>种方式解决：</w:t>
      </w:r>
    </w:p>
    <w:p w14:paraId="5411AE37">
      <w:pPr>
        <w:widowControl/>
        <w:wordWrap w:val="0"/>
        <w:topLinePunct/>
        <w:adjustRightInd w:val="0"/>
        <w:snapToGrid w:val="0"/>
        <w:spacing w:line="440" w:lineRule="exact"/>
        <w:ind w:firstLine="422" w:firstLineChars="17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（一）提交</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仲裁；</w:t>
      </w:r>
    </w:p>
    <w:p w14:paraId="4FD1D946">
      <w:pPr>
        <w:widowControl/>
        <w:wordWrap w:val="0"/>
        <w:topLinePunct/>
        <w:adjustRightInd w:val="0"/>
        <w:snapToGrid w:val="0"/>
        <w:spacing w:line="440" w:lineRule="exact"/>
        <w:ind w:firstLine="422" w:firstLineChars="176"/>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（二）依法向工程所在地人民法院起诉。</w:t>
      </w:r>
    </w:p>
    <w:p w14:paraId="674CAB41">
      <w:pPr>
        <w:widowControl/>
        <w:wordWrap w:val="0"/>
        <w:topLinePunct/>
        <w:adjustRightInd w:val="0"/>
        <w:snapToGrid w:val="0"/>
        <w:spacing w:line="440" w:lineRule="exact"/>
        <w:ind w:firstLine="424" w:firstLineChars="176"/>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 第十条：</w:t>
      </w:r>
      <w:r>
        <w:rPr>
          <w:rFonts w:hint="eastAsia" w:ascii="宋体" w:hAnsi="宋体" w:cs="宋体"/>
          <w:color w:val="auto"/>
          <w:sz w:val="24"/>
          <w:szCs w:val="24"/>
          <w:highlight w:val="none"/>
        </w:rPr>
        <w:t>本合同自发包人、承包人签字盖章后生效</w:t>
      </w:r>
      <w:r>
        <w:rPr>
          <w:rFonts w:hint="eastAsia" w:ascii="宋体" w:hAnsi="宋体" w:cs="宋体"/>
          <w:color w:val="auto"/>
          <w:sz w:val="24"/>
          <w:szCs w:val="24"/>
          <w:highlight w:val="none"/>
          <w:lang w:eastAsia="zh-CN"/>
        </w:rPr>
        <w:t>，</w:t>
      </w:r>
      <w:r>
        <w:rPr>
          <w:rFonts w:hint="eastAsia" w:ascii="宋体" w:hAnsi="宋体"/>
          <w:color w:val="auto"/>
          <w:sz w:val="24"/>
          <w:highlight w:val="none"/>
        </w:rPr>
        <w:t>本合同</w:t>
      </w:r>
      <w:r>
        <w:rPr>
          <w:rFonts w:hint="eastAsia" w:ascii="宋体" w:hAnsi="宋体"/>
          <w:color w:val="auto"/>
          <w:sz w:val="24"/>
          <w:highlight w:val="none"/>
          <w:lang w:val="en-US" w:eastAsia="zh-CN"/>
        </w:rPr>
        <w:t>共</w:t>
      </w:r>
      <w:r>
        <w:rPr>
          <w:rFonts w:hint="eastAsia" w:ascii="宋体" w:hAnsi="宋体"/>
          <w:color w:val="auto"/>
          <w:sz w:val="24"/>
          <w:highlight w:val="none"/>
          <w:u w:val="single"/>
        </w:rPr>
        <w:t xml:space="preserve">  </w:t>
      </w:r>
      <w:r>
        <w:rPr>
          <w:rFonts w:hint="eastAsia" w:ascii="宋体" w:hAnsi="宋体"/>
          <w:color w:val="auto"/>
          <w:sz w:val="24"/>
          <w:highlight w:val="none"/>
        </w:rPr>
        <w:t>份，发包人执</w:t>
      </w:r>
      <w:r>
        <w:rPr>
          <w:rFonts w:hint="eastAsia" w:ascii="宋体" w:hAnsi="宋体"/>
          <w:color w:val="auto"/>
          <w:sz w:val="24"/>
          <w:highlight w:val="none"/>
          <w:u w:val="single"/>
        </w:rPr>
        <w:t xml:space="preserve">  </w:t>
      </w:r>
      <w:r>
        <w:rPr>
          <w:rFonts w:hint="eastAsia" w:ascii="宋体" w:hAnsi="宋体"/>
          <w:color w:val="auto"/>
          <w:sz w:val="24"/>
          <w:highlight w:val="none"/>
        </w:rPr>
        <w:t>份，承包人执</w:t>
      </w:r>
      <w:r>
        <w:rPr>
          <w:rFonts w:hint="eastAsia" w:ascii="宋体" w:hAnsi="宋体"/>
          <w:color w:val="auto"/>
          <w:sz w:val="24"/>
          <w:highlight w:val="none"/>
          <w:u w:val="single"/>
        </w:rPr>
        <w:t xml:space="preserve">   </w:t>
      </w:r>
      <w:r>
        <w:rPr>
          <w:rFonts w:hint="eastAsia" w:ascii="宋体" w:hAnsi="宋体"/>
          <w:color w:val="auto"/>
          <w:sz w:val="24"/>
          <w:highlight w:val="none"/>
        </w:rPr>
        <w:t>份。</w:t>
      </w:r>
      <w:r>
        <w:rPr>
          <w:rFonts w:hint="eastAsia" w:ascii="宋体" w:hAnsi="宋体" w:cs="宋体"/>
          <w:color w:val="auto"/>
          <w:sz w:val="24"/>
          <w:szCs w:val="24"/>
          <w:highlight w:val="none"/>
        </w:rPr>
        <w:t>发包人、承包人认为必要时，到项目所在地工商行政管理部门申请鉴证。发包人、承包人履行完合同规定的义务后，本合同终止。</w:t>
      </w:r>
    </w:p>
    <w:p w14:paraId="620292D5">
      <w:pPr>
        <w:pStyle w:val="11"/>
        <w:rPr>
          <w:color w:val="auto"/>
          <w:highlight w:val="none"/>
        </w:rPr>
      </w:pPr>
    </w:p>
    <w:p w14:paraId="77E74D61">
      <w:pPr>
        <w:widowControl/>
        <w:wordWrap w:val="0"/>
        <w:topLinePunct/>
        <w:adjustRightInd w:val="0"/>
        <w:snapToGrid w:val="0"/>
        <w:spacing w:line="440" w:lineRule="exact"/>
        <w:rPr>
          <w:rFonts w:ascii="宋体" w:hAnsi="宋体" w:cs="宋体"/>
          <w:color w:val="auto"/>
          <w:sz w:val="24"/>
          <w:szCs w:val="24"/>
          <w:highlight w:val="none"/>
        </w:rPr>
      </w:pPr>
    </w:p>
    <w:p w14:paraId="59444634">
      <w:pPr>
        <w:rPr>
          <w:color w:val="auto"/>
          <w:highlight w:val="none"/>
        </w:rPr>
      </w:pPr>
      <w:r>
        <w:rPr>
          <w:color w:val="auto"/>
          <w:highlight w:val="none"/>
        </w:rPr>
        <w:br w:type="page"/>
      </w:r>
    </w:p>
    <w:p w14:paraId="57AE754F">
      <w:pPr>
        <w:widowControl/>
        <w:wordWrap w:val="0"/>
        <w:topLinePunct/>
        <w:adjustRightInd w:val="0"/>
        <w:snapToGrid w:val="0"/>
        <w:spacing w:line="440" w:lineRule="exac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本页为签署页</w:t>
      </w:r>
      <w:r>
        <w:rPr>
          <w:rFonts w:hint="eastAsia" w:ascii="宋体" w:hAnsi="宋体" w:cs="宋体"/>
          <w:color w:val="auto"/>
          <w:sz w:val="24"/>
          <w:szCs w:val="24"/>
          <w:highlight w:val="none"/>
          <w:lang w:eastAsia="zh-CN"/>
        </w:rPr>
        <w:t>）</w:t>
      </w:r>
    </w:p>
    <w:p w14:paraId="54D688F9">
      <w:pPr>
        <w:rPr>
          <w:color w:val="auto"/>
          <w:highlight w:val="none"/>
        </w:rPr>
      </w:pPr>
    </w:p>
    <w:tbl>
      <w:tblPr>
        <w:tblStyle w:val="8"/>
        <w:tblW w:w="8851" w:type="dxa"/>
        <w:tblInd w:w="0" w:type="dxa"/>
        <w:tblLayout w:type="fixed"/>
        <w:tblCellMar>
          <w:top w:w="0" w:type="dxa"/>
          <w:left w:w="108" w:type="dxa"/>
          <w:bottom w:w="0" w:type="dxa"/>
          <w:right w:w="108" w:type="dxa"/>
        </w:tblCellMar>
      </w:tblPr>
      <w:tblGrid>
        <w:gridCol w:w="1579"/>
        <w:gridCol w:w="2771"/>
        <w:gridCol w:w="1591"/>
        <w:gridCol w:w="2910"/>
      </w:tblGrid>
      <w:tr w14:paraId="00CCEA66">
        <w:tblPrEx>
          <w:tblCellMar>
            <w:top w:w="0" w:type="dxa"/>
            <w:left w:w="108" w:type="dxa"/>
            <w:bottom w:w="0" w:type="dxa"/>
            <w:right w:w="108" w:type="dxa"/>
          </w:tblCellMar>
        </w:tblPrEx>
        <w:trPr>
          <w:trHeight w:val="803" w:hRule="atLeast"/>
        </w:trPr>
        <w:tc>
          <w:tcPr>
            <w:tcW w:w="1579" w:type="dxa"/>
            <w:noWrap w:val="0"/>
            <w:vAlign w:val="center"/>
          </w:tcPr>
          <w:p w14:paraId="34AAC96F">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发包人：</w:t>
            </w:r>
          </w:p>
        </w:tc>
        <w:tc>
          <w:tcPr>
            <w:tcW w:w="2771" w:type="dxa"/>
            <w:noWrap w:val="0"/>
            <w:vAlign w:val="center"/>
          </w:tcPr>
          <w:p w14:paraId="5DBB6A61">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4090D49D">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承包人：</w:t>
            </w:r>
          </w:p>
        </w:tc>
        <w:tc>
          <w:tcPr>
            <w:tcW w:w="2910" w:type="dxa"/>
            <w:noWrap w:val="0"/>
            <w:vAlign w:val="center"/>
          </w:tcPr>
          <w:p w14:paraId="58C1CF0A">
            <w:pPr>
              <w:widowControl/>
              <w:wordWrap w:val="0"/>
              <w:topLinePunct/>
              <w:adjustRightInd w:val="0"/>
              <w:snapToGrid w:val="0"/>
              <w:spacing w:line="360" w:lineRule="auto"/>
              <w:rPr>
                <w:rFonts w:ascii="宋体" w:hAnsi="宋体" w:cs="宋体"/>
                <w:color w:val="auto"/>
                <w:sz w:val="24"/>
                <w:szCs w:val="24"/>
                <w:highlight w:val="none"/>
              </w:rPr>
            </w:pPr>
          </w:p>
        </w:tc>
      </w:tr>
      <w:tr w14:paraId="26B32DD5">
        <w:tblPrEx>
          <w:tblCellMar>
            <w:top w:w="0" w:type="dxa"/>
            <w:left w:w="108" w:type="dxa"/>
            <w:bottom w:w="0" w:type="dxa"/>
            <w:right w:w="108" w:type="dxa"/>
          </w:tblCellMar>
        </w:tblPrEx>
        <w:trPr>
          <w:trHeight w:val="803" w:hRule="atLeast"/>
        </w:trPr>
        <w:tc>
          <w:tcPr>
            <w:tcW w:w="1579" w:type="dxa"/>
            <w:noWrap w:val="0"/>
            <w:vAlign w:val="center"/>
          </w:tcPr>
          <w:p w14:paraId="52E40FA2">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住 所：</w:t>
            </w:r>
          </w:p>
        </w:tc>
        <w:tc>
          <w:tcPr>
            <w:tcW w:w="2771" w:type="dxa"/>
            <w:noWrap w:val="0"/>
            <w:vAlign w:val="center"/>
          </w:tcPr>
          <w:p w14:paraId="100629F3">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73D7BF48">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住 所：</w:t>
            </w:r>
          </w:p>
        </w:tc>
        <w:tc>
          <w:tcPr>
            <w:tcW w:w="2910" w:type="dxa"/>
            <w:noWrap w:val="0"/>
            <w:vAlign w:val="center"/>
          </w:tcPr>
          <w:p w14:paraId="00BF4450">
            <w:pPr>
              <w:widowControl/>
              <w:wordWrap w:val="0"/>
              <w:topLinePunct/>
              <w:adjustRightInd w:val="0"/>
              <w:snapToGrid w:val="0"/>
              <w:rPr>
                <w:rFonts w:ascii="宋体" w:hAnsi="宋体" w:cs="宋体"/>
                <w:color w:val="auto"/>
                <w:sz w:val="24"/>
                <w:szCs w:val="24"/>
                <w:highlight w:val="none"/>
              </w:rPr>
            </w:pPr>
          </w:p>
        </w:tc>
      </w:tr>
      <w:tr w14:paraId="6CEFF330">
        <w:tblPrEx>
          <w:tblCellMar>
            <w:top w:w="0" w:type="dxa"/>
            <w:left w:w="108" w:type="dxa"/>
            <w:bottom w:w="0" w:type="dxa"/>
            <w:right w:w="108" w:type="dxa"/>
          </w:tblCellMar>
        </w:tblPrEx>
        <w:trPr>
          <w:trHeight w:val="803" w:hRule="atLeast"/>
        </w:trPr>
        <w:tc>
          <w:tcPr>
            <w:tcW w:w="1579" w:type="dxa"/>
            <w:noWrap w:val="0"/>
            <w:vAlign w:val="center"/>
          </w:tcPr>
          <w:p w14:paraId="4B3CD2A2">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法定代表人：</w:t>
            </w:r>
          </w:p>
        </w:tc>
        <w:tc>
          <w:tcPr>
            <w:tcW w:w="2771" w:type="dxa"/>
            <w:noWrap w:val="0"/>
            <w:vAlign w:val="center"/>
          </w:tcPr>
          <w:p w14:paraId="4648AAF5">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4377CC03">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法定代表人：</w:t>
            </w:r>
          </w:p>
        </w:tc>
        <w:tc>
          <w:tcPr>
            <w:tcW w:w="2910" w:type="dxa"/>
            <w:noWrap w:val="0"/>
            <w:vAlign w:val="center"/>
          </w:tcPr>
          <w:p w14:paraId="60F8FE56">
            <w:pPr>
              <w:widowControl/>
              <w:wordWrap w:val="0"/>
              <w:topLinePunct/>
              <w:adjustRightInd w:val="0"/>
              <w:snapToGrid w:val="0"/>
              <w:spacing w:line="360" w:lineRule="auto"/>
              <w:rPr>
                <w:rFonts w:ascii="宋体" w:hAnsi="宋体" w:cs="宋体"/>
                <w:color w:val="auto"/>
                <w:sz w:val="24"/>
                <w:szCs w:val="24"/>
                <w:highlight w:val="none"/>
              </w:rPr>
            </w:pPr>
          </w:p>
        </w:tc>
      </w:tr>
      <w:tr w14:paraId="6500D0AD">
        <w:tblPrEx>
          <w:tblCellMar>
            <w:top w:w="0" w:type="dxa"/>
            <w:left w:w="108" w:type="dxa"/>
            <w:bottom w:w="0" w:type="dxa"/>
            <w:right w:w="108" w:type="dxa"/>
          </w:tblCellMar>
        </w:tblPrEx>
        <w:trPr>
          <w:trHeight w:val="803" w:hRule="atLeast"/>
        </w:trPr>
        <w:tc>
          <w:tcPr>
            <w:tcW w:w="1579" w:type="dxa"/>
            <w:noWrap w:val="0"/>
            <w:vAlign w:val="center"/>
          </w:tcPr>
          <w:p w14:paraId="5FA113C1">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委托代理人：</w:t>
            </w:r>
          </w:p>
        </w:tc>
        <w:tc>
          <w:tcPr>
            <w:tcW w:w="2771" w:type="dxa"/>
            <w:noWrap w:val="0"/>
            <w:vAlign w:val="center"/>
          </w:tcPr>
          <w:p w14:paraId="0BDA9356">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33A9D068">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委托代理人：</w:t>
            </w:r>
          </w:p>
        </w:tc>
        <w:tc>
          <w:tcPr>
            <w:tcW w:w="2910" w:type="dxa"/>
            <w:noWrap w:val="0"/>
            <w:vAlign w:val="center"/>
          </w:tcPr>
          <w:p w14:paraId="3FE5F984">
            <w:pPr>
              <w:widowControl/>
              <w:wordWrap w:val="0"/>
              <w:topLinePunct/>
              <w:adjustRightInd w:val="0"/>
              <w:snapToGrid w:val="0"/>
              <w:spacing w:line="440" w:lineRule="exact"/>
              <w:rPr>
                <w:rFonts w:ascii="宋体" w:hAnsi="宋体" w:cs="宋体"/>
                <w:color w:val="auto"/>
                <w:sz w:val="24"/>
                <w:szCs w:val="24"/>
                <w:highlight w:val="none"/>
              </w:rPr>
            </w:pPr>
          </w:p>
        </w:tc>
      </w:tr>
      <w:tr w14:paraId="574DCED3">
        <w:tblPrEx>
          <w:tblCellMar>
            <w:top w:w="0" w:type="dxa"/>
            <w:left w:w="108" w:type="dxa"/>
            <w:bottom w:w="0" w:type="dxa"/>
            <w:right w:w="108" w:type="dxa"/>
          </w:tblCellMar>
        </w:tblPrEx>
        <w:trPr>
          <w:trHeight w:val="803" w:hRule="atLeast"/>
        </w:trPr>
        <w:tc>
          <w:tcPr>
            <w:tcW w:w="1579" w:type="dxa"/>
            <w:noWrap w:val="0"/>
            <w:vAlign w:val="center"/>
          </w:tcPr>
          <w:p w14:paraId="39900E53">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电    话：</w:t>
            </w:r>
          </w:p>
        </w:tc>
        <w:tc>
          <w:tcPr>
            <w:tcW w:w="2771" w:type="dxa"/>
            <w:noWrap w:val="0"/>
            <w:vAlign w:val="center"/>
          </w:tcPr>
          <w:p w14:paraId="697F8CAE">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3B40D021">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电    话：</w:t>
            </w:r>
          </w:p>
        </w:tc>
        <w:tc>
          <w:tcPr>
            <w:tcW w:w="2910" w:type="dxa"/>
            <w:noWrap w:val="0"/>
            <w:vAlign w:val="center"/>
          </w:tcPr>
          <w:p w14:paraId="1BEE1DEA">
            <w:pPr>
              <w:snapToGrid w:val="0"/>
              <w:rPr>
                <w:rFonts w:ascii="宋体" w:hAnsi="宋体" w:cs="宋体"/>
                <w:color w:val="auto"/>
                <w:sz w:val="24"/>
                <w:szCs w:val="24"/>
                <w:highlight w:val="none"/>
              </w:rPr>
            </w:pPr>
          </w:p>
        </w:tc>
      </w:tr>
      <w:tr w14:paraId="2FBED6B0">
        <w:tblPrEx>
          <w:tblCellMar>
            <w:top w:w="0" w:type="dxa"/>
            <w:left w:w="108" w:type="dxa"/>
            <w:bottom w:w="0" w:type="dxa"/>
            <w:right w:w="108" w:type="dxa"/>
          </w:tblCellMar>
        </w:tblPrEx>
        <w:trPr>
          <w:trHeight w:val="803" w:hRule="atLeast"/>
        </w:trPr>
        <w:tc>
          <w:tcPr>
            <w:tcW w:w="1579" w:type="dxa"/>
            <w:noWrap w:val="0"/>
            <w:vAlign w:val="center"/>
          </w:tcPr>
          <w:p w14:paraId="13C1FDF5">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传    真：</w:t>
            </w:r>
          </w:p>
        </w:tc>
        <w:tc>
          <w:tcPr>
            <w:tcW w:w="2771" w:type="dxa"/>
            <w:noWrap w:val="0"/>
            <w:vAlign w:val="center"/>
          </w:tcPr>
          <w:p w14:paraId="59250AEE">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553D92DC">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传    真：</w:t>
            </w:r>
          </w:p>
        </w:tc>
        <w:tc>
          <w:tcPr>
            <w:tcW w:w="2910" w:type="dxa"/>
            <w:noWrap w:val="0"/>
            <w:vAlign w:val="center"/>
          </w:tcPr>
          <w:p w14:paraId="6AB49151">
            <w:pPr>
              <w:snapToGrid w:val="0"/>
              <w:rPr>
                <w:rFonts w:ascii="宋体" w:hAnsi="宋体" w:cs="宋体"/>
                <w:color w:val="auto"/>
                <w:sz w:val="24"/>
                <w:szCs w:val="24"/>
                <w:highlight w:val="none"/>
              </w:rPr>
            </w:pPr>
          </w:p>
        </w:tc>
      </w:tr>
      <w:tr w14:paraId="48926D75">
        <w:tblPrEx>
          <w:tblCellMar>
            <w:top w:w="0" w:type="dxa"/>
            <w:left w:w="108" w:type="dxa"/>
            <w:bottom w:w="0" w:type="dxa"/>
            <w:right w:w="108" w:type="dxa"/>
          </w:tblCellMar>
        </w:tblPrEx>
        <w:trPr>
          <w:trHeight w:val="803" w:hRule="atLeast"/>
        </w:trPr>
        <w:tc>
          <w:tcPr>
            <w:tcW w:w="1579" w:type="dxa"/>
            <w:noWrap w:val="0"/>
            <w:vAlign w:val="center"/>
          </w:tcPr>
          <w:p w14:paraId="06E98AC5">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开户银行：</w:t>
            </w:r>
          </w:p>
        </w:tc>
        <w:tc>
          <w:tcPr>
            <w:tcW w:w="2771" w:type="dxa"/>
            <w:noWrap w:val="0"/>
            <w:vAlign w:val="center"/>
          </w:tcPr>
          <w:p w14:paraId="7160AC6F">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2F782A55">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开户银行：</w:t>
            </w:r>
          </w:p>
        </w:tc>
        <w:tc>
          <w:tcPr>
            <w:tcW w:w="2910" w:type="dxa"/>
            <w:noWrap w:val="0"/>
            <w:vAlign w:val="center"/>
          </w:tcPr>
          <w:p w14:paraId="6F601178">
            <w:pPr>
              <w:widowControl/>
              <w:wordWrap w:val="0"/>
              <w:topLinePunct/>
              <w:adjustRightInd w:val="0"/>
              <w:snapToGrid w:val="0"/>
              <w:spacing w:line="440" w:lineRule="exact"/>
              <w:rPr>
                <w:rFonts w:ascii="宋体" w:hAnsi="宋体" w:cs="宋体"/>
                <w:color w:val="auto"/>
                <w:sz w:val="24"/>
                <w:szCs w:val="24"/>
                <w:highlight w:val="none"/>
              </w:rPr>
            </w:pPr>
          </w:p>
        </w:tc>
      </w:tr>
      <w:tr w14:paraId="2B120942">
        <w:tblPrEx>
          <w:tblCellMar>
            <w:top w:w="0" w:type="dxa"/>
            <w:left w:w="108" w:type="dxa"/>
            <w:bottom w:w="0" w:type="dxa"/>
            <w:right w:w="108" w:type="dxa"/>
          </w:tblCellMar>
        </w:tblPrEx>
        <w:trPr>
          <w:trHeight w:val="803" w:hRule="atLeast"/>
        </w:trPr>
        <w:tc>
          <w:tcPr>
            <w:tcW w:w="1579" w:type="dxa"/>
            <w:noWrap w:val="0"/>
            <w:vAlign w:val="center"/>
          </w:tcPr>
          <w:p w14:paraId="672D5C6C">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账    号：</w:t>
            </w:r>
          </w:p>
        </w:tc>
        <w:tc>
          <w:tcPr>
            <w:tcW w:w="2771" w:type="dxa"/>
            <w:noWrap w:val="0"/>
            <w:vAlign w:val="center"/>
          </w:tcPr>
          <w:p w14:paraId="137ADCBE">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75D3ECFF">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账    号：</w:t>
            </w:r>
          </w:p>
        </w:tc>
        <w:tc>
          <w:tcPr>
            <w:tcW w:w="2910" w:type="dxa"/>
            <w:noWrap w:val="0"/>
            <w:vAlign w:val="center"/>
          </w:tcPr>
          <w:p w14:paraId="3455BDD7">
            <w:pPr>
              <w:widowControl/>
              <w:wordWrap w:val="0"/>
              <w:topLinePunct/>
              <w:adjustRightInd w:val="0"/>
              <w:snapToGrid w:val="0"/>
              <w:spacing w:line="440" w:lineRule="exact"/>
              <w:rPr>
                <w:rFonts w:ascii="宋体" w:hAnsi="宋体" w:cs="宋体"/>
                <w:color w:val="auto"/>
                <w:sz w:val="24"/>
                <w:szCs w:val="24"/>
                <w:highlight w:val="none"/>
              </w:rPr>
            </w:pPr>
          </w:p>
        </w:tc>
      </w:tr>
      <w:tr w14:paraId="720D8DBF">
        <w:tblPrEx>
          <w:tblCellMar>
            <w:top w:w="0" w:type="dxa"/>
            <w:left w:w="108" w:type="dxa"/>
            <w:bottom w:w="0" w:type="dxa"/>
            <w:right w:w="108" w:type="dxa"/>
          </w:tblCellMar>
        </w:tblPrEx>
        <w:trPr>
          <w:trHeight w:val="803" w:hRule="atLeast"/>
        </w:trPr>
        <w:tc>
          <w:tcPr>
            <w:tcW w:w="1579" w:type="dxa"/>
            <w:noWrap w:val="0"/>
            <w:vAlign w:val="center"/>
          </w:tcPr>
          <w:p w14:paraId="4E398C66">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邮政编码：</w:t>
            </w:r>
          </w:p>
        </w:tc>
        <w:tc>
          <w:tcPr>
            <w:tcW w:w="2771" w:type="dxa"/>
            <w:noWrap w:val="0"/>
            <w:vAlign w:val="center"/>
          </w:tcPr>
          <w:p w14:paraId="7F6C1A85">
            <w:pPr>
              <w:widowControl/>
              <w:wordWrap w:val="0"/>
              <w:topLinePunct/>
              <w:adjustRightInd w:val="0"/>
              <w:snapToGrid w:val="0"/>
              <w:spacing w:line="440" w:lineRule="exact"/>
              <w:rPr>
                <w:rFonts w:ascii="宋体" w:hAnsi="宋体" w:cs="宋体"/>
                <w:color w:val="auto"/>
                <w:sz w:val="24"/>
                <w:szCs w:val="24"/>
                <w:highlight w:val="none"/>
              </w:rPr>
            </w:pPr>
          </w:p>
        </w:tc>
        <w:tc>
          <w:tcPr>
            <w:tcW w:w="1591" w:type="dxa"/>
            <w:noWrap w:val="0"/>
            <w:vAlign w:val="center"/>
          </w:tcPr>
          <w:p w14:paraId="1A473C34">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邮政编码：</w:t>
            </w:r>
          </w:p>
        </w:tc>
        <w:tc>
          <w:tcPr>
            <w:tcW w:w="2910" w:type="dxa"/>
            <w:noWrap w:val="0"/>
            <w:vAlign w:val="center"/>
          </w:tcPr>
          <w:p w14:paraId="048A2E47">
            <w:pPr>
              <w:widowControl/>
              <w:wordWrap w:val="0"/>
              <w:topLinePunct/>
              <w:adjustRightInd w:val="0"/>
              <w:snapToGrid w:val="0"/>
              <w:spacing w:line="440" w:lineRule="exact"/>
              <w:rPr>
                <w:rFonts w:ascii="宋体" w:hAnsi="宋体" w:cs="宋体"/>
                <w:color w:val="auto"/>
                <w:sz w:val="24"/>
                <w:szCs w:val="24"/>
                <w:highlight w:val="none"/>
              </w:rPr>
            </w:pPr>
          </w:p>
        </w:tc>
      </w:tr>
    </w:tbl>
    <w:p w14:paraId="38E73899">
      <w:pPr>
        <w:widowControl/>
        <w:wordWrap w:val="0"/>
        <w:topLinePunct/>
        <w:adjustRightInd w:val="0"/>
        <w:snapToGrid w:val="0"/>
        <w:spacing w:line="440" w:lineRule="exact"/>
        <w:rPr>
          <w:rFonts w:ascii="宋体" w:hAnsi="宋体" w:cs="宋体"/>
          <w:color w:val="auto"/>
          <w:sz w:val="24"/>
          <w:szCs w:val="24"/>
          <w:highlight w:val="none"/>
        </w:rPr>
      </w:pPr>
    </w:p>
    <w:p w14:paraId="5B2F0D25">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订立时间：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AE41F06">
      <w:pPr>
        <w:widowControl/>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14:paraId="781C9741">
      <w:pPr>
        <w:widowControl/>
        <w:wordWrap w:val="0"/>
        <w:topLinePunct/>
        <w:adjustRightInd w:val="0"/>
        <w:snapToGrid w:val="0"/>
        <w:spacing w:line="440" w:lineRule="exact"/>
        <w:jc w:val="center"/>
        <w:rPr>
          <w:rFonts w:ascii="宋体" w:hAnsi="宋体" w:cs="宋体"/>
          <w:b/>
          <w:bCs/>
          <w:color w:val="auto"/>
          <w:spacing w:val="110"/>
          <w:sz w:val="36"/>
          <w:szCs w:val="36"/>
          <w:highlight w:val="none"/>
        </w:rPr>
      </w:pPr>
      <w:r>
        <w:rPr>
          <w:rFonts w:hint="eastAsia" w:ascii="宋体" w:hAnsi="宋体" w:cs="宋体"/>
          <w:b/>
          <w:bCs/>
          <w:color w:val="auto"/>
          <w:spacing w:val="110"/>
          <w:sz w:val="36"/>
          <w:szCs w:val="36"/>
          <w:highlight w:val="none"/>
        </w:rPr>
        <w:t>第三部分 设计合同</w:t>
      </w:r>
    </w:p>
    <w:p w14:paraId="6455C600">
      <w:pPr>
        <w:widowControl/>
        <w:wordWrap w:val="0"/>
        <w:topLinePunct/>
        <w:adjustRightInd w:val="0"/>
        <w:snapToGrid w:val="0"/>
        <w:spacing w:line="440" w:lineRule="exact"/>
        <w:jc w:val="center"/>
        <w:rPr>
          <w:rFonts w:ascii="宋体" w:hAnsi="宋体" w:cs="宋体"/>
          <w:b/>
          <w:bCs/>
          <w:color w:val="auto"/>
          <w:spacing w:val="110"/>
          <w:sz w:val="24"/>
          <w:szCs w:val="24"/>
          <w:highlight w:val="none"/>
        </w:rPr>
      </w:pPr>
    </w:p>
    <w:p w14:paraId="0B8905FD">
      <w:pPr>
        <w:widowControl/>
        <w:wordWrap w:val="0"/>
        <w:topLinePunct/>
        <w:adjustRightInd w:val="0"/>
        <w:snapToGrid w:val="0"/>
        <w:spacing w:line="440" w:lineRule="exact"/>
        <w:rPr>
          <w:rFonts w:ascii="宋体" w:hAnsi="宋体" w:cs="宋体"/>
          <w:color w:val="auto"/>
          <w:sz w:val="24"/>
          <w:szCs w:val="24"/>
          <w:highlight w:val="none"/>
        </w:rPr>
      </w:pPr>
    </w:p>
    <w:p w14:paraId="6EFCB910">
      <w:pPr>
        <w:widowControl/>
        <w:wordWrap w:val="0"/>
        <w:topLinePunct/>
        <w:adjustRightInd w:val="0"/>
        <w:snapToGrid w:val="0"/>
        <w:spacing w:line="440" w:lineRule="exact"/>
        <w:jc w:val="center"/>
        <w:rPr>
          <w:rFonts w:ascii="宋体" w:hAnsi="宋体" w:cs="宋体"/>
          <w:color w:val="auto"/>
          <w:sz w:val="24"/>
          <w:szCs w:val="24"/>
          <w:highlight w:val="none"/>
        </w:rPr>
      </w:pPr>
    </w:p>
    <w:p w14:paraId="7D7485C9">
      <w:pPr>
        <w:widowControl/>
        <w:wordWrap w:val="0"/>
        <w:topLinePunct/>
        <w:adjustRightInd w:val="0"/>
        <w:snapToGrid w:val="0"/>
        <w:spacing w:line="440" w:lineRule="exact"/>
        <w:jc w:val="center"/>
        <w:rPr>
          <w:rFonts w:ascii="宋体" w:hAnsi="宋体" w:cs="宋体"/>
          <w:color w:val="auto"/>
          <w:sz w:val="24"/>
          <w:szCs w:val="24"/>
          <w:highlight w:val="none"/>
        </w:rPr>
      </w:pPr>
    </w:p>
    <w:p w14:paraId="74ABAF93">
      <w:pPr>
        <w:widowControl/>
        <w:wordWrap w:val="0"/>
        <w:topLinePunct/>
        <w:adjustRightInd w:val="0"/>
        <w:snapToGrid w:val="0"/>
        <w:spacing w:line="440" w:lineRule="exact"/>
        <w:jc w:val="center"/>
        <w:rPr>
          <w:rFonts w:ascii="宋体" w:hAnsi="宋体" w:cs="宋体"/>
          <w:color w:val="auto"/>
          <w:sz w:val="24"/>
          <w:szCs w:val="24"/>
          <w:highlight w:val="none"/>
        </w:rPr>
      </w:pPr>
    </w:p>
    <w:tbl>
      <w:tblPr>
        <w:tblStyle w:val="8"/>
        <w:tblW w:w="0" w:type="auto"/>
        <w:jc w:val="center"/>
        <w:tblLayout w:type="fixed"/>
        <w:tblCellMar>
          <w:top w:w="0" w:type="dxa"/>
          <w:left w:w="108" w:type="dxa"/>
          <w:bottom w:w="0" w:type="dxa"/>
          <w:right w:w="108" w:type="dxa"/>
        </w:tblCellMar>
      </w:tblPr>
      <w:tblGrid>
        <w:gridCol w:w="1820"/>
        <w:gridCol w:w="6180"/>
      </w:tblGrid>
      <w:tr w14:paraId="00265D04">
        <w:tblPrEx>
          <w:tblCellMar>
            <w:top w:w="0" w:type="dxa"/>
            <w:left w:w="108" w:type="dxa"/>
            <w:bottom w:w="0" w:type="dxa"/>
            <w:right w:w="108" w:type="dxa"/>
          </w:tblCellMar>
        </w:tblPrEx>
        <w:trPr>
          <w:trHeight w:val="1021" w:hRule="atLeast"/>
          <w:jc w:val="center"/>
        </w:trPr>
        <w:tc>
          <w:tcPr>
            <w:tcW w:w="1820" w:type="dxa"/>
            <w:noWrap w:val="0"/>
            <w:vAlign w:val="center"/>
          </w:tcPr>
          <w:p w14:paraId="21B8729B">
            <w:pPr>
              <w:widowControl/>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工程名称：</w:t>
            </w:r>
          </w:p>
        </w:tc>
        <w:tc>
          <w:tcPr>
            <w:tcW w:w="6180" w:type="dxa"/>
            <w:noWrap w:val="0"/>
            <w:vAlign w:val="center"/>
          </w:tcPr>
          <w:p w14:paraId="28F600E8">
            <w:pPr>
              <w:widowControl/>
              <w:snapToGrid w:val="0"/>
              <w:spacing w:line="440" w:lineRule="exact"/>
              <w:ind w:right="-134" w:rightChars="-64"/>
              <w:rPr>
                <w:rFonts w:hint="default" w:ascii="宋体" w:hAnsi="宋体" w:cs="宋体"/>
                <w:color w:val="auto"/>
                <w:sz w:val="24"/>
                <w:szCs w:val="24"/>
                <w:highlight w:val="none"/>
                <w:lang w:val="en-US"/>
              </w:rPr>
            </w:pPr>
            <w:r>
              <w:rPr>
                <w:rFonts w:hint="eastAsia" w:ascii="宋体" w:hAnsi="宋体"/>
                <w:color w:val="auto"/>
                <w:sz w:val="24"/>
                <w:szCs w:val="24"/>
                <w:highlight w:val="none"/>
                <w:u w:val="single"/>
                <w:lang w:val="en-US" w:eastAsia="zh-CN"/>
              </w:rPr>
              <w:t xml:space="preserve">                                       </w:t>
            </w:r>
          </w:p>
        </w:tc>
      </w:tr>
      <w:tr w14:paraId="45951564">
        <w:tblPrEx>
          <w:tblCellMar>
            <w:top w:w="0" w:type="dxa"/>
            <w:left w:w="108" w:type="dxa"/>
            <w:bottom w:w="0" w:type="dxa"/>
            <w:right w:w="108" w:type="dxa"/>
          </w:tblCellMar>
        </w:tblPrEx>
        <w:trPr>
          <w:trHeight w:val="1021" w:hRule="atLeast"/>
          <w:jc w:val="center"/>
        </w:trPr>
        <w:tc>
          <w:tcPr>
            <w:tcW w:w="1820" w:type="dxa"/>
            <w:noWrap w:val="0"/>
            <w:vAlign w:val="center"/>
          </w:tcPr>
          <w:p w14:paraId="33895D89">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工程地点:</w:t>
            </w:r>
          </w:p>
        </w:tc>
        <w:tc>
          <w:tcPr>
            <w:tcW w:w="6180" w:type="dxa"/>
            <w:noWrap w:val="0"/>
            <w:vAlign w:val="center"/>
          </w:tcPr>
          <w:p w14:paraId="4F9E0DDD">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3B802BE6">
        <w:tblPrEx>
          <w:tblCellMar>
            <w:top w:w="0" w:type="dxa"/>
            <w:left w:w="108" w:type="dxa"/>
            <w:bottom w:w="0" w:type="dxa"/>
            <w:right w:w="108" w:type="dxa"/>
          </w:tblCellMar>
        </w:tblPrEx>
        <w:trPr>
          <w:trHeight w:val="1021" w:hRule="atLeast"/>
          <w:jc w:val="center"/>
        </w:trPr>
        <w:tc>
          <w:tcPr>
            <w:tcW w:w="1820" w:type="dxa"/>
            <w:noWrap w:val="0"/>
            <w:vAlign w:val="center"/>
          </w:tcPr>
          <w:p w14:paraId="37F2AC2D">
            <w:pPr>
              <w:widowControl/>
              <w:wordWrap w:val="0"/>
              <w:topLinePunct/>
              <w:adjustRightInd w:val="0"/>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设计证书等级：</w:t>
            </w:r>
          </w:p>
        </w:tc>
        <w:tc>
          <w:tcPr>
            <w:tcW w:w="6180" w:type="dxa"/>
            <w:noWrap w:val="0"/>
            <w:vAlign w:val="center"/>
          </w:tcPr>
          <w:p w14:paraId="2DE8466E">
            <w:pPr>
              <w:widowControl/>
              <w:wordWrap w:val="0"/>
              <w:topLinePunct/>
              <w:adjustRightInd w:val="0"/>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776E00A8">
        <w:tblPrEx>
          <w:tblCellMar>
            <w:top w:w="0" w:type="dxa"/>
            <w:left w:w="108" w:type="dxa"/>
            <w:bottom w:w="0" w:type="dxa"/>
            <w:right w:w="108" w:type="dxa"/>
          </w:tblCellMar>
        </w:tblPrEx>
        <w:trPr>
          <w:trHeight w:val="1021" w:hRule="atLeast"/>
          <w:jc w:val="center"/>
        </w:trPr>
        <w:tc>
          <w:tcPr>
            <w:tcW w:w="1820" w:type="dxa"/>
            <w:noWrap w:val="0"/>
            <w:vAlign w:val="center"/>
          </w:tcPr>
          <w:p w14:paraId="5D76E7C0">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w:t>
            </w:r>
          </w:p>
        </w:tc>
        <w:tc>
          <w:tcPr>
            <w:tcW w:w="6180" w:type="dxa"/>
            <w:noWrap w:val="0"/>
            <w:vAlign w:val="center"/>
          </w:tcPr>
          <w:p w14:paraId="19C28361">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4B603E82">
        <w:tblPrEx>
          <w:tblCellMar>
            <w:top w:w="0" w:type="dxa"/>
            <w:left w:w="108" w:type="dxa"/>
            <w:bottom w:w="0" w:type="dxa"/>
            <w:right w:w="108" w:type="dxa"/>
          </w:tblCellMar>
        </w:tblPrEx>
        <w:trPr>
          <w:trHeight w:val="1021" w:hRule="atLeast"/>
          <w:jc w:val="center"/>
        </w:trPr>
        <w:tc>
          <w:tcPr>
            <w:tcW w:w="1820" w:type="dxa"/>
            <w:noWrap w:val="0"/>
            <w:vAlign w:val="center"/>
          </w:tcPr>
          <w:p w14:paraId="694654E8">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w:t>
            </w:r>
          </w:p>
        </w:tc>
        <w:tc>
          <w:tcPr>
            <w:tcW w:w="6180" w:type="dxa"/>
            <w:noWrap w:val="0"/>
            <w:vAlign w:val="center"/>
          </w:tcPr>
          <w:p w14:paraId="150C7327">
            <w:pPr>
              <w:widowControl/>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bl>
    <w:p w14:paraId="0E9829E1">
      <w:pPr>
        <w:widowControl/>
        <w:wordWrap w:val="0"/>
        <w:topLinePunct/>
        <w:adjustRightInd w:val="0"/>
        <w:snapToGrid w:val="0"/>
        <w:spacing w:line="440" w:lineRule="exact"/>
        <w:rPr>
          <w:rFonts w:ascii="宋体" w:hAnsi="宋体" w:cs="宋体"/>
          <w:b/>
          <w:bCs/>
          <w:color w:val="auto"/>
          <w:spacing w:val="110"/>
          <w:sz w:val="24"/>
          <w:szCs w:val="24"/>
          <w:highlight w:val="none"/>
        </w:rPr>
      </w:pPr>
    </w:p>
    <w:p w14:paraId="3D6AF76F">
      <w:pPr>
        <w:wordWrap w:val="0"/>
        <w:topLinePunct/>
        <w:adjustRightInd w:val="0"/>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发包人：</w:t>
      </w:r>
      <w:r>
        <w:rPr>
          <w:rFonts w:hint="eastAsia" w:ascii="宋体" w:hAnsi="宋体" w:cs="宋体"/>
          <w:b/>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4D6360AB">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承包人：</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rPr>
        <w:t xml:space="preserve">  </w:t>
      </w:r>
    </w:p>
    <w:p w14:paraId="5A6E45D5">
      <w:pPr>
        <w:wordWrap w:val="0"/>
        <w:topLinePunct/>
        <w:adjustRightInd w:val="0"/>
        <w:snapToGrid w:val="0"/>
        <w:spacing w:line="440" w:lineRule="exact"/>
        <w:rPr>
          <w:rFonts w:ascii="宋体" w:hAnsi="宋体" w:cs="宋体"/>
          <w:color w:val="auto"/>
          <w:sz w:val="24"/>
          <w:szCs w:val="24"/>
          <w:highlight w:val="none"/>
        </w:rPr>
      </w:pPr>
    </w:p>
    <w:p w14:paraId="61AE905E">
      <w:pPr>
        <w:wordWrap w:val="0"/>
        <w:topLinePunct/>
        <w:adjustRightInd w:val="0"/>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发包人委托承包人承担</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rPr>
        <w:t>设计工作。依照《中华人民共和国民法典》、《中华人民共和国建筑法》及其他有关法律、行政法规，遵循平等、自愿、公平和诚实信用的原则，经双方协商一致，订立本合同。</w:t>
      </w:r>
    </w:p>
    <w:p w14:paraId="3FE13B09">
      <w:pPr>
        <w:wordWrap w:val="0"/>
        <w:topLinePunct/>
        <w:adjustRightInd w:val="0"/>
        <w:snapToGrid w:val="0"/>
        <w:spacing w:line="440" w:lineRule="exact"/>
        <w:ind w:firstLine="482" w:firstLineChars="200"/>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第一条 本合同签订依据</w:t>
      </w:r>
    </w:p>
    <w:p w14:paraId="38358672">
      <w:pPr>
        <w:tabs>
          <w:tab w:val="left" w:pos="-3060"/>
        </w:tabs>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w:t>
      </w:r>
      <w:r>
        <w:rPr>
          <w:rFonts w:hint="eastAsia" w:ascii="宋体" w:hAnsi="宋体" w:cs="宋体"/>
          <w:color w:val="auto"/>
          <w:sz w:val="24"/>
          <w:szCs w:val="24"/>
          <w:highlight w:val="none"/>
        </w:rPr>
        <w:t>中华人民共和国的法律、法规、司法解释、部门规章、地方性法规、广东省、</w:t>
      </w:r>
      <w:r>
        <w:rPr>
          <w:rFonts w:hint="eastAsia" w:ascii="宋体" w:hAnsi="宋体" w:cs="宋体"/>
          <w:color w:val="auto"/>
          <w:sz w:val="24"/>
          <w:szCs w:val="24"/>
          <w:highlight w:val="none"/>
          <w:lang w:val="en-US" w:eastAsia="zh-CN"/>
        </w:rPr>
        <w:t>清远市、佛冈县、园区管委会</w:t>
      </w:r>
      <w:r>
        <w:rPr>
          <w:rFonts w:hint="eastAsia" w:ascii="宋体" w:hAnsi="宋体" w:cs="宋体"/>
          <w:color w:val="auto"/>
          <w:sz w:val="24"/>
          <w:szCs w:val="24"/>
          <w:highlight w:val="none"/>
        </w:rPr>
        <w:t>现行有关</w:t>
      </w:r>
      <w:r>
        <w:rPr>
          <w:rFonts w:hint="eastAsia" w:ascii="宋体" w:hAnsi="宋体" w:cs="宋体"/>
          <w:color w:val="auto"/>
          <w:sz w:val="24"/>
          <w:szCs w:val="24"/>
          <w:highlight w:val="none"/>
        </w:rPr>
        <w:t>法律、法规和相关的工程设计技术规范、规定及标准；</w:t>
      </w:r>
    </w:p>
    <w:p w14:paraId="45046D98">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1.2</w:t>
      </w:r>
      <w:r>
        <w:rPr>
          <w:rFonts w:hint="eastAsia" w:ascii="宋体" w:hAnsi="宋体" w:cs="宋体"/>
          <w:color w:val="auto"/>
          <w:sz w:val="24"/>
          <w:szCs w:val="24"/>
          <w:highlight w:val="none"/>
        </w:rPr>
        <w:t>发包人提供的设计任务书；</w:t>
      </w:r>
    </w:p>
    <w:p w14:paraId="1929B116">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1.3</w:t>
      </w:r>
      <w:r>
        <w:rPr>
          <w:rFonts w:hint="eastAsia" w:ascii="宋体" w:hAnsi="宋体" w:cs="宋体"/>
          <w:color w:val="auto"/>
          <w:sz w:val="24"/>
          <w:szCs w:val="24"/>
          <w:highlight w:val="none"/>
        </w:rPr>
        <w:t>本项目的立项批复文件；</w:t>
      </w:r>
    </w:p>
    <w:p w14:paraId="5114B84F">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1.4</w:t>
      </w:r>
      <w:r>
        <w:rPr>
          <w:rFonts w:hint="eastAsia" w:ascii="宋体" w:hAnsi="宋体" w:cs="宋体"/>
          <w:color w:val="auto"/>
          <w:sz w:val="24"/>
          <w:szCs w:val="24"/>
          <w:highlight w:val="none"/>
        </w:rPr>
        <w:t>发包人提供的规划建设主管部门对本项目的规划设计要点；</w:t>
      </w:r>
    </w:p>
    <w:p w14:paraId="21379433">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1.5</w:t>
      </w:r>
      <w:r>
        <w:rPr>
          <w:rFonts w:hint="eastAsia" w:ascii="宋体" w:hAnsi="宋体" w:cs="宋体"/>
          <w:color w:val="auto"/>
          <w:sz w:val="24"/>
          <w:szCs w:val="24"/>
          <w:highlight w:val="none"/>
        </w:rPr>
        <w:t>发包人提供的本项目基础资料；</w:t>
      </w:r>
    </w:p>
    <w:p w14:paraId="7ECAD6C7">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1.6</w:t>
      </w:r>
      <w:r>
        <w:rPr>
          <w:rFonts w:hint="eastAsia" w:ascii="宋体" w:hAnsi="宋体" w:cs="宋体"/>
          <w:color w:val="auto"/>
          <w:sz w:val="24"/>
          <w:szCs w:val="24"/>
          <w:highlight w:val="none"/>
        </w:rPr>
        <w:t>合同双方签署的本合同及一切附件和补充文件；</w:t>
      </w:r>
    </w:p>
    <w:p w14:paraId="13BC06A7">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1.7</w:t>
      </w:r>
      <w:r>
        <w:rPr>
          <w:rFonts w:hint="eastAsia" w:ascii="宋体" w:hAnsi="宋体" w:cs="宋体"/>
          <w:color w:val="auto"/>
          <w:sz w:val="24"/>
          <w:szCs w:val="24"/>
          <w:highlight w:val="none"/>
        </w:rPr>
        <w:t>设计和建设过程中的政府审批意见，政府或发包人委托或组织的评分机构（会议）提出的及发包人发出的阶段性书面意见，双方来往的各类书面文件、会议纪要等；</w:t>
      </w:r>
    </w:p>
    <w:p w14:paraId="1F38625D">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1.8</w:t>
      </w:r>
      <w:r>
        <w:rPr>
          <w:rFonts w:hint="eastAsia" w:ascii="宋体" w:hAnsi="宋体" w:cs="宋体"/>
          <w:color w:val="auto"/>
          <w:sz w:val="24"/>
          <w:szCs w:val="24"/>
          <w:highlight w:val="none"/>
        </w:rPr>
        <w:t>设计中标通知书；</w:t>
      </w:r>
    </w:p>
    <w:p w14:paraId="4CF38B56">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1.9</w:t>
      </w:r>
      <w:r>
        <w:rPr>
          <w:rFonts w:hint="eastAsia" w:ascii="宋体" w:hAnsi="宋体" w:cs="宋体"/>
          <w:color w:val="auto"/>
          <w:sz w:val="24"/>
          <w:szCs w:val="24"/>
          <w:highlight w:val="none"/>
        </w:rPr>
        <w:t>招标文件；</w:t>
      </w:r>
    </w:p>
    <w:p w14:paraId="66D2CFD0">
      <w:pPr>
        <w:wordWrap w:val="0"/>
        <w:topLinePunct/>
        <w:adjustRightInd w:val="0"/>
        <w:snapToGrid w:val="0"/>
        <w:spacing w:line="440" w:lineRule="exact"/>
        <w:ind w:firstLine="482" w:firstLineChars="200"/>
        <w:rPr>
          <w:rFonts w:ascii="宋体" w:hAnsi="宋体" w:cs="宋体"/>
          <w:b/>
          <w:color w:val="auto"/>
          <w:sz w:val="24"/>
          <w:szCs w:val="24"/>
          <w:highlight w:val="none"/>
          <w:shd w:val="pct10" w:color="auto" w:fill="FFFFFF"/>
        </w:rPr>
      </w:pPr>
      <w:r>
        <w:rPr>
          <w:rFonts w:hint="eastAsia" w:ascii="宋体" w:hAnsi="宋体" w:cs="宋体"/>
          <w:b/>
          <w:color w:val="auto"/>
          <w:sz w:val="24"/>
          <w:szCs w:val="24"/>
          <w:highlight w:val="none"/>
          <w:shd w:val="pct10" w:color="auto" w:fill="FFFFFF"/>
        </w:rPr>
        <w:t>2.0</w:t>
      </w:r>
      <w:r>
        <w:rPr>
          <w:rFonts w:hint="eastAsia" w:ascii="宋体" w:hAnsi="宋体" w:cs="宋体"/>
          <w:color w:val="auto"/>
          <w:sz w:val="24"/>
          <w:szCs w:val="24"/>
          <w:highlight w:val="none"/>
        </w:rPr>
        <w:t>承包人参加投标的方案，以及评标委员会的意见、发包人提出的修改意见，使用权属于发包人的其他投标方案。</w:t>
      </w:r>
    </w:p>
    <w:p w14:paraId="79FDC503">
      <w:pPr>
        <w:wordWrap w:val="0"/>
        <w:topLinePunct/>
        <w:adjustRightInd w:val="0"/>
        <w:snapToGrid w:val="0"/>
        <w:spacing w:line="440" w:lineRule="exact"/>
        <w:ind w:firstLine="482" w:firstLineChars="200"/>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第二条 合同文件的优先次序</w:t>
      </w:r>
    </w:p>
    <w:p w14:paraId="6C10F119">
      <w:pPr>
        <w:wordWrap w:val="0"/>
        <w:topLinePunct/>
        <w:adjustRightInd w:val="0"/>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下列文件应被认为是组成本合同的一部分，并互为补充和解释，如上述部分存在冲突之处，以如下先后排列次序为优先：</w:t>
      </w:r>
    </w:p>
    <w:p w14:paraId="6E9348D5">
      <w:pPr>
        <w:wordWrap w:val="0"/>
        <w:topLinePunct/>
        <w:adjustRightInd w:val="0"/>
        <w:snapToGrid w:val="0"/>
        <w:spacing w:line="440" w:lineRule="exact"/>
        <w:ind w:firstLine="482" w:firstLineChars="200"/>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shd w:val="pct10" w:color="auto" w:fill="FFFFFF"/>
        </w:rPr>
        <w:t>2.1</w:t>
      </w:r>
      <w:r>
        <w:rPr>
          <w:rFonts w:hint="eastAsia" w:ascii="宋体" w:hAnsi="宋体" w:eastAsia="宋体" w:cs="宋体"/>
          <w:color w:val="auto"/>
          <w:sz w:val="24"/>
          <w:szCs w:val="24"/>
          <w:highlight w:val="none"/>
        </w:rPr>
        <w:t>广东省、</w:t>
      </w:r>
      <w:r>
        <w:rPr>
          <w:rFonts w:hint="eastAsia" w:ascii="宋体" w:hAnsi="宋体" w:eastAsia="宋体" w:cs="宋体"/>
          <w:color w:val="auto"/>
          <w:sz w:val="24"/>
          <w:szCs w:val="24"/>
          <w:highlight w:val="none"/>
          <w:lang w:val="en-US" w:eastAsia="zh-CN"/>
        </w:rPr>
        <w:t>清远市</w:t>
      </w:r>
      <w:r>
        <w:rPr>
          <w:rFonts w:hint="eastAsia" w:ascii="宋体" w:hAnsi="宋体" w:eastAsia="宋体" w:cs="宋体"/>
          <w:color w:val="auto"/>
          <w:sz w:val="24"/>
          <w:szCs w:val="24"/>
          <w:highlight w:val="none"/>
        </w:rPr>
        <w:t>人民政府</w:t>
      </w:r>
      <w:r>
        <w:rPr>
          <w:rFonts w:hint="eastAsia" w:ascii="宋体" w:hAnsi="宋体" w:eastAsia="宋体" w:cs="宋体"/>
          <w:color w:val="auto"/>
          <w:sz w:val="24"/>
          <w:szCs w:val="24"/>
          <w:highlight w:val="none"/>
          <w:lang w:eastAsia="zh-CN"/>
        </w:rPr>
        <w:t>、佛冈县</w:t>
      </w:r>
      <w:r>
        <w:rPr>
          <w:rFonts w:hint="eastAsia" w:ascii="宋体" w:hAnsi="宋体" w:eastAsia="宋体" w:cs="宋体"/>
          <w:color w:val="auto"/>
          <w:sz w:val="24"/>
          <w:szCs w:val="24"/>
          <w:highlight w:val="none"/>
          <w:lang w:val="en-US" w:eastAsia="zh-CN"/>
        </w:rPr>
        <w:t>人民政府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园</w:t>
      </w:r>
      <w:r>
        <w:rPr>
          <w:rFonts w:hint="eastAsia" w:ascii="宋体" w:hAnsi="宋体" w:eastAsia="宋体" w:cs="宋体"/>
          <w:color w:val="auto"/>
          <w:sz w:val="24"/>
          <w:szCs w:val="24"/>
          <w:highlight w:val="none"/>
        </w:rPr>
        <w:t>区管委会关于本项目的有关文件；</w:t>
      </w:r>
    </w:p>
    <w:p w14:paraId="428A9345">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2.2</w:t>
      </w:r>
      <w:r>
        <w:rPr>
          <w:rFonts w:hint="eastAsia" w:ascii="宋体" w:hAnsi="宋体" w:cs="宋体"/>
          <w:color w:val="auto"/>
          <w:sz w:val="24"/>
          <w:szCs w:val="24"/>
          <w:highlight w:val="none"/>
        </w:rPr>
        <w:t>合同实施期间双方签订的合同补充或修正文件；</w:t>
      </w:r>
    </w:p>
    <w:p w14:paraId="4A4FCE9D">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color w:val="auto"/>
          <w:sz w:val="24"/>
          <w:szCs w:val="24"/>
          <w:highlight w:val="none"/>
        </w:rPr>
        <w:t>合同条款；</w:t>
      </w:r>
    </w:p>
    <w:p w14:paraId="3B45272F">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2.4</w:t>
      </w:r>
      <w:r>
        <w:rPr>
          <w:rFonts w:hint="eastAsia" w:ascii="宋体" w:hAnsi="宋体" w:cs="宋体"/>
          <w:color w:val="auto"/>
          <w:sz w:val="24"/>
          <w:szCs w:val="24"/>
          <w:highlight w:val="none"/>
        </w:rPr>
        <w:t>中标通知书；</w:t>
      </w:r>
    </w:p>
    <w:p w14:paraId="7B7E53F2">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2.5</w:t>
      </w:r>
      <w:r>
        <w:rPr>
          <w:rFonts w:hint="eastAsia" w:ascii="宋体" w:hAnsi="宋体" w:cs="宋体"/>
          <w:color w:val="auto"/>
          <w:sz w:val="24"/>
          <w:szCs w:val="24"/>
          <w:highlight w:val="none"/>
        </w:rPr>
        <w:t>招标文件的问题澄清；</w:t>
      </w:r>
    </w:p>
    <w:p w14:paraId="47245ECD">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2.6</w:t>
      </w:r>
      <w:r>
        <w:rPr>
          <w:rFonts w:hint="eastAsia" w:ascii="宋体" w:hAnsi="宋体" w:cs="宋体"/>
          <w:color w:val="auto"/>
          <w:sz w:val="24"/>
          <w:szCs w:val="24"/>
          <w:highlight w:val="none"/>
        </w:rPr>
        <w:t>投标文件的问题澄清；</w:t>
      </w:r>
    </w:p>
    <w:p w14:paraId="2587C792">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2.7</w:t>
      </w:r>
      <w:r>
        <w:rPr>
          <w:rFonts w:hint="eastAsia" w:ascii="宋体" w:hAnsi="宋体" w:cs="宋体"/>
          <w:color w:val="auto"/>
          <w:sz w:val="24"/>
          <w:szCs w:val="24"/>
          <w:highlight w:val="none"/>
        </w:rPr>
        <w:t>招标文件；</w:t>
      </w:r>
    </w:p>
    <w:p w14:paraId="6E163822">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2.8</w:t>
      </w:r>
      <w:r>
        <w:rPr>
          <w:rFonts w:hint="eastAsia" w:ascii="宋体" w:hAnsi="宋体" w:cs="宋体"/>
          <w:color w:val="auto"/>
          <w:sz w:val="24"/>
          <w:szCs w:val="24"/>
          <w:highlight w:val="none"/>
        </w:rPr>
        <w:t>投标文件；</w:t>
      </w:r>
    </w:p>
    <w:p w14:paraId="3F3F8DE7">
      <w:pPr>
        <w:wordWrap w:val="0"/>
        <w:topLinePunct/>
        <w:adjustRightInd w:val="0"/>
        <w:snapToGrid w:val="0"/>
        <w:spacing w:line="440" w:lineRule="exact"/>
        <w:ind w:firstLine="482" w:firstLineChars="200"/>
        <w:rPr>
          <w:rFonts w:ascii="宋体" w:hAnsi="宋体" w:cs="宋体"/>
          <w:b/>
          <w:color w:val="auto"/>
          <w:sz w:val="24"/>
          <w:szCs w:val="24"/>
          <w:highlight w:val="none"/>
          <w:shd w:val="pct10" w:color="auto" w:fill="FFFFFF"/>
        </w:rPr>
      </w:pPr>
      <w:r>
        <w:rPr>
          <w:rFonts w:hint="eastAsia" w:ascii="宋体" w:hAnsi="宋体" w:cs="宋体"/>
          <w:b/>
          <w:color w:val="auto"/>
          <w:sz w:val="24"/>
          <w:szCs w:val="24"/>
          <w:highlight w:val="none"/>
          <w:shd w:val="pct10" w:color="auto" w:fill="FFFFFF"/>
        </w:rPr>
        <w:t>2.9</w:t>
      </w:r>
      <w:r>
        <w:rPr>
          <w:rFonts w:hint="eastAsia" w:ascii="宋体" w:hAnsi="宋体" w:cs="宋体"/>
          <w:color w:val="auto"/>
          <w:sz w:val="24"/>
          <w:szCs w:val="24"/>
          <w:highlight w:val="none"/>
        </w:rPr>
        <w:t>组成合同的其他文件。</w:t>
      </w:r>
    </w:p>
    <w:p w14:paraId="2CD254D0">
      <w:pPr>
        <w:wordWrap w:val="0"/>
        <w:topLinePunct/>
        <w:adjustRightInd w:val="0"/>
        <w:snapToGrid w:val="0"/>
        <w:spacing w:line="440" w:lineRule="exact"/>
        <w:ind w:firstLine="482" w:firstLineChars="200"/>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第三条 本合同设计项目的名称、规模、阶段、设计内容及设计估算投资：</w:t>
      </w:r>
    </w:p>
    <w:p w14:paraId="39DF5937">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3.1</w:t>
      </w:r>
      <w:r>
        <w:rPr>
          <w:rFonts w:hint="eastAsia" w:ascii="宋体" w:hAnsi="宋体" w:cs="宋体"/>
          <w:color w:val="auto"/>
          <w:sz w:val="24"/>
          <w:szCs w:val="24"/>
          <w:highlight w:val="none"/>
        </w:rPr>
        <w:t>工程名称：</w:t>
      </w:r>
      <w:r>
        <w:rPr>
          <w:rFonts w:hint="eastAsia" w:ascii="宋体" w:hAnsi="宋体"/>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18E76BF6">
      <w:pPr>
        <w:wordWrap w:val="0"/>
        <w:topLinePunct/>
        <w:adjustRightInd w:val="0"/>
        <w:snapToGrid w:val="0"/>
        <w:spacing w:line="440" w:lineRule="exact"/>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3.2</w:t>
      </w:r>
      <w:r>
        <w:rPr>
          <w:rFonts w:hint="eastAsia" w:ascii="宋体" w:hAnsi="宋体" w:cs="宋体"/>
          <w:color w:val="auto"/>
          <w:sz w:val="24"/>
          <w:szCs w:val="24"/>
          <w:highlight w:val="none"/>
        </w:rPr>
        <w:t>规模：</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w:t>
      </w:r>
    </w:p>
    <w:p w14:paraId="6C589FA1">
      <w:pPr>
        <w:spacing w:line="440" w:lineRule="exact"/>
        <w:ind w:firstLine="482" w:firstLineChars="200"/>
        <w:rPr>
          <w:rFonts w:ascii="宋体" w:hAnsi="宋体" w:cs="宋体"/>
          <w:color w:val="auto"/>
          <w:sz w:val="24"/>
          <w:szCs w:val="24"/>
          <w:highlight w:val="none"/>
          <w:u w:val="single"/>
        </w:rPr>
      </w:pPr>
      <w:r>
        <w:rPr>
          <w:rFonts w:hint="eastAsia" w:ascii="宋体" w:hAnsi="宋体" w:cs="宋体"/>
          <w:b/>
          <w:color w:val="auto"/>
          <w:sz w:val="24"/>
          <w:szCs w:val="24"/>
          <w:highlight w:val="none"/>
          <w:shd w:val="pct10" w:color="auto" w:fill="FFFFFF"/>
        </w:rPr>
        <w:t>3.3</w:t>
      </w:r>
      <w:r>
        <w:rPr>
          <w:rFonts w:hint="eastAsia" w:ascii="宋体" w:hAnsi="宋体" w:cs="宋体"/>
          <w:color w:val="auto"/>
          <w:sz w:val="24"/>
          <w:szCs w:val="24"/>
          <w:highlight w:val="none"/>
        </w:rPr>
        <w:t>阶段：</w:t>
      </w:r>
      <w:r>
        <w:rPr>
          <w:rFonts w:hint="eastAsia" w:ascii="宋体" w:hAnsi="宋体"/>
          <w:color w:val="auto"/>
          <w:sz w:val="24"/>
          <w:szCs w:val="24"/>
          <w:highlight w:val="none"/>
          <w:u w:val="single"/>
        </w:rPr>
        <w:t>方案设计、报建、初步设计及概算、施工图设计、现场服务、施工及验收过程的配合、施工过程中的方案优化及设计变更、竣工图审核及盖章、相关报建等工作等。</w:t>
      </w:r>
    </w:p>
    <w:p w14:paraId="11C5F410">
      <w:pPr>
        <w:wordWrap w:val="0"/>
        <w:topLinePunct/>
        <w:adjustRightInd w:val="0"/>
        <w:snapToGrid w:val="0"/>
        <w:spacing w:line="440" w:lineRule="exact"/>
        <w:ind w:firstLine="482" w:firstLineChars="200"/>
        <w:rPr>
          <w:rFonts w:ascii="宋体" w:hAnsi="宋体"/>
          <w:color w:val="auto"/>
          <w:sz w:val="24"/>
          <w:szCs w:val="24"/>
          <w:highlight w:val="none"/>
          <w:u w:val="single"/>
        </w:rPr>
      </w:pPr>
      <w:r>
        <w:rPr>
          <w:rFonts w:hint="eastAsia" w:ascii="宋体" w:hAnsi="宋体" w:cs="宋体"/>
          <w:b/>
          <w:color w:val="auto"/>
          <w:sz w:val="24"/>
          <w:szCs w:val="24"/>
          <w:highlight w:val="none"/>
          <w:shd w:val="pct10" w:color="auto" w:fill="FFFFFF"/>
        </w:rPr>
        <w:t>3.4</w:t>
      </w:r>
      <w:r>
        <w:rPr>
          <w:rFonts w:hint="eastAsia" w:ascii="宋体" w:hAnsi="宋体" w:cs="宋体"/>
          <w:color w:val="auto"/>
          <w:sz w:val="24"/>
          <w:szCs w:val="24"/>
          <w:highlight w:val="none"/>
        </w:rPr>
        <w:t>项目设计内容：</w:t>
      </w:r>
      <w:r>
        <w:rPr>
          <w:rFonts w:hint="eastAsia" w:ascii="宋体" w:hAnsi="宋体"/>
          <w:color w:val="auto"/>
          <w:sz w:val="24"/>
          <w:szCs w:val="24"/>
          <w:highlight w:val="none"/>
          <w:u w:val="single"/>
        </w:rPr>
        <w:t xml:space="preserve"> （各专业工程）工程等。</w:t>
      </w:r>
    </w:p>
    <w:p w14:paraId="5768715D">
      <w:pPr>
        <w:wordWrap w:val="0"/>
        <w:topLinePunct/>
        <w:adjustRightInd w:val="0"/>
        <w:snapToGrid w:val="0"/>
        <w:spacing w:line="440" w:lineRule="exact"/>
        <w:ind w:firstLine="482" w:firstLineChars="200"/>
        <w:rPr>
          <w:rFonts w:ascii="宋体" w:hAnsi="宋体"/>
          <w:color w:val="auto"/>
          <w:sz w:val="24"/>
          <w:highlight w:val="none"/>
          <w:u w:val="single"/>
        </w:rPr>
      </w:pPr>
      <w:r>
        <w:rPr>
          <w:rFonts w:hint="eastAsia" w:ascii="宋体" w:hAnsi="宋体" w:cs="宋体"/>
          <w:b/>
          <w:color w:val="auto"/>
          <w:sz w:val="24"/>
          <w:szCs w:val="24"/>
          <w:highlight w:val="none"/>
          <w:shd w:val="pct10" w:color="auto" w:fill="FFFFFF"/>
        </w:rPr>
        <w:t>3.5</w:t>
      </w:r>
      <w:r>
        <w:rPr>
          <w:rFonts w:hint="eastAsia" w:ascii="宋体" w:hAnsi="宋体" w:cs="宋体"/>
          <w:color w:val="auto"/>
          <w:sz w:val="24"/>
          <w:szCs w:val="24"/>
          <w:highlight w:val="none"/>
        </w:rPr>
        <w:t>设计估算投资：</w:t>
      </w:r>
      <w:r>
        <w:rPr>
          <w:rFonts w:hint="eastAsia" w:ascii="宋体" w:hAnsi="宋体" w:cs="宋体"/>
          <w:color w:val="auto"/>
          <w:sz w:val="24"/>
          <w:szCs w:val="24"/>
          <w:highlight w:val="none"/>
          <w:u w:val="single"/>
        </w:rPr>
        <w:t xml:space="preserve"> </w:t>
      </w:r>
      <w:r>
        <w:rPr>
          <w:rFonts w:ascii="宋体" w:hAnsi="宋体"/>
          <w:color w:val="auto"/>
          <w:sz w:val="24"/>
          <w:highlight w:val="none"/>
          <w:u w:val="single"/>
        </w:rPr>
        <w:t>项目总投资为：</w:t>
      </w:r>
      <w:r>
        <w:rPr>
          <w:rFonts w:hint="eastAsia" w:ascii="宋体" w:hAnsi="宋体"/>
          <w:color w:val="auto"/>
          <w:sz w:val="24"/>
          <w:highlight w:val="none"/>
          <w:u w:val="single"/>
        </w:rPr>
        <w:t xml:space="preserve"> </w:t>
      </w:r>
      <w:r>
        <w:rPr>
          <w:rFonts w:ascii="宋体" w:hAnsi="宋体"/>
          <w:color w:val="auto"/>
          <w:sz w:val="24"/>
          <w:highlight w:val="none"/>
          <w:u w:val="single"/>
        </w:rPr>
        <w:t>万元，其中工程费用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万元</w:t>
      </w:r>
      <w:r>
        <w:rPr>
          <w:rFonts w:hint="eastAsia" w:ascii="宋体" w:hAnsi="宋体"/>
          <w:color w:val="auto"/>
          <w:sz w:val="24"/>
          <w:highlight w:val="none"/>
          <w:u w:val="single"/>
        </w:rPr>
        <w:t>。</w:t>
      </w:r>
    </w:p>
    <w:p w14:paraId="40C01516">
      <w:pPr>
        <w:wordWrap w:val="0"/>
        <w:topLinePunct/>
        <w:adjustRightInd w:val="0"/>
        <w:snapToGrid w:val="0"/>
        <w:spacing w:line="440" w:lineRule="exact"/>
        <w:ind w:firstLine="482" w:firstLineChars="200"/>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第四条 发包人应向承包人提交的有关资料及文件： </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3351"/>
        <w:gridCol w:w="851"/>
        <w:gridCol w:w="1762"/>
        <w:gridCol w:w="1276"/>
      </w:tblGrid>
      <w:tr w14:paraId="1CB50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14:paraId="7B1F2680">
            <w:pPr>
              <w:topLinePunct/>
              <w:adjustRightInd w:val="0"/>
              <w:snapToGrid w:val="0"/>
              <w:spacing w:line="440" w:lineRule="exact"/>
              <w:jc w:val="center"/>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序号</w:t>
            </w:r>
          </w:p>
        </w:tc>
        <w:tc>
          <w:tcPr>
            <w:tcW w:w="3351" w:type="dxa"/>
            <w:tcBorders>
              <w:top w:val="single" w:color="auto" w:sz="6" w:space="0"/>
              <w:left w:val="single" w:color="auto" w:sz="6" w:space="0"/>
              <w:bottom w:val="single" w:color="auto" w:sz="6" w:space="0"/>
              <w:right w:val="single" w:color="auto" w:sz="6" w:space="0"/>
            </w:tcBorders>
            <w:noWrap w:val="0"/>
            <w:vAlign w:val="center"/>
          </w:tcPr>
          <w:p w14:paraId="57F44D34">
            <w:pPr>
              <w:wordWrap w:val="0"/>
              <w:topLinePunct/>
              <w:adjustRightInd w:val="0"/>
              <w:snapToGrid w:val="0"/>
              <w:spacing w:line="440" w:lineRule="exact"/>
              <w:jc w:val="center"/>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资料及文件名称</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F3FA33">
            <w:pPr>
              <w:wordWrap w:val="0"/>
              <w:topLinePunct/>
              <w:adjustRightInd w:val="0"/>
              <w:snapToGrid w:val="0"/>
              <w:spacing w:line="440" w:lineRule="exact"/>
              <w:jc w:val="center"/>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份数</w:t>
            </w:r>
          </w:p>
        </w:tc>
        <w:tc>
          <w:tcPr>
            <w:tcW w:w="1762" w:type="dxa"/>
            <w:tcBorders>
              <w:top w:val="single" w:color="auto" w:sz="6" w:space="0"/>
              <w:left w:val="single" w:color="auto" w:sz="6" w:space="0"/>
              <w:bottom w:val="single" w:color="auto" w:sz="6" w:space="0"/>
              <w:right w:val="single" w:color="auto" w:sz="4" w:space="0"/>
            </w:tcBorders>
            <w:noWrap w:val="0"/>
            <w:vAlign w:val="center"/>
          </w:tcPr>
          <w:p w14:paraId="2F25D97E">
            <w:pPr>
              <w:wordWrap w:val="0"/>
              <w:topLinePunct/>
              <w:adjustRightInd w:val="0"/>
              <w:snapToGrid w:val="0"/>
              <w:spacing w:line="440" w:lineRule="exact"/>
              <w:jc w:val="center"/>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提交日期</w:t>
            </w:r>
          </w:p>
        </w:tc>
        <w:tc>
          <w:tcPr>
            <w:tcW w:w="1276" w:type="dxa"/>
            <w:tcBorders>
              <w:top w:val="single" w:color="auto" w:sz="6" w:space="0"/>
              <w:left w:val="single" w:color="auto" w:sz="4" w:space="0"/>
              <w:bottom w:val="single" w:color="auto" w:sz="6" w:space="0"/>
              <w:right w:val="single" w:color="auto" w:sz="6" w:space="0"/>
            </w:tcBorders>
            <w:noWrap w:val="0"/>
            <w:vAlign w:val="center"/>
          </w:tcPr>
          <w:p w14:paraId="0DC08002">
            <w:pPr>
              <w:wordWrap w:val="0"/>
              <w:topLinePunct/>
              <w:adjustRightInd w:val="0"/>
              <w:snapToGrid w:val="0"/>
              <w:spacing w:line="440" w:lineRule="exact"/>
              <w:jc w:val="center"/>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有关事宜</w:t>
            </w:r>
          </w:p>
        </w:tc>
      </w:tr>
      <w:tr w14:paraId="3DE5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14:paraId="228F65C4">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1</w:t>
            </w:r>
          </w:p>
        </w:tc>
        <w:tc>
          <w:tcPr>
            <w:tcW w:w="3351" w:type="dxa"/>
            <w:tcBorders>
              <w:top w:val="single" w:color="auto" w:sz="6" w:space="0"/>
              <w:left w:val="single" w:color="auto" w:sz="6" w:space="0"/>
              <w:bottom w:val="single" w:color="auto" w:sz="6" w:space="0"/>
              <w:right w:val="single" w:color="auto" w:sz="6" w:space="0"/>
            </w:tcBorders>
            <w:noWrap w:val="0"/>
            <w:vAlign w:val="center"/>
          </w:tcPr>
          <w:p w14:paraId="53B96032">
            <w:pPr>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设计任务书</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563066">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1</w:t>
            </w:r>
          </w:p>
        </w:tc>
        <w:tc>
          <w:tcPr>
            <w:tcW w:w="1762" w:type="dxa"/>
            <w:tcBorders>
              <w:top w:val="single" w:color="auto" w:sz="6" w:space="0"/>
              <w:left w:val="single" w:color="auto" w:sz="6" w:space="0"/>
              <w:bottom w:val="single" w:color="auto" w:sz="6" w:space="0"/>
              <w:right w:val="single" w:color="auto" w:sz="4" w:space="0"/>
            </w:tcBorders>
            <w:noWrap w:val="0"/>
            <w:vAlign w:val="center"/>
          </w:tcPr>
          <w:p w14:paraId="01FA4610">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noWrap w:val="0"/>
            <w:vAlign w:val="center"/>
          </w:tcPr>
          <w:p w14:paraId="12BC830D">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p>
        </w:tc>
      </w:tr>
      <w:tr w14:paraId="73515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4"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14:paraId="15778ED6">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2</w:t>
            </w:r>
          </w:p>
        </w:tc>
        <w:tc>
          <w:tcPr>
            <w:tcW w:w="3351" w:type="dxa"/>
            <w:tcBorders>
              <w:top w:val="single" w:color="auto" w:sz="6" w:space="0"/>
              <w:left w:val="single" w:color="auto" w:sz="6" w:space="0"/>
              <w:bottom w:val="single" w:color="auto" w:sz="6" w:space="0"/>
              <w:right w:val="single" w:color="auto" w:sz="6" w:space="0"/>
            </w:tcBorders>
            <w:noWrap w:val="0"/>
            <w:vAlign w:val="center"/>
          </w:tcPr>
          <w:p w14:paraId="383C436B">
            <w:pPr>
              <w:keepNext w:val="0"/>
              <w:keepLines w:val="0"/>
              <w:pageBreakBefore w:val="0"/>
              <w:widowControl w:val="0"/>
              <w:kinsoku/>
              <w:wordWrap w:val="0"/>
              <w:overflowPunct/>
              <w:topLinePunct/>
              <w:autoSpaceDE/>
              <w:autoSpaceDN/>
              <w:bidi w:val="0"/>
              <w:adjustRightInd w:val="0"/>
              <w:snapToGrid w:val="0"/>
              <w:spacing w:line="380" w:lineRule="exact"/>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设计基础资料</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442B304E">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1</w:t>
            </w:r>
          </w:p>
        </w:tc>
        <w:tc>
          <w:tcPr>
            <w:tcW w:w="1762" w:type="dxa"/>
            <w:tcBorders>
              <w:top w:val="single" w:color="auto" w:sz="6" w:space="0"/>
              <w:left w:val="single" w:color="auto" w:sz="6" w:space="0"/>
              <w:bottom w:val="single" w:color="auto" w:sz="6" w:space="0"/>
              <w:right w:val="single" w:color="auto" w:sz="4" w:space="0"/>
            </w:tcBorders>
            <w:noWrap w:val="0"/>
            <w:vAlign w:val="center"/>
          </w:tcPr>
          <w:p w14:paraId="4AB67712">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noWrap w:val="0"/>
            <w:vAlign w:val="center"/>
          </w:tcPr>
          <w:p w14:paraId="624C5401">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p>
        </w:tc>
      </w:tr>
      <w:tr w14:paraId="26CF5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22" w:hRule="atLeast"/>
          <w:jc w:val="center"/>
        </w:trPr>
        <w:tc>
          <w:tcPr>
            <w:tcW w:w="748" w:type="dxa"/>
            <w:tcBorders>
              <w:top w:val="single" w:color="auto" w:sz="6" w:space="0"/>
              <w:left w:val="single" w:color="auto" w:sz="6" w:space="0"/>
              <w:bottom w:val="single" w:color="auto" w:sz="6" w:space="0"/>
              <w:right w:val="single" w:color="auto" w:sz="6" w:space="0"/>
            </w:tcBorders>
            <w:noWrap w:val="0"/>
            <w:vAlign w:val="center"/>
          </w:tcPr>
          <w:p w14:paraId="78E1C911">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3</w:t>
            </w:r>
          </w:p>
        </w:tc>
        <w:tc>
          <w:tcPr>
            <w:tcW w:w="3351" w:type="dxa"/>
            <w:tcBorders>
              <w:top w:val="single" w:color="auto" w:sz="6" w:space="0"/>
              <w:left w:val="single" w:color="auto" w:sz="6" w:space="0"/>
              <w:bottom w:val="single" w:color="auto" w:sz="6" w:space="0"/>
              <w:right w:val="single" w:color="auto" w:sz="6" w:space="0"/>
            </w:tcBorders>
            <w:noWrap w:val="0"/>
            <w:vAlign w:val="center"/>
          </w:tcPr>
          <w:p w14:paraId="1DB5020A">
            <w:pPr>
              <w:keepNext w:val="0"/>
              <w:keepLines w:val="0"/>
              <w:pageBreakBefore w:val="0"/>
              <w:widowControl w:val="0"/>
              <w:kinsoku/>
              <w:wordWrap w:val="0"/>
              <w:overflowPunct/>
              <w:topLinePunct/>
              <w:autoSpaceDE/>
              <w:autoSpaceDN/>
              <w:bidi w:val="0"/>
              <w:adjustRightInd w:val="0"/>
              <w:snapToGrid w:val="0"/>
              <w:spacing w:line="240" w:lineRule="auto"/>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政府有关批文及各阶段批复文件</w:t>
            </w:r>
          </w:p>
        </w:tc>
        <w:tc>
          <w:tcPr>
            <w:tcW w:w="851" w:type="dxa"/>
            <w:tcBorders>
              <w:top w:val="single" w:color="auto" w:sz="6" w:space="0"/>
              <w:left w:val="single" w:color="auto" w:sz="6" w:space="0"/>
              <w:bottom w:val="single" w:color="auto" w:sz="6" w:space="0"/>
              <w:right w:val="single" w:color="auto" w:sz="6" w:space="0"/>
            </w:tcBorders>
            <w:noWrap w:val="0"/>
            <w:vAlign w:val="center"/>
          </w:tcPr>
          <w:p w14:paraId="5E469407">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1</w:t>
            </w:r>
          </w:p>
        </w:tc>
        <w:tc>
          <w:tcPr>
            <w:tcW w:w="1762" w:type="dxa"/>
            <w:tcBorders>
              <w:top w:val="single" w:color="auto" w:sz="6" w:space="0"/>
              <w:left w:val="single" w:color="auto" w:sz="6" w:space="0"/>
              <w:bottom w:val="single" w:color="auto" w:sz="6" w:space="0"/>
              <w:right w:val="single" w:color="auto" w:sz="4" w:space="0"/>
            </w:tcBorders>
            <w:noWrap w:val="0"/>
            <w:vAlign w:val="center"/>
          </w:tcPr>
          <w:p w14:paraId="00DF487C">
            <w:pPr>
              <w:keepNext w:val="0"/>
              <w:keepLines w:val="0"/>
              <w:pageBreakBefore w:val="0"/>
              <w:widowControl w:val="0"/>
              <w:kinsoku/>
              <w:wordWrap w:val="0"/>
              <w:overflowPunct/>
              <w:topLinePunct/>
              <w:autoSpaceDE/>
              <w:autoSpaceDN/>
              <w:bidi w:val="0"/>
              <w:adjustRightInd w:val="0"/>
              <w:snapToGrid w:val="0"/>
              <w:spacing w:line="240" w:lineRule="auto"/>
              <w:jc w:val="center"/>
              <w:textAlignment w:val="auto"/>
              <w:rPr>
                <w:rFonts w:ascii="宋体" w:hAnsi="宋体" w:cs="宋体"/>
                <w:bCs/>
                <w:color w:val="auto"/>
                <w:spacing w:val="20"/>
                <w:sz w:val="24"/>
                <w:szCs w:val="24"/>
                <w:highlight w:val="none"/>
              </w:rPr>
            </w:pPr>
            <w:r>
              <w:rPr>
                <w:rFonts w:hint="eastAsia" w:ascii="宋体" w:hAnsi="宋体" w:cs="宋体"/>
                <w:bCs/>
                <w:color w:val="auto"/>
                <w:spacing w:val="20"/>
                <w:sz w:val="24"/>
                <w:szCs w:val="24"/>
                <w:highlight w:val="none"/>
              </w:rPr>
              <w:t>合同签订前</w:t>
            </w:r>
          </w:p>
        </w:tc>
        <w:tc>
          <w:tcPr>
            <w:tcW w:w="1276" w:type="dxa"/>
            <w:tcBorders>
              <w:top w:val="single" w:color="auto" w:sz="6" w:space="0"/>
              <w:left w:val="single" w:color="auto" w:sz="4" w:space="0"/>
              <w:bottom w:val="single" w:color="auto" w:sz="6" w:space="0"/>
              <w:right w:val="single" w:color="auto" w:sz="6" w:space="0"/>
            </w:tcBorders>
            <w:noWrap w:val="0"/>
            <w:vAlign w:val="center"/>
          </w:tcPr>
          <w:p w14:paraId="6AACC67E">
            <w:pPr>
              <w:keepNext w:val="0"/>
              <w:keepLines w:val="0"/>
              <w:pageBreakBefore w:val="0"/>
              <w:widowControl w:val="0"/>
              <w:kinsoku/>
              <w:wordWrap w:val="0"/>
              <w:overflowPunct/>
              <w:topLinePunct/>
              <w:autoSpaceDE/>
              <w:autoSpaceDN/>
              <w:bidi w:val="0"/>
              <w:adjustRightInd w:val="0"/>
              <w:snapToGrid w:val="0"/>
              <w:spacing w:line="380" w:lineRule="exact"/>
              <w:jc w:val="center"/>
              <w:textAlignment w:val="auto"/>
              <w:rPr>
                <w:rFonts w:ascii="宋体" w:hAnsi="宋体" w:cs="宋体"/>
                <w:bCs/>
                <w:color w:val="auto"/>
                <w:spacing w:val="20"/>
                <w:sz w:val="24"/>
                <w:szCs w:val="24"/>
                <w:highlight w:val="none"/>
              </w:rPr>
            </w:pPr>
          </w:p>
        </w:tc>
      </w:tr>
    </w:tbl>
    <w:p w14:paraId="0278A2F0">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第五条 承包人应向发包人交付的设计资料及文件：</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27"/>
        <w:gridCol w:w="813"/>
        <w:gridCol w:w="2249"/>
        <w:gridCol w:w="1701"/>
      </w:tblGrid>
      <w:tr w14:paraId="1D83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5D769494">
            <w:pPr>
              <w:widowControl/>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序号</w:t>
            </w:r>
          </w:p>
        </w:tc>
        <w:tc>
          <w:tcPr>
            <w:tcW w:w="2427" w:type="dxa"/>
            <w:noWrap w:val="0"/>
            <w:vAlign w:val="center"/>
          </w:tcPr>
          <w:p w14:paraId="0A8E1B81">
            <w:pPr>
              <w:widowControl/>
              <w:wordWrap w:val="0"/>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资料及文件名称</w:t>
            </w:r>
          </w:p>
        </w:tc>
        <w:tc>
          <w:tcPr>
            <w:tcW w:w="813" w:type="dxa"/>
            <w:noWrap w:val="0"/>
            <w:vAlign w:val="center"/>
          </w:tcPr>
          <w:p w14:paraId="014BF2F1">
            <w:pPr>
              <w:widowControl/>
              <w:wordWrap w:val="0"/>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份数</w:t>
            </w:r>
          </w:p>
        </w:tc>
        <w:tc>
          <w:tcPr>
            <w:tcW w:w="2249" w:type="dxa"/>
            <w:noWrap w:val="0"/>
            <w:vAlign w:val="center"/>
          </w:tcPr>
          <w:p w14:paraId="5BDBAB68">
            <w:pPr>
              <w:widowControl/>
              <w:wordWrap w:val="0"/>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提交日期</w:t>
            </w:r>
          </w:p>
        </w:tc>
        <w:tc>
          <w:tcPr>
            <w:tcW w:w="1701" w:type="dxa"/>
            <w:noWrap w:val="0"/>
            <w:vAlign w:val="center"/>
          </w:tcPr>
          <w:p w14:paraId="651C9DAB">
            <w:pPr>
              <w:widowControl/>
              <w:wordWrap w:val="0"/>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有关事宜</w:t>
            </w:r>
          </w:p>
        </w:tc>
      </w:tr>
      <w:tr w14:paraId="0451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noWrap w:val="0"/>
            <w:vAlign w:val="center"/>
          </w:tcPr>
          <w:p w14:paraId="64105BA3">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方案设计阶段</w:t>
            </w:r>
          </w:p>
        </w:tc>
      </w:tr>
      <w:tr w14:paraId="14E3B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2D3A06F8">
            <w:pPr>
              <w:keepNext w:val="0"/>
              <w:keepLines w:val="0"/>
              <w:pageBreakBefore w:val="0"/>
              <w:widowControl/>
              <w:kinsoku/>
              <w:wordWrap w:val="0"/>
              <w:overflowPunct/>
              <w:topLinePunct/>
              <w:autoSpaceDE/>
              <w:autoSpaceDN/>
              <w:bidi w:val="0"/>
              <w:adjustRightInd w:val="0"/>
              <w:snapToGrid w:val="0"/>
              <w:spacing w:line="400" w:lineRule="exact"/>
              <w:jc w:val="center"/>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1</w:t>
            </w:r>
          </w:p>
        </w:tc>
        <w:tc>
          <w:tcPr>
            <w:tcW w:w="2427" w:type="dxa"/>
            <w:noWrap w:val="0"/>
            <w:vAlign w:val="center"/>
          </w:tcPr>
          <w:p w14:paraId="5237FE33">
            <w:pPr>
              <w:keepNext w:val="0"/>
              <w:keepLines w:val="0"/>
              <w:pageBreakBefore w:val="0"/>
              <w:widowControl/>
              <w:kinsoku/>
              <w:wordWrap w:val="0"/>
              <w:overflowPunct/>
              <w:topLinePunct/>
              <w:autoSpaceDE/>
              <w:autoSpaceDN/>
              <w:bidi w:val="0"/>
              <w:adjustRightInd w:val="0"/>
              <w:snapToGrid w:val="0"/>
              <w:spacing w:line="400" w:lineRule="exact"/>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修改方案设计图</w:t>
            </w:r>
          </w:p>
        </w:tc>
        <w:tc>
          <w:tcPr>
            <w:tcW w:w="813" w:type="dxa"/>
            <w:noWrap w:val="0"/>
            <w:vAlign w:val="center"/>
          </w:tcPr>
          <w:p w14:paraId="1F0A7EA9">
            <w:pPr>
              <w:keepNext w:val="0"/>
              <w:keepLines w:val="0"/>
              <w:pageBreakBefore w:val="0"/>
              <w:widowControl/>
              <w:kinsoku/>
              <w:wordWrap w:val="0"/>
              <w:overflowPunct/>
              <w:topLinePunct/>
              <w:autoSpaceDE/>
              <w:autoSpaceDN/>
              <w:bidi w:val="0"/>
              <w:adjustRightInd w:val="0"/>
              <w:snapToGrid w:val="0"/>
              <w:spacing w:line="400" w:lineRule="exact"/>
              <w:jc w:val="center"/>
              <w:textAlignment w:val="auto"/>
              <w:rPr>
                <w:rFonts w:ascii="宋体" w:hAnsi="宋体" w:cs="宋体"/>
                <w:bCs/>
                <w:color w:val="auto"/>
                <w:spacing w:val="20"/>
                <w:sz w:val="24"/>
                <w:highlight w:val="none"/>
              </w:rPr>
            </w:pPr>
          </w:p>
        </w:tc>
        <w:tc>
          <w:tcPr>
            <w:tcW w:w="2249" w:type="dxa"/>
            <w:noWrap w:val="0"/>
            <w:vAlign w:val="center"/>
          </w:tcPr>
          <w:p w14:paraId="41CDCFF5">
            <w:pPr>
              <w:keepNext w:val="0"/>
              <w:keepLines w:val="0"/>
              <w:pageBreakBefore w:val="0"/>
              <w:widowControl/>
              <w:kinsoku/>
              <w:wordWrap w:val="0"/>
              <w:overflowPunct/>
              <w:topLinePunct/>
              <w:autoSpaceDE/>
              <w:autoSpaceDN/>
              <w:bidi w:val="0"/>
              <w:adjustRightInd w:val="0"/>
              <w:snapToGrid w:val="0"/>
              <w:spacing w:line="400" w:lineRule="exact"/>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收到方案修改意见后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天</w:t>
            </w:r>
          </w:p>
        </w:tc>
        <w:tc>
          <w:tcPr>
            <w:tcW w:w="1701" w:type="dxa"/>
            <w:noWrap w:val="0"/>
            <w:vAlign w:val="center"/>
          </w:tcPr>
          <w:p w14:paraId="0E35BD5F">
            <w:pPr>
              <w:widowControl/>
              <w:wordWrap w:val="0"/>
              <w:topLinePunct/>
              <w:adjustRightInd w:val="0"/>
              <w:snapToGrid w:val="0"/>
              <w:spacing w:line="480" w:lineRule="exact"/>
              <w:jc w:val="center"/>
              <w:rPr>
                <w:rFonts w:ascii="宋体" w:hAnsi="宋体" w:cs="宋体"/>
                <w:bCs/>
                <w:color w:val="auto"/>
                <w:spacing w:val="20"/>
                <w:sz w:val="24"/>
                <w:highlight w:val="none"/>
              </w:rPr>
            </w:pPr>
          </w:p>
        </w:tc>
      </w:tr>
      <w:tr w14:paraId="5E560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noWrap w:val="0"/>
            <w:vAlign w:val="center"/>
          </w:tcPr>
          <w:p w14:paraId="314F6C00">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初步设计阶段</w:t>
            </w:r>
          </w:p>
        </w:tc>
      </w:tr>
      <w:tr w14:paraId="62A3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noWrap w:val="0"/>
            <w:vAlign w:val="center"/>
          </w:tcPr>
          <w:p w14:paraId="3D2A6A9C">
            <w:pPr>
              <w:widowControl/>
              <w:wordWrap w:val="0"/>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2</w:t>
            </w:r>
          </w:p>
        </w:tc>
        <w:tc>
          <w:tcPr>
            <w:tcW w:w="2427" w:type="dxa"/>
            <w:noWrap w:val="0"/>
            <w:vAlign w:val="center"/>
          </w:tcPr>
          <w:p w14:paraId="540A6D23">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初步设计图</w:t>
            </w:r>
          </w:p>
        </w:tc>
        <w:tc>
          <w:tcPr>
            <w:tcW w:w="813" w:type="dxa"/>
            <w:noWrap w:val="0"/>
            <w:vAlign w:val="center"/>
          </w:tcPr>
          <w:p w14:paraId="23242B8B">
            <w:pPr>
              <w:widowControl/>
              <w:wordWrap w:val="0"/>
              <w:topLinePunct/>
              <w:adjustRightInd w:val="0"/>
              <w:snapToGrid w:val="0"/>
              <w:spacing w:line="480" w:lineRule="exact"/>
              <w:jc w:val="center"/>
              <w:rPr>
                <w:rFonts w:ascii="宋体" w:hAnsi="宋体" w:cs="宋体"/>
                <w:bCs/>
                <w:color w:val="auto"/>
                <w:spacing w:val="20"/>
                <w:sz w:val="24"/>
                <w:highlight w:val="none"/>
              </w:rPr>
            </w:pPr>
          </w:p>
        </w:tc>
        <w:tc>
          <w:tcPr>
            <w:tcW w:w="2249" w:type="dxa"/>
            <w:noWrap w:val="0"/>
            <w:vAlign w:val="center"/>
          </w:tcPr>
          <w:p w14:paraId="01B091D0">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方案批复后  天</w:t>
            </w:r>
          </w:p>
        </w:tc>
        <w:tc>
          <w:tcPr>
            <w:tcW w:w="1701" w:type="dxa"/>
            <w:noWrap w:val="0"/>
            <w:vAlign w:val="center"/>
          </w:tcPr>
          <w:p w14:paraId="0947812B">
            <w:pPr>
              <w:widowControl/>
              <w:wordWrap w:val="0"/>
              <w:topLinePunct/>
              <w:adjustRightInd w:val="0"/>
              <w:snapToGrid w:val="0"/>
              <w:spacing w:line="480" w:lineRule="exact"/>
              <w:jc w:val="center"/>
              <w:rPr>
                <w:rFonts w:ascii="宋体" w:hAnsi="宋体" w:cs="宋体"/>
                <w:bCs/>
                <w:color w:val="auto"/>
                <w:spacing w:val="20"/>
                <w:sz w:val="24"/>
                <w:highlight w:val="none"/>
              </w:rPr>
            </w:pPr>
          </w:p>
        </w:tc>
      </w:tr>
      <w:tr w14:paraId="3E9F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8" w:type="dxa"/>
            <w:noWrap w:val="0"/>
            <w:vAlign w:val="center"/>
          </w:tcPr>
          <w:p w14:paraId="1ED1035A">
            <w:pPr>
              <w:widowControl/>
              <w:wordWrap w:val="0"/>
              <w:topLinePunct/>
              <w:adjustRightInd w:val="0"/>
              <w:snapToGrid w:val="0"/>
              <w:spacing w:line="480" w:lineRule="exact"/>
              <w:jc w:val="center"/>
              <w:rPr>
                <w:rFonts w:ascii="宋体" w:hAnsi="宋体" w:cs="宋体"/>
                <w:bCs/>
                <w:color w:val="auto"/>
                <w:spacing w:val="20"/>
                <w:sz w:val="24"/>
                <w:highlight w:val="none"/>
              </w:rPr>
            </w:pPr>
            <w:r>
              <w:rPr>
                <w:rFonts w:hint="eastAsia" w:ascii="宋体" w:hAnsi="宋体" w:cs="宋体"/>
                <w:bCs/>
                <w:color w:val="auto"/>
                <w:spacing w:val="20"/>
                <w:sz w:val="24"/>
                <w:highlight w:val="none"/>
              </w:rPr>
              <w:t>3</w:t>
            </w:r>
          </w:p>
        </w:tc>
        <w:tc>
          <w:tcPr>
            <w:tcW w:w="2427" w:type="dxa"/>
            <w:noWrap w:val="0"/>
            <w:vAlign w:val="center"/>
          </w:tcPr>
          <w:p w14:paraId="56B41A23">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设计概算</w:t>
            </w:r>
          </w:p>
        </w:tc>
        <w:tc>
          <w:tcPr>
            <w:tcW w:w="813" w:type="dxa"/>
            <w:noWrap w:val="0"/>
            <w:vAlign w:val="center"/>
          </w:tcPr>
          <w:p w14:paraId="371A2A1C">
            <w:pPr>
              <w:widowControl/>
              <w:wordWrap w:val="0"/>
              <w:topLinePunct/>
              <w:adjustRightInd w:val="0"/>
              <w:snapToGrid w:val="0"/>
              <w:spacing w:line="480" w:lineRule="exact"/>
              <w:jc w:val="center"/>
              <w:rPr>
                <w:rFonts w:ascii="宋体" w:hAnsi="宋体" w:cs="宋体"/>
                <w:bCs/>
                <w:color w:val="auto"/>
                <w:spacing w:val="20"/>
                <w:sz w:val="24"/>
                <w:highlight w:val="none"/>
              </w:rPr>
            </w:pPr>
          </w:p>
        </w:tc>
        <w:tc>
          <w:tcPr>
            <w:tcW w:w="2249" w:type="dxa"/>
            <w:noWrap w:val="0"/>
            <w:vAlign w:val="center"/>
          </w:tcPr>
          <w:p w14:paraId="6EEB5290">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方案批复后  天</w:t>
            </w:r>
          </w:p>
        </w:tc>
        <w:tc>
          <w:tcPr>
            <w:tcW w:w="1701" w:type="dxa"/>
            <w:noWrap w:val="0"/>
            <w:vAlign w:val="center"/>
          </w:tcPr>
          <w:p w14:paraId="6E95029F">
            <w:pPr>
              <w:widowControl/>
              <w:wordWrap w:val="0"/>
              <w:topLinePunct/>
              <w:adjustRightInd w:val="0"/>
              <w:snapToGrid w:val="0"/>
              <w:spacing w:line="480" w:lineRule="exact"/>
              <w:jc w:val="center"/>
              <w:rPr>
                <w:rFonts w:ascii="宋体" w:hAnsi="宋体" w:cs="宋体"/>
                <w:bCs/>
                <w:color w:val="auto"/>
                <w:spacing w:val="20"/>
                <w:sz w:val="24"/>
                <w:highlight w:val="none"/>
              </w:rPr>
            </w:pPr>
          </w:p>
        </w:tc>
      </w:tr>
      <w:tr w14:paraId="75CF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noWrap w:val="0"/>
            <w:vAlign w:val="center"/>
          </w:tcPr>
          <w:p w14:paraId="0D07FFBD">
            <w:pPr>
              <w:widowControl/>
              <w:wordWrap w:val="0"/>
              <w:topLinePunct/>
              <w:adjustRightInd w:val="0"/>
              <w:snapToGrid w:val="0"/>
              <w:spacing w:line="480" w:lineRule="exact"/>
              <w:rPr>
                <w:rFonts w:ascii="宋体" w:hAnsi="宋体" w:cs="宋体"/>
                <w:bCs/>
                <w:color w:val="auto"/>
                <w:spacing w:val="20"/>
                <w:sz w:val="24"/>
                <w:highlight w:val="none"/>
              </w:rPr>
            </w:pPr>
            <w:r>
              <w:rPr>
                <w:rFonts w:hint="eastAsia" w:ascii="宋体" w:hAnsi="宋体" w:cs="宋体"/>
                <w:bCs/>
                <w:color w:val="auto"/>
                <w:spacing w:val="20"/>
                <w:sz w:val="24"/>
                <w:highlight w:val="none"/>
              </w:rPr>
              <w:t>施工图设计阶段</w:t>
            </w:r>
          </w:p>
        </w:tc>
      </w:tr>
      <w:tr w14:paraId="5E74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7ABAA492">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4</w:t>
            </w:r>
          </w:p>
        </w:tc>
        <w:tc>
          <w:tcPr>
            <w:tcW w:w="2427" w:type="dxa"/>
            <w:noWrap w:val="0"/>
            <w:vAlign w:val="center"/>
          </w:tcPr>
          <w:p w14:paraId="04F0BBD4">
            <w:pPr>
              <w:keepNext w:val="0"/>
              <w:keepLines w:val="0"/>
              <w:pageBreakBefore w:val="0"/>
              <w:widowControl/>
              <w:kinsoku/>
              <w:wordWrap w:val="0"/>
              <w:overflowPunct/>
              <w:topLinePunct/>
              <w:autoSpaceDE/>
              <w:autoSpaceDN/>
              <w:bidi w:val="0"/>
              <w:adjustRightInd w:val="0"/>
              <w:snapToGrid w:val="0"/>
              <w:spacing w:line="240" w:lineRule="auto"/>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施工设计图</w:t>
            </w:r>
          </w:p>
        </w:tc>
        <w:tc>
          <w:tcPr>
            <w:tcW w:w="813" w:type="dxa"/>
            <w:noWrap w:val="0"/>
            <w:vAlign w:val="center"/>
          </w:tcPr>
          <w:p w14:paraId="0AF8A90E">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ascii="宋体" w:hAnsi="宋体" w:cs="宋体"/>
                <w:bCs/>
                <w:color w:val="auto"/>
                <w:spacing w:val="20"/>
                <w:sz w:val="24"/>
                <w:highlight w:val="none"/>
              </w:rPr>
            </w:pPr>
          </w:p>
        </w:tc>
        <w:tc>
          <w:tcPr>
            <w:tcW w:w="2249" w:type="dxa"/>
            <w:noWrap w:val="0"/>
            <w:vAlign w:val="center"/>
          </w:tcPr>
          <w:p w14:paraId="2289D456">
            <w:pPr>
              <w:keepNext w:val="0"/>
              <w:keepLines w:val="0"/>
              <w:pageBreakBefore w:val="0"/>
              <w:widowControl/>
              <w:kinsoku/>
              <w:wordWrap w:val="0"/>
              <w:overflowPunct/>
              <w:topLinePunct/>
              <w:autoSpaceDE/>
              <w:autoSpaceDN/>
              <w:bidi w:val="0"/>
              <w:adjustRightInd w:val="0"/>
              <w:snapToGrid w:val="0"/>
              <w:spacing w:line="240" w:lineRule="auto"/>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初步设计批复后  天</w:t>
            </w:r>
          </w:p>
        </w:tc>
        <w:tc>
          <w:tcPr>
            <w:tcW w:w="1701" w:type="dxa"/>
            <w:noWrap w:val="0"/>
            <w:vAlign w:val="center"/>
          </w:tcPr>
          <w:p w14:paraId="1047FF49">
            <w:pPr>
              <w:keepNext w:val="0"/>
              <w:keepLines w:val="0"/>
              <w:pageBreakBefore w:val="0"/>
              <w:widowControl/>
              <w:kinsoku/>
              <w:wordWrap w:val="0"/>
              <w:overflowPunct/>
              <w:topLinePunct/>
              <w:autoSpaceDE/>
              <w:autoSpaceDN/>
              <w:bidi w:val="0"/>
              <w:adjustRightInd w:val="0"/>
              <w:snapToGrid w:val="0"/>
              <w:spacing w:line="400" w:lineRule="exact"/>
              <w:jc w:val="center"/>
              <w:textAlignment w:val="auto"/>
              <w:rPr>
                <w:rFonts w:ascii="宋体" w:hAnsi="宋体" w:cs="宋体"/>
                <w:bCs/>
                <w:color w:val="auto"/>
                <w:spacing w:val="20"/>
                <w:sz w:val="24"/>
                <w:highlight w:val="none"/>
              </w:rPr>
            </w:pPr>
          </w:p>
        </w:tc>
      </w:tr>
      <w:tr w14:paraId="16D3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noWrap w:val="0"/>
            <w:vAlign w:val="center"/>
          </w:tcPr>
          <w:p w14:paraId="2209FC5B">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hint="eastAsia" w:ascii="宋体" w:hAnsi="宋体" w:eastAsia="宋体" w:cs="宋体"/>
                <w:bCs/>
                <w:color w:val="auto"/>
                <w:spacing w:val="20"/>
                <w:sz w:val="24"/>
                <w:highlight w:val="none"/>
                <w:lang w:val="en-US" w:eastAsia="zh-CN"/>
              </w:rPr>
            </w:pPr>
            <w:r>
              <w:rPr>
                <w:rFonts w:hint="eastAsia" w:ascii="宋体" w:hAnsi="宋体" w:cs="宋体"/>
                <w:bCs/>
                <w:color w:val="auto"/>
                <w:spacing w:val="20"/>
                <w:sz w:val="24"/>
                <w:highlight w:val="none"/>
                <w:lang w:val="en-US" w:eastAsia="zh-CN"/>
              </w:rPr>
              <w:t>5</w:t>
            </w:r>
          </w:p>
        </w:tc>
        <w:tc>
          <w:tcPr>
            <w:tcW w:w="2427" w:type="dxa"/>
            <w:noWrap w:val="0"/>
            <w:vAlign w:val="center"/>
          </w:tcPr>
          <w:p w14:paraId="1C4DBA6D">
            <w:pPr>
              <w:keepNext w:val="0"/>
              <w:keepLines w:val="0"/>
              <w:pageBreakBefore w:val="0"/>
              <w:widowControl/>
              <w:kinsoku/>
              <w:wordWrap w:val="0"/>
              <w:overflowPunct/>
              <w:topLinePunct/>
              <w:autoSpaceDE/>
              <w:autoSpaceDN/>
              <w:bidi w:val="0"/>
              <w:adjustRightInd w:val="0"/>
              <w:snapToGrid w:val="0"/>
              <w:spacing w:line="240" w:lineRule="auto"/>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电子文件</w:t>
            </w:r>
          </w:p>
        </w:tc>
        <w:tc>
          <w:tcPr>
            <w:tcW w:w="813" w:type="dxa"/>
            <w:noWrap w:val="0"/>
            <w:vAlign w:val="center"/>
          </w:tcPr>
          <w:p w14:paraId="4BACDC37">
            <w:pPr>
              <w:keepNext w:val="0"/>
              <w:keepLines w:val="0"/>
              <w:pageBreakBefore w:val="0"/>
              <w:widowControl/>
              <w:kinsoku/>
              <w:wordWrap w:val="0"/>
              <w:overflowPunct/>
              <w:topLinePunct/>
              <w:autoSpaceDE/>
              <w:autoSpaceDN/>
              <w:bidi w:val="0"/>
              <w:adjustRightInd w:val="0"/>
              <w:snapToGrid w:val="0"/>
              <w:spacing w:line="240" w:lineRule="auto"/>
              <w:jc w:val="center"/>
              <w:textAlignment w:val="auto"/>
              <w:rPr>
                <w:rFonts w:ascii="宋体" w:hAnsi="宋体" w:cs="宋体"/>
                <w:bCs/>
                <w:color w:val="auto"/>
                <w:spacing w:val="20"/>
                <w:sz w:val="24"/>
                <w:highlight w:val="none"/>
              </w:rPr>
            </w:pPr>
          </w:p>
        </w:tc>
        <w:tc>
          <w:tcPr>
            <w:tcW w:w="2249" w:type="dxa"/>
            <w:noWrap w:val="0"/>
            <w:vAlign w:val="center"/>
          </w:tcPr>
          <w:p w14:paraId="61A24C15">
            <w:pPr>
              <w:keepNext w:val="0"/>
              <w:keepLines w:val="0"/>
              <w:pageBreakBefore w:val="0"/>
              <w:widowControl/>
              <w:kinsoku/>
              <w:wordWrap w:val="0"/>
              <w:overflowPunct/>
              <w:topLinePunct/>
              <w:autoSpaceDE/>
              <w:autoSpaceDN/>
              <w:bidi w:val="0"/>
              <w:adjustRightInd w:val="0"/>
              <w:snapToGrid w:val="0"/>
              <w:spacing w:line="240" w:lineRule="auto"/>
              <w:textAlignment w:val="auto"/>
              <w:rPr>
                <w:rFonts w:ascii="宋体" w:hAnsi="宋体" w:cs="宋体"/>
                <w:bCs/>
                <w:color w:val="auto"/>
                <w:spacing w:val="20"/>
                <w:sz w:val="24"/>
                <w:highlight w:val="none"/>
              </w:rPr>
            </w:pPr>
            <w:r>
              <w:rPr>
                <w:rFonts w:hint="eastAsia" w:ascii="宋体" w:hAnsi="宋体" w:cs="宋体"/>
                <w:bCs/>
                <w:color w:val="auto"/>
                <w:spacing w:val="20"/>
                <w:sz w:val="24"/>
                <w:highlight w:val="none"/>
              </w:rPr>
              <w:t>与上述文件同时提交</w:t>
            </w:r>
          </w:p>
        </w:tc>
        <w:tc>
          <w:tcPr>
            <w:tcW w:w="1701" w:type="dxa"/>
            <w:noWrap w:val="0"/>
            <w:vAlign w:val="center"/>
          </w:tcPr>
          <w:p w14:paraId="2F61E2E4">
            <w:pPr>
              <w:keepNext w:val="0"/>
              <w:keepLines w:val="0"/>
              <w:pageBreakBefore w:val="0"/>
              <w:widowControl/>
              <w:kinsoku/>
              <w:wordWrap w:val="0"/>
              <w:overflowPunct/>
              <w:topLinePunct/>
              <w:autoSpaceDE/>
              <w:autoSpaceDN/>
              <w:bidi w:val="0"/>
              <w:adjustRightInd w:val="0"/>
              <w:snapToGrid w:val="0"/>
              <w:spacing w:line="400" w:lineRule="exact"/>
              <w:jc w:val="center"/>
              <w:textAlignment w:val="auto"/>
              <w:rPr>
                <w:rFonts w:ascii="宋体" w:hAnsi="宋体" w:cs="宋体"/>
                <w:bCs/>
                <w:color w:val="auto"/>
                <w:spacing w:val="20"/>
                <w:sz w:val="24"/>
                <w:highlight w:val="none"/>
              </w:rPr>
            </w:pPr>
          </w:p>
        </w:tc>
      </w:tr>
    </w:tbl>
    <w:p w14:paraId="5EBB7EFF">
      <w:pPr>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注：承包人向发包人提交的电子版本的设计文件应适用如下标准：</w:t>
      </w:r>
    </w:p>
    <w:p w14:paraId="2B969AA4">
      <w:pPr>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1、文字资料应当使用Microsoft Word 及Excel软件。</w:t>
      </w:r>
    </w:p>
    <w:p w14:paraId="3D958443">
      <w:pPr>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2、图纸资料应当使用AutoCAD及pdf文件，其中AutoCAD文件格式使用dwg格式。</w:t>
      </w:r>
    </w:p>
    <w:p w14:paraId="1287C47F">
      <w:pPr>
        <w:wordWrap w:val="0"/>
        <w:topLinePunct/>
        <w:adjustRightInd w:val="0"/>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3、提供CAD图纸的同时应提供所有图纸中所使用的字体文件。如有外部引用，必须包含所有外部引用的全部文件及字体，文件名必须与图名相对应，每个文件对应一张图并注明版本号。</w:t>
      </w:r>
    </w:p>
    <w:p w14:paraId="3628B357">
      <w:pPr>
        <w:wordWrap w:val="0"/>
        <w:topLinePunct/>
        <w:adjustRightInd w:val="0"/>
        <w:snapToGrid w:val="0"/>
        <w:spacing w:line="44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4、表现图资料使用jpg格式的文件。</w:t>
      </w:r>
    </w:p>
    <w:p w14:paraId="31CB3D47">
      <w:pPr>
        <w:wordWrap w:val="0"/>
        <w:topLinePunct/>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5、项目电子图纸、图片及文字资料所有权归发包人，承包人不得对所提交电子文件设置加密锁、只读格式、附带专项软件启动条件，以及发包人认为不合理的限制格式。</w:t>
      </w:r>
    </w:p>
    <w:p w14:paraId="381EED1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5.1</w:t>
      </w:r>
      <w:r>
        <w:rPr>
          <w:rFonts w:hint="eastAsia" w:ascii="宋体" w:hAnsi="宋体" w:cs="宋体"/>
          <w:color w:val="auto"/>
          <w:sz w:val="24"/>
          <w:szCs w:val="24"/>
          <w:highlight w:val="none"/>
        </w:rPr>
        <w:t>设计文件包括设计资料、设计文件、设计图纸及其电子版本。</w:t>
      </w:r>
    </w:p>
    <w:p w14:paraId="578D40AD">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5.2</w:t>
      </w:r>
      <w:r>
        <w:rPr>
          <w:rFonts w:hint="eastAsia" w:ascii="宋体" w:hAnsi="宋体" w:cs="宋体"/>
          <w:color w:val="auto"/>
          <w:sz w:val="24"/>
          <w:szCs w:val="24"/>
          <w:highlight w:val="none"/>
        </w:rPr>
        <w:t>设计图纸含总体规划方案设计图、总设计说明以及必要的设计资料和设计计算书等附件。</w:t>
      </w:r>
    </w:p>
    <w:p w14:paraId="20086D3C">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5.3</w:t>
      </w:r>
      <w:r>
        <w:rPr>
          <w:rFonts w:hint="eastAsia" w:ascii="宋体" w:hAnsi="宋体" w:cs="宋体"/>
          <w:color w:val="auto"/>
          <w:sz w:val="24"/>
          <w:szCs w:val="24"/>
          <w:highlight w:val="none"/>
        </w:rPr>
        <w:t>承包人应按发包人制定的项目编码方式进行文件、图纸的编码，并遵守发包人制定的设计文件、图纸、资料的发放、回收和验收制度。</w:t>
      </w:r>
    </w:p>
    <w:p w14:paraId="22BD860C">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5.4</w:t>
      </w:r>
      <w:r>
        <w:rPr>
          <w:rFonts w:hint="eastAsia" w:ascii="宋体" w:hAnsi="宋体" w:cs="宋体"/>
          <w:color w:val="auto"/>
          <w:sz w:val="24"/>
          <w:szCs w:val="24"/>
          <w:highlight w:val="none"/>
        </w:rPr>
        <w:t>承包人须向发包人提交施工图纸20份、设计计算书4份、相应的电子设计文件及文档2份（刻制成光盘）。</w:t>
      </w:r>
    </w:p>
    <w:p w14:paraId="60BD61CD">
      <w:pPr>
        <w:wordWrap w:val="0"/>
        <w:topLinePunct/>
        <w:adjustRightInd w:val="0"/>
        <w:snapToGrid w:val="0"/>
        <w:spacing w:line="440" w:lineRule="exact"/>
        <w:ind w:firstLine="424" w:firstLineChars="176"/>
        <w:rPr>
          <w:rFonts w:ascii="宋体" w:hAnsi="宋体" w:cs="宋体"/>
          <w:color w:val="auto"/>
          <w:sz w:val="24"/>
          <w:szCs w:val="24"/>
          <w:highlight w:val="none"/>
          <w:shd w:val="pct10" w:color="auto" w:fill="FFFFFF"/>
        </w:rPr>
      </w:pPr>
      <w:r>
        <w:rPr>
          <w:rFonts w:hint="eastAsia" w:ascii="宋体" w:hAnsi="宋体" w:cs="宋体"/>
          <w:b/>
          <w:color w:val="auto"/>
          <w:sz w:val="24"/>
          <w:szCs w:val="24"/>
          <w:highlight w:val="none"/>
          <w:shd w:val="pct10" w:color="auto" w:fill="FFFFFF"/>
        </w:rPr>
        <w:t>5.5</w:t>
      </w:r>
      <w:r>
        <w:rPr>
          <w:rFonts w:hint="eastAsia" w:ascii="宋体" w:hAnsi="宋体" w:cs="宋体"/>
          <w:color w:val="auto"/>
          <w:sz w:val="24"/>
          <w:szCs w:val="24"/>
          <w:highlight w:val="none"/>
        </w:rPr>
        <w:t>在提交初步设计（部分）及施工设计文件的同时或发包人要求的其他时间，承包人提供进行相关工作所需的工程概况，各一式15份。</w:t>
      </w:r>
    </w:p>
    <w:p w14:paraId="466907AD">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5.6</w:t>
      </w:r>
      <w:r>
        <w:rPr>
          <w:rFonts w:hint="eastAsia" w:ascii="宋体" w:hAnsi="宋体" w:cs="宋体"/>
          <w:color w:val="auto"/>
          <w:sz w:val="24"/>
          <w:szCs w:val="24"/>
          <w:highlight w:val="none"/>
        </w:rPr>
        <w:t>合同双方取得设计文件或资料后应办理签收手续。</w:t>
      </w:r>
    </w:p>
    <w:p w14:paraId="3364F0E2">
      <w:pPr>
        <w:wordWrap w:val="0"/>
        <w:topLinePunct/>
        <w:adjustRightInd w:val="0"/>
        <w:snapToGrid w:val="0"/>
        <w:spacing w:line="440" w:lineRule="exact"/>
        <w:ind w:firstLine="424" w:firstLineChars="176"/>
        <w:rPr>
          <w:rFonts w:ascii="宋体" w:hAnsi="宋体" w:cs="宋体"/>
          <w:b/>
          <w:color w:val="auto"/>
          <w:sz w:val="24"/>
          <w:szCs w:val="24"/>
          <w:highlight w:val="none"/>
          <w:shd w:val="pct10" w:color="auto" w:fill="FFFFFF"/>
        </w:rPr>
      </w:pPr>
      <w:r>
        <w:rPr>
          <w:rFonts w:hint="eastAsia" w:ascii="宋体" w:hAnsi="宋体" w:cs="宋体"/>
          <w:b/>
          <w:color w:val="auto"/>
          <w:sz w:val="24"/>
          <w:szCs w:val="24"/>
          <w:highlight w:val="none"/>
          <w:shd w:val="pct10" w:color="auto" w:fill="FFFFFF"/>
        </w:rPr>
        <w:t>5.7</w:t>
      </w:r>
      <w:r>
        <w:rPr>
          <w:rFonts w:hint="eastAsia" w:ascii="宋体" w:hAnsi="宋体" w:cs="宋体"/>
          <w:color w:val="auto"/>
          <w:sz w:val="24"/>
          <w:szCs w:val="24"/>
          <w:highlight w:val="none"/>
        </w:rPr>
        <w:t>承包人自行承担办理运输或邮寄或电传设计文件、资料所需的费用。</w:t>
      </w:r>
    </w:p>
    <w:p w14:paraId="031532DC">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5.8</w:t>
      </w:r>
      <w:r>
        <w:rPr>
          <w:rFonts w:hint="eastAsia" w:ascii="宋体" w:hAnsi="宋体" w:cs="宋体"/>
          <w:color w:val="auto"/>
          <w:sz w:val="24"/>
          <w:szCs w:val="24"/>
          <w:highlight w:val="none"/>
        </w:rPr>
        <w:t>承包人将设计文件交至发包人日常办公所在地或发包人临时指定的地点。设计文件的收发、传送管理按发包人有关规定办理。</w:t>
      </w:r>
    </w:p>
    <w:p w14:paraId="197119B5">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5.9</w:t>
      </w:r>
      <w:r>
        <w:rPr>
          <w:rFonts w:hint="eastAsia" w:ascii="宋体" w:hAnsi="宋体" w:cs="宋体"/>
          <w:color w:val="auto"/>
          <w:sz w:val="24"/>
          <w:szCs w:val="24"/>
          <w:highlight w:val="none"/>
        </w:rPr>
        <w:t>设计总说明必须于提交各阶段成果时同期交付。</w:t>
      </w:r>
    </w:p>
    <w:p w14:paraId="1703F6FA">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5.10</w:t>
      </w:r>
      <w:r>
        <w:rPr>
          <w:rFonts w:hint="eastAsia" w:ascii="宋体" w:hAnsi="宋体" w:cs="宋体"/>
          <w:color w:val="auto"/>
          <w:sz w:val="24"/>
          <w:szCs w:val="24"/>
          <w:highlight w:val="none"/>
        </w:rPr>
        <w:t>分包设计费已含分包单位（主设计单位）晒图费用，设计分包单位晒图不再另行支付费用。</w:t>
      </w:r>
    </w:p>
    <w:p w14:paraId="4600B919">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5.11</w:t>
      </w:r>
      <w:r>
        <w:rPr>
          <w:rFonts w:hint="eastAsia" w:ascii="宋体" w:hAnsi="宋体" w:cs="宋体"/>
          <w:color w:val="auto"/>
          <w:sz w:val="24"/>
          <w:szCs w:val="24"/>
          <w:highlight w:val="none"/>
        </w:rPr>
        <w:t>本合同生效之日起至竣工验收合格后满</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年为止为服务期限（工程质量缺陷保修期）。在工程缺陷保修期内，若发现工程设计未能满足本合同的要求，承包人须继续提供服务，直至满足要求为止，对此发包方不额外支付费用。</w:t>
      </w:r>
    </w:p>
    <w:p w14:paraId="672FCEDB">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第六条 设计费金额及支付方式</w:t>
      </w:r>
    </w:p>
    <w:p w14:paraId="63DCFA76">
      <w:pPr>
        <w:widowControl/>
        <w:wordWrap w:val="0"/>
        <w:topLinePunct/>
        <w:adjustRightInd w:val="0"/>
        <w:snapToGrid w:val="0"/>
        <w:spacing w:line="480" w:lineRule="exact"/>
        <w:ind w:firstLine="422" w:firstLineChars="176"/>
        <w:rPr>
          <w:rFonts w:hint="eastAsia" w:ascii="宋体" w:hAnsi="宋体" w:eastAsia="宋体" w:cs="宋体"/>
          <w:color w:val="auto"/>
          <w:sz w:val="24"/>
          <w:szCs w:val="24"/>
          <w:highlight w:val="none"/>
          <w:u w:val="single"/>
          <w:shd w:val="clear" w:color="auto" w:fill="auto"/>
        </w:rPr>
      </w:pPr>
      <w:r>
        <w:rPr>
          <w:rFonts w:hint="eastAsia" w:ascii="宋体" w:hAnsi="宋体" w:cs="宋体"/>
          <w:color w:val="auto"/>
          <w:sz w:val="24"/>
          <w:highlight w:val="none"/>
        </w:rPr>
        <w:t>6.1</w:t>
      </w:r>
      <w:r>
        <w:rPr>
          <w:rFonts w:hint="eastAsia" w:ascii="宋体" w:hAnsi="宋体" w:cs="宋体"/>
          <w:color w:val="auto"/>
          <w:sz w:val="24"/>
          <w:highlight w:val="none"/>
          <w:lang w:val="en-US" w:eastAsia="zh-CN"/>
        </w:rPr>
        <w:t>本项目设计</w:t>
      </w:r>
      <w:r>
        <w:rPr>
          <w:rFonts w:hint="eastAsia" w:ascii="宋体" w:hAnsi="宋体" w:cs="宋体"/>
          <w:color w:val="auto"/>
          <w:sz w:val="24"/>
          <w:highlight w:val="none"/>
          <w:lang w:val="en-US" w:eastAsia="zh-CN"/>
        </w:rPr>
        <w:t>费</w:t>
      </w:r>
      <w:r>
        <w:rPr>
          <w:rFonts w:hint="eastAsia" w:ascii="宋体" w:hAnsi="宋体" w:eastAsia="宋体" w:cs="宋体"/>
          <w:color w:val="auto"/>
          <w:sz w:val="24"/>
          <w:szCs w:val="24"/>
          <w:highlight w:val="none"/>
          <w:u w:val="single"/>
          <w:shd w:val="clear" w:color="auto" w:fill="auto"/>
        </w:rPr>
        <w:t>按国家计委、建设部颁发的《工程勘察设计收费标准》（计价格[2002]10号）及穗开财字【2014】53号文</w:t>
      </w:r>
      <w:r>
        <w:rPr>
          <w:rFonts w:hint="eastAsia" w:ascii="宋体" w:hAnsi="宋体" w:cs="宋体"/>
          <w:color w:val="auto"/>
          <w:sz w:val="24"/>
          <w:szCs w:val="24"/>
          <w:highlight w:val="none"/>
          <w:u w:val="single"/>
          <w:shd w:val="clear" w:color="auto" w:fill="auto"/>
          <w:lang w:val="en-US" w:eastAsia="zh-CN"/>
        </w:rPr>
        <w:t>并执行中标下浮率   %计算</w:t>
      </w:r>
      <w:r>
        <w:rPr>
          <w:rFonts w:hint="eastAsia" w:ascii="宋体" w:hAnsi="宋体" w:cs="宋体"/>
          <w:color w:val="auto"/>
          <w:kern w:val="0"/>
          <w:sz w:val="24"/>
          <w:szCs w:val="24"/>
          <w:highlight w:val="none"/>
        </w:rPr>
        <w:t>。</w:t>
      </w:r>
      <w:r>
        <w:rPr>
          <w:rFonts w:hint="eastAsia" w:ascii="宋体" w:hAnsi="宋体" w:eastAsia="宋体" w:cs="宋体"/>
          <w:color w:val="auto"/>
          <w:sz w:val="24"/>
          <w:szCs w:val="24"/>
          <w:highlight w:val="none"/>
          <w:u w:val="single"/>
          <w:shd w:val="clear" w:color="auto" w:fill="auto"/>
        </w:rPr>
        <w:t>各单项基本设计收费=各单项工程设计收费基价×专业调整系数×工程复杂程度调整系数×附加调整系数。专业调整系数分别定为：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；复杂程度调整系数定为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eastAsia="宋体" w:cs="宋体"/>
          <w:color w:val="auto"/>
          <w:sz w:val="24"/>
          <w:szCs w:val="24"/>
          <w:highlight w:val="none"/>
          <w:u w:val="single"/>
          <w:shd w:val="clear" w:color="auto" w:fill="auto"/>
        </w:rPr>
        <w:t>；附加调整系数为</w:t>
      </w:r>
      <w:r>
        <w:rPr>
          <w:rFonts w:hint="eastAsia" w:ascii="宋体" w:hAnsi="宋体" w:eastAsia="宋体" w:cs="宋体"/>
          <w:color w:val="auto"/>
          <w:sz w:val="24"/>
          <w:szCs w:val="24"/>
          <w:highlight w:val="none"/>
          <w:u w:val="single"/>
          <w:shd w:val="clear" w:color="auto" w:fill="auto"/>
          <w:lang w:val="en-US" w:eastAsia="zh-CN"/>
        </w:rPr>
        <w:t xml:space="preserve">     </w:t>
      </w:r>
      <w:r>
        <w:rPr>
          <w:rFonts w:hint="eastAsia" w:ascii="宋体" w:hAnsi="宋体" w:cs="宋体"/>
          <w:color w:val="auto"/>
          <w:sz w:val="24"/>
          <w:szCs w:val="24"/>
          <w:highlight w:val="none"/>
          <w:u w:val="single"/>
          <w:shd w:val="clear" w:color="auto" w:fill="auto"/>
          <w:lang w:eastAsia="zh-CN"/>
        </w:rPr>
        <w:t>。</w:t>
      </w:r>
      <w:r>
        <w:rPr>
          <w:rFonts w:hint="eastAsia" w:ascii="宋体" w:hAnsi="宋体" w:cs="宋体"/>
          <w:color w:val="auto"/>
          <w:sz w:val="24"/>
          <w:highlight w:val="none"/>
        </w:rPr>
        <w:t>本</w:t>
      </w:r>
      <w:r>
        <w:rPr>
          <w:rFonts w:hint="eastAsia" w:ascii="宋体" w:hAnsi="宋体" w:cs="宋体"/>
          <w:color w:val="auto"/>
          <w:sz w:val="24"/>
          <w:szCs w:val="24"/>
          <w:highlight w:val="none"/>
          <w:u w:val="single"/>
          <w:shd w:val="clear" w:color="auto" w:fill="auto"/>
        </w:rPr>
        <w:t>项目设计费暂定为     万元人民币。</w:t>
      </w:r>
      <w:r>
        <w:rPr>
          <w:rFonts w:hint="eastAsia" w:ascii="宋体" w:hAnsi="宋体" w:eastAsia="宋体" w:cs="宋体"/>
          <w:color w:val="auto"/>
          <w:sz w:val="24"/>
          <w:szCs w:val="24"/>
          <w:highlight w:val="none"/>
          <w:u w:val="single"/>
          <w:shd w:val="clear" w:color="auto" w:fill="auto"/>
        </w:rPr>
        <w:t>设计收费结算以园区财政</w:t>
      </w:r>
      <w:r>
        <w:rPr>
          <w:rFonts w:hint="eastAsia" w:ascii="宋体" w:hAnsi="宋体" w:cs="宋体"/>
          <w:color w:val="auto"/>
          <w:sz w:val="24"/>
          <w:szCs w:val="24"/>
          <w:highlight w:val="none"/>
          <w:u w:val="single"/>
          <w:shd w:val="clear" w:color="auto" w:fill="auto"/>
          <w:lang w:val="en-US" w:eastAsia="zh-CN"/>
        </w:rPr>
        <w:t>评审</w:t>
      </w:r>
      <w:r>
        <w:rPr>
          <w:rFonts w:hint="eastAsia" w:ascii="宋体" w:hAnsi="宋体" w:eastAsia="宋体" w:cs="宋体"/>
          <w:color w:val="auto"/>
          <w:sz w:val="24"/>
          <w:szCs w:val="24"/>
          <w:highlight w:val="none"/>
          <w:u w:val="single"/>
          <w:shd w:val="clear" w:color="auto" w:fill="auto"/>
        </w:rPr>
        <w:t>部门</w:t>
      </w:r>
      <w:r>
        <w:rPr>
          <w:rFonts w:hint="eastAsia" w:ascii="宋体" w:hAnsi="宋体" w:cs="宋体"/>
          <w:color w:val="auto"/>
          <w:sz w:val="24"/>
          <w:szCs w:val="24"/>
          <w:highlight w:val="none"/>
          <w:u w:val="single"/>
          <w:shd w:val="clear" w:color="auto" w:fill="auto"/>
          <w:lang w:val="en-US" w:eastAsia="zh-CN"/>
        </w:rPr>
        <w:t>或其授权委托单位</w:t>
      </w:r>
      <w:r>
        <w:rPr>
          <w:rFonts w:hint="eastAsia" w:ascii="宋体" w:hAnsi="宋体" w:eastAsia="宋体" w:cs="宋体"/>
          <w:color w:val="auto"/>
          <w:sz w:val="24"/>
          <w:szCs w:val="24"/>
          <w:highlight w:val="none"/>
          <w:u w:val="single"/>
          <w:shd w:val="clear" w:color="auto" w:fill="auto"/>
        </w:rPr>
        <w:t>审定的建设项目投资概算中的建安费、设备与工器具购置费和联合试运转费之和</w:t>
      </w:r>
      <w:r>
        <w:rPr>
          <w:rFonts w:hint="eastAsia" w:ascii="宋体" w:hAnsi="宋体" w:eastAsia="宋体" w:cs="宋体"/>
          <w:strike w:val="0"/>
          <w:color w:val="auto"/>
          <w:sz w:val="24"/>
          <w:szCs w:val="24"/>
          <w:highlight w:val="none"/>
          <w:u w:val="single"/>
          <w:shd w:val="clear" w:color="auto" w:fill="auto"/>
        </w:rPr>
        <w:t>（不含施工便道、暂定金等与设备图纸无关项目的费用）</w:t>
      </w:r>
      <w:r>
        <w:rPr>
          <w:rFonts w:hint="eastAsia" w:ascii="宋体" w:hAnsi="宋体" w:eastAsia="宋体" w:cs="宋体"/>
          <w:color w:val="auto"/>
          <w:sz w:val="24"/>
          <w:szCs w:val="24"/>
          <w:highlight w:val="none"/>
          <w:u w:val="single"/>
          <w:shd w:val="clear" w:color="auto" w:fill="auto"/>
        </w:rPr>
        <w:t>为计费额。但本工程</w:t>
      </w:r>
      <w:r>
        <w:rPr>
          <w:rFonts w:hint="eastAsia" w:ascii="宋体" w:hAnsi="宋体" w:cs="宋体"/>
          <w:color w:val="auto"/>
          <w:sz w:val="24"/>
          <w:szCs w:val="24"/>
          <w:highlight w:val="none"/>
          <w:u w:val="single"/>
          <w:shd w:val="clear" w:color="auto" w:fill="auto"/>
          <w:lang w:val="en-US" w:eastAsia="zh-CN"/>
        </w:rPr>
        <w:t>审定</w:t>
      </w:r>
      <w:r>
        <w:rPr>
          <w:rFonts w:hint="eastAsia" w:ascii="宋体" w:hAnsi="宋体" w:eastAsia="宋体" w:cs="宋体"/>
          <w:color w:val="auto"/>
          <w:sz w:val="24"/>
          <w:szCs w:val="24"/>
          <w:highlight w:val="none"/>
          <w:u w:val="single"/>
          <w:shd w:val="clear" w:color="auto" w:fill="auto"/>
        </w:rPr>
        <w:t>的施工</w:t>
      </w:r>
      <w:r>
        <w:rPr>
          <w:rFonts w:hint="eastAsia" w:ascii="宋体" w:hAnsi="宋体" w:cs="宋体"/>
          <w:color w:val="auto"/>
          <w:sz w:val="24"/>
          <w:szCs w:val="24"/>
          <w:highlight w:val="none"/>
          <w:u w:val="single"/>
          <w:shd w:val="clear" w:color="auto" w:fill="auto"/>
          <w:lang w:val="en-US" w:eastAsia="zh-CN"/>
        </w:rPr>
        <w:t>图</w:t>
      </w:r>
      <w:r>
        <w:rPr>
          <w:rFonts w:hint="eastAsia" w:ascii="宋体" w:hAnsi="宋体" w:eastAsia="宋体" w:cs="宋体"/>
          <w:color w:val="auto"/>
          <w:sz w:val="24"/>
          <w:szCs w:val="24"/>
          <w:highlight w:val="none"/>
          <w:u w:val="single"/>
          <w:shd w:val="clear" w:color="auto" w:fill="auto"/>
        </w:rPr>
        <w:t>预算价小于该计费额90%的，设计费结算以</w:t>
      </w:r>
      <w:r>
        <w:rPr>
          <w:rFonts w:hint="eastAsia" w:ascii="宋体" w:hAnsi="宋体" w:cs="宋体"/>
          <w:color w:val="auto"/>
          <w:sz w:val="24"/>
          <w:szCs w:val="24"/>
          <w:highlight w:val="none"/>
          <w:u w:val="single"/>
          <w:shd w:val="clear" w:color="auto" w:fill="auto"/>
          <w:lang w:val="en-US" w:eastAsia="zh-CN"/>
        </w:rPr>
        <w:t>审定的</w:t>
      </w:r>
      <w:r>
        <w:rPr>
          <w:rFonts w:hint="eastAsia" w:ascii="宋体" w:hAnsi="宋体" w:eastAsia="宋体" w:cs="宋体"/>
          <w:color w:val="auto"/>
          <w:sz w:val="24"/>
          <w:szCs w:val="24"/>
          <w:highlight w:val="none"/>
          <w:u w:val="single"/>
          <w:shd w:val="clear" w:color="auto" w:fill="auto"/>
        </w:rPr>
        <w:t>施工</w:t>
      </w:r>
      <w:r>
        <w:rPr>
          <w:rFonts w:hint="eastAsia" w:ascii="宋体" w:hAnsi="宋体" w:cs="宋体"/>
          <w:color w:val="auto"/>
          <w:sz w:val="24"/>
          <w:szCs w:val="24"/>
          <w:highlight w:val="none"/>
          <w:u w:val="single"/>
          <w:shd w:val="clear" w:color="auto" w:fill="auto"/>
          <w:lang w:val="en-US" w:eastAsia="zh-CN"/>
        </w:rPr>
        <w:t>图</w:t>
      </w:r>
      <w:r>
        <w:rPr>
          <w:rFonts w:hint="eastAsia" w:ascii="宋体" w:hAnsi="宋体" w:eastAsia="宋体" w:cs="宋体"/>
          <w:color w:val="auto"/>
          <w:sz w:val="24"/>
          <w:szCs w:val="24"/>
          <w:highlight w:val="none"/>
          <w:u w:val="single"/>
          <w:shd w:val="clear" w:color="auto" w:fill="auto"/>
        </w:rPr>
        <w:t>预算价为计费额，并调整设计费支付。</w:t>
      </w:r>
      <w:r>
        <w:rPr>
          <w:rFonts w:hint="eastAsia" w:ascii="宋体" w:hAnsi="宋体" w:cs="宋体"/>
          <w:color w:val="auto"/>
          <w:sz w:val="24"/>
          <w:szCs w:val="24"/>
          <w:highlight w:val="none"/>
          <w:u w:val="single"/>
          <w:shd w:val="clear" w:color="auto" w:fill="auto"/>
        </w:rPr>
        <w:t>设计费总额包含本合同项目的全部设计费用、设计文件修改费用、招标配合费用、驻场服务费用、设计调研费、配合发包人进行报建、报审、验收工作、承包人委托有工程造价咨询资质单位编制初步设计概算的费用等承包人为完成本项目设计工作所发生的所有费用及税金。</w:t>
      </w:r>
      <w:r>
        <w:rPr>
          <w:rFonts w:hint="eastAsia" w:ascii="宋体" w:hAnsi="宋体" w:eastAsia="宋体" w:cs="宋体"/>
          <w:color w:val="auto"/>
          <w:sz w:val="24"/>
          <w:szCs w:val="24"/>
          <w:highlight w:val="none"/>
          <w:u w:val="single"/>
          <w:shd w:val="clear" w:color="auto" w:fill="auto"/>
        </w:rPr>
        <w:t>设计费用计算表：（根据工程实际附表）</w:t>
      </w:r>
    </w:p>
    <w:tbl>
      <w:tblPr>
        <w:tblStyle w:val="8"/>
        <w:tblW w:w="5000" w:type="pct"/>
        <w:tblInd w:w="0" w:type="dxa"/>
        <w:tblLayout w:type="autofit"/>
        <w:tblCellMar>
          <w:top w:w="0" w:type="dxa"/>
          <w:left w:w="108" w:type="dxa"/>
          <w:bottom w:w="0" w:type="dxa"/>
          <w:right w:w="108" w:type="dxa"/>
        </w:tblCellMar>
      </w:tblPr>
      <w:tblGrid>
        <w:gridCol w:w="527"/>
        <w:gridCol w:w="1340"/>
        <w:gridCol w:w="1448"/>
        <w:gridCol w:w="1081"/>
        <w:gridCol w:w="799"/>
        <w:gridCol w:w="1643"/>
        <w:gridCol w:w="660"/>
        <w:gridCol w:w="1072"/>
        <w:gridCol w:w="466"/>
      </w:tblGrid>
      <w:tr w14:paraId="17A78A5F">
        <w:tblPrEx>
          <w:tblCellMar>
            <w:top w:w="0" w:type="dxa"/>
            <w:left w:w="108" w:type="dxa"/>
            <w:bottom w:w="0" w:type="dxa"/>
            <w:right w:w="108" w:type="dxa"/>
          </w:tblCellMar>
        </w:tblPrEx>
        <w:trPr>
          <w:trHeight w:val="765" w:hRule="atLeast"/>
        </w:trPr>
        <w:tc>
          <w:tcPr>
            <w:tcW w:w="5000" w:type="pct"/>
            <w:gridSpan w:val="9"/>
            <w:tcBorders>
              <w:top w:val="nil"/>
              <w:left w:val="nil"/>
              <w:bottom w:val="single" w:color="auto" w:sz="4" w:space="0"/>
              <w:right w:val="nil"/>
            </w:tcBorders>
            <w:noWrap w:val="0"/>
            <w:vAlign w:val="center"/>
          </w:tcPr>
          <w:p w14:paraId="172D9D3F">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设计费用计算表：（根据工程实际附表）</w:t>
            </w:r>
          </w:p>
        </w:tc>
      </w:tr>
      <w:tr w14:paraId="604C7C9F">
        <w:tblPrEx>
          <w:tblCellMar>
            <w:top w:w="0" w:type="dxa"/>
            <w:left w:w="108" w:type="dxa"/>
            <w:bottom w:w="0" w:type="dxa"/>
            <w:right w:w="108" w:type="dxa"/>
          </w:tblCellMar>
        </w:tblPrEx>
        <w:trPr>
          <w:trHeight w:val="735" w:hRule="atLeast"/>
        </w:trPr>
        <w:tc>
          <w:tcPr>
            <w:tcW w:w="292" w:type="pct"/>
            <w:tcBorders>
              <w:top w:val="nil"/>
              <w:left w:val="single" w:color="auto" w:sz="4" w:space="0"/>
              <w:bottom w:val="single" w:color="auto" w:sz="4" w:space="0"/>
              <w:right w:val="single" w:color="auto" w:sz="4" w:space="0"/>
            </w:tcBorders>
            <w:noWrap w:val="0"/>
            <w:vAlign w:val="center"/>
          </w:tcPr>
          <w:p w14:paraId="15A5CA25">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序号</w:t>
            </w:r>
          </w:p>
        </w:tc>
        <w:tc>
          <w:tcPr>
            <w:tcW w:w="742" w:type="pct"/>
            <w:tcBorders>
              <w:top w:val="nil"/>
              <w:left w:val="nil"/>
              <w:bottom w:val="single" w:color="auto" w:sz="4" w:space="0"/>
              <w:right w:val="single" w:color="auto" w:sz="4" w:space="0"/>
            </w:tcBorders>
            <w:noWrap w:val="0"/>
            <w:vAlign w:val="center"/>
          </w:tcPr>
          <w:p w14:paraId="4398A4A1">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项目名称</w:t>
            </w:r>
          </w:p>
        </w:tc>
        <w:tc>
          <w:tcPr>
            <w:tcW w:w="801" w:type="pct"/>
            <w:tcBorders>
              <w:top w:val="single" w:color="auto" w:sz="4" w:space="0"/>
              <w:left w:val="nil"/>
              <w:bottom w:val="single" w:color="auto" w:sz="4" w:space="0"/>
              <w:right w:val="single" w:color="000000" w:sz="4" w:space="0"/>
            </w:tcBorders>
            <w:noWrap w:val="0"/>
            <w:vAlign w:val="center"/>
          </w:tcPr>
          <w:p w14:paraId="7B09C4D7">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投资额</w:t>
            </w:r>
          </w:p>
        </w:tc>
        <w:tc>
          <w:tcPr>
            <w:tcW w:w="1040" w:type="pct"/>
            <w:gridSpan w:val="2"/>
            <w:tcBorders>
              <w:top w:val="single" w:color="auto" w:sz="4" w:space="0"/>
              <w:left w:val="nil"/>
              <w:bottom w:val="single" w:color="auto" w:sz="4" w:space="0"/>
              <w:right w:val="single" w:color="000000" w:sz="4" w:space="0"/>
            </w:tcBorders>
            <w:noWrap w:val="0"/>
            <w:vAlign w:val="center"/>
          </w:tcPr>
          <w:p w14:paraId="697512E9">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工程设计收费基价（万元）</w:t>
            </w:r>
          </w:p>
        </w:tc>
        <w:tc>
          <w:tcPr>
            <w:tcW w:w="909" w:type="pct"/>
            <w:tcBorders>
              <w:top w:val="nil"/>
              <w:left w:val="nil"/>
              <w:bottom w:val="single" w:color="auto" w:sz="4" w:space="0"/>
              <w:right w:val="single" w:color="auto" w:sz="4" w:space="0"/>
            </w:tcBorders>
            <w:noWrap w:val="0"/>
            <w:vAlign w:val="center"/>
          </w:tcPr>
          <w:p w14:paraId="5457BE42">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调整系数</w:t>
            </w:r>
          </w:p>
        </w:tc>
        <w:tc>
          <w:tcPr>
            <w:tcW w:w="958" w:type="pct"/>
            <w:gridSpan w:val="2"/>
            <w:tcBorders>
              <w:top w:val="single" w:color="auto" w:sz="4" w:space="0"/>
              <w:left w:val="nil"/>
              <w:bottom w:val="single" w:color="auto" w:sz="4" w:space="0"/>
              <w:right w:val="single" w:color="000000" w:sz="4" w:space="0"/>
            </w:tcBorders>
            <w:noWrap w:val="0"/>
            <w:vAlign w:val="center"/>
          </w:tcPr>
          <w:p w14:paraId="6A27CE51">
            <w:pPr>
              <w:widowControl/>
              <w:jc w:val="center"/>
              <w:rPr>
                <w:rFonts w:hint="eastAsia" w:ascii="仿宋" w:hAnsi="仿宋" w:eastAsia="仿宋" w:cs="仿宋"/>
                <w:color w:val="auto"/>
                <w:kern w:val="0"/>
                <w:sz w:val="24"/>
                <w:szCs w:val="24"/>
                <w:highlight w:val="none"/>
                <w:shd w:val="clear" w:color="auto" w:fill="auto"/>
                <w:lang w:eastAsia="zh-CN"/>
              </w:rPr>
            </w:pPr>
            <w:r>
              <w:rPr>
                <w:rFonts w:hint="eastAsia" w:ascii="仿宋" w:hAnsi="仿宋" w:eastAsia="仿宋" w:cs="仿宋"/>
                <w:color w:val="auto"/>
                <w:kern w:val="0"/>
                <w:sz w:val="24"/>
                <w:szCs w:val="24"/>
                <w:highlight w:val="none"/>
                <w:shd w:val="clear" w:color="auto" w:fill="auto"/>
              </w:rPr>
              <w:t>基本设计费</w:t>
            </w:r>
          </w:p>
          <w:p w14:paraId="1E725E73">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（万元）</w:t>
            </w:r>
          </w:p>
        </w:tc>
        <w:tc>
          <w:tcPr>
            <w:tcW w:w="255" w:type="pct"/>
            <w:tcBorders>
              <w:top w:val="nil"/>
              <w:left w:val="nil"/>
              <w:bottom w:val="single" w:color="auto" w:sz="4" w:space="0"/>
              <w:right w:val="single" w:color="auto" w:sz="4" w:space="0"/>
            </w:tcBorders>
            <w:noWrap w:val="0"/>
            <w:vAlign w:val="center"/>
          </w:tcPr>
          <w:p w14:paraId="47BDEF08">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备注</w:t>
            </w:r>
          </w:p>
        </w:tc>
      </w:tr>
      <w:tr w14:paraId="6BBD3384">
        <w:tblPrEx>
          <w:tblCellMar>
            <w:top w:w="0" w:type="dxa"/>
            <w:left w:w="108" w:type="dxa"/>
            <w:bottom w:w="0" w:type="dxa"/>
            <w:right w:w="108" w:type="dxa"/>
          </w:tblCellMar>
        </w:tblPrEx>
        <w:trPr>
          <w:trHeight w:val="630" w:hRule="atLeast"/>
        </w:trPr>
        <w:tc>
          <w:tcPr>
            <w:tcW w:w="292" w:type="pct"/>
            <w:tcBorders>
              <w:top w:val="nil"/>
              <w:left w:val="single" w:color="auto" w:sz="4" w:space="0"/>
              <w:bottom w:val="single" w:color="auto" w:sz="4" w:space="0"/>
              <w:right w:val="single" w:color="auto" w:sz="4" w:space="0"/>
            </w:tcBorders>
            <w:noWrap w:val="0"/>
            <w:vAlign w:val="center"/>
          </w:tcPr>
          <w:p w14:paraId="12A25B45">
            <w:pPr>
              <w:widowControl/>
              <w:jc w:val="center"/>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color w:val="auto"/>
                <w:kern w:val="0"/>
                <w:sz w:val="24"/>
                <w:szCs w:val="24"/>
                <w:highlight w:val="none"/>
                <w:shd w:val="clear" w:color="auto" w:fill="auto"/>
                <w:lang w:val="en-US" w:eastAsia="zh-CN"/>
              </w:rPr>
              <w:t>一</w:t>
            </w:r>
          </w:p>
        </w:tc>
        <w:tc>
          <w:tcPr>
            <w:tcW w:w="742" w:type="pct"/>
            <w:tcBorders>
              <w:top w:val="nil"/>
              <w:left w:val="nil"/>
              <w:bottom w:val="single" w:color="auto" w:sz="4" w:space="0"/>
              <w:right w:val="single" w:color="auto" w:sz="4" w:space="0"/>
            </w:tcBorders>
            <w:noWrap w:val="0"/>
            <w:vAlign w:val="center"/>
          </w:tcPr>
          <w:p w14:paraId="6665A196">
            <w:pPr>
              <w:widowControl/>
              <w:jc w:val="center"/>
              <w:rPr>
                <w:rFonts w:hint="eastAsia" w:ascii="仿宋" w:hAnsi="仿宋" w:eastAsia="仿宋" w:cs="仿宋"/>
                <w:color w:val="auto"/>
                <w:kern w:val="0"/>
                <w:sz w:val="24"/>
                <w:szCs w:val="24"/>
                <w:highlight w:val="none"/>
                <w:shd w:val="clear" w:color="auto" w:fill="auto"/>
              </w:rPr>
            </w:pPr>
          </w:p>
        </w:tc>
        <w:tc>
          <w:tcPr>
            <w:tcW w:w="801" w:type="pct"/>
            <w:tcBorders>
              <w:top w:val="nil"/>
              <w:left w:val="nil"/>
              <w:bottom w:val="single" w:color="auto" w:sz="4" w:space="0"/>
              <w:right w:val="single" w:color="auto" w:sz="4" w:space="0"/>
            </w:tcBorders>
            <w:noWrap w:val="0"/>
            <w:vAlign w:val="center"/>
          </w:tcPr>
          <w:p w14:paraId="588667E2">
            <w:pPr>
              <w:rPr>
                <w:rFonts w:hint="eastAsia" w:ascii="仿宋" w:hAnsi="仿宋" w:eastAsia="仿宋" w:cs="仿宋"/>
                <w:color w:val="auto"/>
                <w:sz w:val="24"/>
                <w:szCs w:val="24"/>
                <w:highlight w:val="none"/>
                <w:shd w:val="clear" w:color="auto" w:fill="auto"/>
              </w:rPr>
            </w:pPr>
          </w:p>
        </w:tc>
        <w:tc>
          <w:tcPr>
            <w:tcW w:w="598" w:type="pct"/>
            <w:tcBorders>
              <w:top w:val="nil"/>
              <w:left w:val="nil"/>
              <w:bottom w:val="single" w:color="auto" w:sz="4" w:space="0"/>
              <w:right w:val="nil"/>
            </w:tcBorders>
            <w:noWrap w:val="0"/>
            <w:vAlign w:val="center"/>
          </w:tcPr>
          <w:p w14:paraId="01A2D944">
            <w:pPr>
              <w:jc w:val="right"/>
              <w:rPr>
                <w:rFonts w:hint="eastAsia" w:ascii="仿宋" w:hAnsi="仿宋" w:eastAsia="仿宋" w:cs="仿宋"/>
                <w:color w:val="auto"/>
                <w:sz w:val="24"/>
                <w:szCs w:val="24"/>
                <w:highlight w:val="none"/>
                <w:shd w:val="clear" w:color="auto" w:fill="auto"/>
              </w:rPr>
            </w:pPr>
          </w:p>
        </w:tc>
        <w:tc>
          <w:tcPr>
            <w:tcW w:w="442" w:type="pct"/>
            <w:tcBorders>
              <w:top w:val="nil"/>
              <w:left w:val="nil"/>
              <w:bottom w:val="single" w:color="auto" w:sz="4" w:space="0"/>
              <w:right w:val="single" w:color="auto" w:sz="4" w:space="0"/>
            </w:tcBorders>
            <w:noWrap w:val="0"/>
            <w:vAlign w:val="center"/>
          </w:tcPr>
          <w:p w14:paraId="5A37F18E">
            <w:pPr>
              <w:rPr>
                <w:rFonts w:hint="eastAsia" w:ascii="仿宋" w:hAnsi="仿宋" w:eastAsia="仿宋" w:cs="仿宋"/>
                <w:color w:val="auto"/>
                <w:sz w:val="24"/>
                <w:szCs w:val="24"/>
                <w:highlight w:val="none"/>
                <w:shd w:val="clear" w:color="auto" w:fill="auto"/>
              </w:rPr>
            </w:pPr>
          </w:p>
        </w:tc>
        <w:tc>
          <w:tcPr>
            <w:tcW w:w="909" w:type="pct"/>
            <w:tcBorders>
              <w:top w:val="nil"/>
              <w:left w:val="nil"/>
              <w:bottom w:val="single" w:color="auto" w:sz="4" w:space="0"/>
              <w:right w:val="single" w:color="auto" w:sz="4" w:space="0"/>
            </w:tcBorders>
            <w:noWrap w:val="0"/>
            <w:vAlign w:val="center"/>
          </w:tcPr>
          <w:p w14:paraId="561D444C">
            <w:pPr>
              <w:jc w:val="center"/>
              <w:rPr>
                <w:rFonts w:hint="eastAsia" w:ascii="仿宋" w:hAnsi="仿宋" w:eastAsia="仿宋" w:cs="仿宋"/>
                <w:color w:val="auto"/>
                <w:sz w:val="24"/>
                <w:szCs w:val="24"/>
                <w:highlight w:val="none"/>
                <w:shd w:val="clear" w:color="auto" w:fill="auto"/>
              </w:rPr>
            </w:pPr>
          </w:p>
        </w:tc>
        <w:tc>
          <w:tcPr>
            <w:tcW w:w="365" w:type="pct"/>
            <w:tcBorders>
              <w:top w:val="nil"/>
              <w:left w:val="nil"/>
              <w:bottom w:val="single" w:color="auto" w:sz="4" w:space="0"/>
              <w:right w:val="nil"/>
            </w:tcBorders>
            <w:noWrap w:val="0"/>
            <w:vAlign w:val="center"/>
          </w:tcPr>
          <w:p w14:paraId="2BC384CC">
            <w:pPr>
              <w:jc w:val="right"/>
              <w:rPr>
                <w:rFonts w:hint="eastAsia" w:ascii="仿宋" w:hAnsi="仿宋" w:eastAsia="仿宋" w:cs="仿宋"/>
                <w:color w:val="auto"/>
                <w:sz w:val="24"/>
                <w:szCs w:val="24"/>
                <w:highlight w:val="none"/>
                <w:shd w:val="clear" w:color="auto" w:fill="auto"/>
              </w:rPr>
            </w:pPr>
          </w:p>
        </w:tc>
        <w:tc>
          <w:tcPr>
            <w:tcW w:w="593" w:type="pct"/>
            <w:tcBorders>
              <w:top w:val="nil"/>
              <w:left w:val="nil"/>
              <w:bottom w:val="single" w:color="auto" w:sz="4" w:space="0"/>
              <w:right w:val="single" w:color="auto" w:sz="4" w:space="0"/>
            </w:tcBorders>
            <w:noWrap w:val="0"/>
            <w:vAlign w:val="center"/>
          </w:tcPr>
          <w:p w14:paraId="5242B9B7">
            <w:pPr>
              <w:jc w:val="center"/>
              <w:rPr>
                <w:rFonts w:hint="eastAsia" w:ascii="仿宋" w:hAnsi="仿宋" w:eastAsia="仿宋" w:cs="仿宋"/>
                <w:color w:val="auto"/>
                <w:sz w:val="24"/>
                <w:szCs w:val="24"/>
                <w:highlight w:val="none"/>
                <w:shd w:val="clear" w:color="auto" w:fill="auto"/>
              </w:rPr>
            </w:pPr>
          </w:p>
        </w:tc>
        <w:tc>
          <w:tcPr>
            <w:tcW w:w="255" w:type="pct"/>
            <w:tcBorders>
              <w:top w:val="nil"/>
              <w:left w:val="nil"/>
              <w:bottom w:val="single" w:color="auto" w:sz="4" w:space="0"/>
              <w:right w:val="single" w:color="auto" w:sz="4" w:space="0"/>
            </w:tcBorders>
            <w:noWrap w:val="0"/>
            <w:vAlign w:val="center"/>
          </w:tcPr>
          <w:p w14:paraId="41D9B516">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　</w:t>
            </w:r>
          </w:p>
        </w:tc>
      </w:tr>
      <w:tr w14:paraId="70B00CF0">
        <w:tblPrEx>
          <w:tblCellMar>
            <w:top w:w="0" w:type="dxa"/>
            <w:left w:w="108" w:type="dxa"/>
            <w:bottom w:w="0" w:type="dxa"/>
            <w:right w:w="108" w:type="dxa"/>
          </w:tblCellMar>
        </w:tblPrEx>
        <w:trPr>
          <w:trHeight w:val="630" w:hRule="atLeast"/>
        </w:trPr>
        <w:tc>
          <w:tcPr>
            <w:tcW w:w="292" w:type="pct"/>
            <w:tcBorders>
              <w:top w:val="nil"/>
              <w:left w:val="single" w:color="auto" w:sz="4" w:space="0"/>
              <w:bottom w:val="single" w:color="auto" w:sz="4" w:space="0"/>
              <w:right w:val="single" w:color="auto" w:sz="4" w:space="0"/>
            </w:tcBorders>
            <w:noWrap w:val="0"/>
            <w:vAlign w:val="center"/>
          </w:tcPr>
          <w:p w14:paraId="7854CC83">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二</w:t>
            </w:r>
          </w:p>
        </w:tc>
        <w:tc>
          <w:tcPr>
            <w:tcW w:w="742" w:type="pct"/>
            <w:tcBorders>
              <w:top w:val="nil"/>
              <w:left w:val="nil"/>
              <w:bottom w:val="single" w:color="auto" w:sz="4" w:space="0"/>
              <w:right w:val="single" w:color="auto" w:sz="4" w:space="0"/>
            </w:tcBorders>
            <w:noWrap w:val="0"/>
            <w:vAlign w:val="center"/>
          </w:tcPr>
          <w:p w14:paraId="2CCB334A">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基本设计收费</w:t>
            </w:r>
          </w:p>
        </w:tc>
        <w:tc>
          <w:tcPr>
            <w:tcW w:w="3115" w:type="pct"/>
            <w:gridSpan w:val="5"/>
            <w:tcBorders>
              <w:top w:val="single" w:color="auto" w:sz="4" w:space="0"/>
              <w:left w:val="nil"/>
              <w:bottom w:val="single" w:color="auto" w:sz="4" w:space="0"/>
              <w:right w:val="nil"/>
            </w:tcBorders>
            <w:noWrap w:val="0"/>
            <w:vAlign w:val="center"/>
          </w:tcPr>
          <w:p w14:paraId="0378030A">
            <w:pPr>
              <w:jc w:val="right"/>
              <w:rPr>
                <w:rFonts w:hint="eastAsia" w:ascii="仿宋" w:hAnsi="仿宋" w:eastAsia="仿宋" w:cs="仿宋"/>
                <w:color w:val="auto"/>
                <w:sz w:val="24"/>
                <w:szCs w:val="24"/>
                <w:highlight w:val="none"/>
                <w:shd w:val="clear" w:color="auto" w:fill="auto"/>
              </w:rPr>
            </w:pPr>
          </w:p>
        </w:tc>
        <w:tc>
          <w:tcPr>
            <w:tcW w:w="593" w:type="pct"/>
            <w:tcBorders>
              <w:top w:val="nil"/>
              <w:left w:val="nil"/>
              <w:bottom w:val="single" w:color="auto" w:sz="4" w:space="0"/>
              <w:right w:val="single" w:color="auto" w:sz="4" w:space="0"/>
            </w:tcBorders>
            <w:noWrap w:val="0"/>
            <w:vAlign w:val="center"/>
          </w:tcPr>
          <w:p w14:paraId="145421D9">
            <w:pPr>
              <w:jc w:val="center"/>
              <w:rPr>
                <w:rFonts w:hint="eastAsia" w:ascii="仿宋" w:hAnsi="仿宋" w:eastAsia="仿宋" w:cs="仿宋"/>
                <w:color w:val="auto"/>
                <w:sz w:val="24"/>
                <w:szCs w:val="24"/>
                <w:highlight w:val="none"/>
                <w:shd w:val="clear" w:color="auto" w:fill="auto"/>
              </w:rPr>
            </w:pPr>
          </w:p>
        </w:tc>
        <w:tc>
          <w:tcPr>
            <w:tcW w:w="255" w:type="pct"/>
            <w:tcBorders>
              <w:top w:val="nil"/>
              <w:left w:val="nil"/>
              <w:bottom w:val="single" w:color="auto" w:sz="4" w:space="0"/>
              <w:right w:val="single" w:color="auto" w:sz="4" w:space="0"/>
            </w:tcBorders>
            <w:noWrap w:val="0"/>
            <w:vAlign w:val="center"/>
          </w:tcPr>
          <w:p w14:paraId="4A29BA56">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　</w:t>
            </w:r>
          </w:p>
        </w:tc>
      </w:tr>
      <w:tr w14:paraId="5A6A4641">
        <w:tblPrEx>
          <w:tblCellMar>
            <w:top w:w="0" w:type="dxa"/>
            <w:left w:w="108" w:type="dxa"/>
            <w:bottom w:w="0" w:type="dxa"/>
            <w:right w:w="108" w:type="dxa"/>
          </w:tblCellMar>
        </w:tblPrEx>
        <w:trPr>
          <w:trHeight w:val="630" w:hRule="atLeast"/>
        </w:trPr>
        <w:tc>
          <w:tcPr>
            <w:tcW w:w="292" w:type="pct"/>
            <w:tcBorders>
              <w:top w:val="nil"/>
              <w:left w:val="single" w:color="auto" w:sz="4" w:space="0"/>
              <w:bottom w:val="single" w:color="auto" w:sz="4" w:space="0"/>
              <w:right w:val="single" w:color="auto" w:sz="4" w:space="0"/>
            </w:tcBorders>
            <w:noWrap w:val="0"/>
            <w:vAlign w:val="center"/>
          </w:tcPr>
          <w:p w14:paraId="0154CB18">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三</w:t>
            </w:r>
          </w:p>
        </w:tc>
        <w:tc>
          <w:tcPr>
            <w:tcW w:w="742" w:type="pct"/>
            <w:tcBorders>
              <w:top w:val="nil"/>
              <w:left w:val="nil"/>
              <w:bottom w:val="single" w:color="auto" w:sz="4" w:space="0"/>
              <w:right w:val="single" w:color="auto" w:sz="4" w:space="0"/>
            </w:tcBorders>
            <w:noWrap w:val="0"/>
            <w:vAlign w:val="center"/>
          </w:tcPr>
          <w:p w14:paraId="1B54510B">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设计总收费</w:t>
            </w:r>
          </w:p>
        </w:tc>
        <w:tc>
          <w:tcPr>
            <w:tcW w:w="3115" w:type="pct"/>
            <w:gridSpan w:val="5"/>
            <w:tcBorders>
              <w:top w:val="single" w:color="auto" w:sz="4" w:space="0"/>
              <w:left w:val="nil"/>
              <w:bottom w:val="single" w:color="auto" w:sz="4" w:space="0"/>
              <w:right w:val="nil"/>
            </w:tcBorders>
            <w:noWrap w:val="0"/>
            <w:vAlign w:val="center"/>
          </w:tcPr>
          <w:p w14:paraId="39FD1351">
            <w:pPr>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(二)*</w:t>
            </w:r>
            <w:r>
              <w:rPr>
                <w:rFonts w:hint="eastAsia" w:ascii="仿宋" w:hAnsi="仿宋" w:eastAsia="仿宋" w:cs="仿宋"/>
                <w:color w:val="auto"/>
                <w:sz w:val="24"/>
                <w:szCs w:val="24"/>
                <w:highlight w:val="none"/>
                <w:shd w:val="clear" w:color="auto" w:fill="auto"/>
                <w:lang w:val="en-US" w:eastAsia="zh-CN"/>
              </w:rPr>
              <w:t>（1-中标下浮率）</w:t>
            </w:r>
          </w:p>
        </w:tc>
        <w:tc>
          <w:tcPr>
            <w:tcW w:w="593" w:type="pct"/>
            <w:tcBorders>
              <w:top w:val="nil"/>
              <w:left w:val="nil"/>
              <w:bottom w:val="single" w:color="auto" w:sz="4" w:space="0"/>
              <w:right w:val="single" w:color="auto" w:sz="4" w:space="0"/>
            </w:tcBorders>
            <w:noWrap w:val="0"/>
            <w:vAlign w:val="center"/>
          </w:tcPr>
          <w:p w14:paraId="37A0AA92">
            <w:pPr>
              <w:jc w:val="center"/>
              <w:rPr>
                <w:rFonts w:hint="eastAsia" w:ascii="仿宋" w:hAnsi="仿宋" w:eastAsia="仿宋" w:cs="仿宋"/>
                <w:color w:val="auto"/>
                <w:sz w:val="24"/>
                <w:szCs w:val="24"/>
                <w:highlight w:val="none"/>
                <w:shd w:val="clear" w:color="auto" w:fill="auto"/>
              </w:rPr>
            </w:pPr>
          </w:p>
        </w:tc>
        <w:tc>
          <w:tcPr>
            <w:tcW w:w="255" w:type="pct"/>
            <w:tcBorders>
              <w:top w:val="nil"/>
              <w:left w:val="nil"/>
              <w:bottom w:val="single" w:color="auto" w:sz="4" w:space="0"/>
              <w:right w:val="single" w:color="auto" w:sz="4" w:space="0"/>
            </w:tcBorders>
            <w:noWrap w:val="0"/>
            <w:vAlign w:val="center"/>
          </w:tcPr>
          <w:p w14:paraId="47449EC9">
            <w:pPr>
              <w:widowControl/>
              <w:jc w:val="center"/>
              <w:rPr>
                <w:rFonts w:hint="eastAsia" w:ascii="仿宋" w:hAnsi="仿宋" w:eastAsia="仿宋" w:cs="仿宋"/>
                <w:color w:val="auto"/>
                <w:kern w:val="0"/>
                <w:sz w:val="24"/>
                <w:szCs w:val="24"/>
                <w:highlight w:val="none"/>
                <w:shd w:val="clear" w:color="auto" w:fill="auto"/>
              </w:rPr>
            </w:pPr>
            <w:r>
              <w:rPr>
                <w:rFonts w:hint="eastAsia" w:ascii="仿宋" w:hAnsi="仿宋" w:eastAsia="仿宋" w:cs="仿宋"/>
                <w:color w:val="auto"/>
                <w:kern w:val="0"/>
                <w:sz w:val="24"/>
                <w:szCs w:val="24"/>
                <w:highlight w:val="none"/>
                <w:shd w:val="clear" w:color="auto" w:fill="auto"/>
              </w:rPr>
              <w:t>　</w:t>
            </w:r>
          </w:p>
        </w:tc>
      </w:tr>
    </w:tbl>
    <w:p w14:paraId="7C332F92">
      <w:pPr>
        <w:widowControl/>
        <w:wordWrap w:val="0"/>
        <w:topLinePunct/>
        <w:adjustRightInd w:val="0"/>
        <w:snapToGrid w:val="0"/>
        <w:spacing w:line="480" w:lineRule="exact"/>
        <w:ind w:firstLine="422" w:firstLineChars="176"/>
        <w:rPr>
          <w:rFonts w:ascii="宋体" w:hAnsi="宋体" w:cs="宋体"/>
          <w:color w:val="auto"/>
          <w:sz w:val="24"/>
          <w:highlight w:val="none"/>
        </w:rPr>
      </w:pPr>
    </w:p>
    <w:p w14:paraId="743E97DF">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6.2</w:t>
      </w:r>
      <w:r>
        <w:rPr>
          <w:rFonts w:hint="eastAsia" w:ascii="宋体" w:hAnsi="宋体" w:cs="宋体"/>
          <w:color w:val="auto"/>
          <w:sz w:val="24"/>
          <w:highlight w:val="none"/>
        </w:rPr>
        <w:t>设计费最终结算价以</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或其授权委托单位审定的结算价为准。如遇审计部门审计发现本合同结算价款存在超付的情形，发包人有权据实要求设计人返还该部分款项。</w:t>
      </w:r>
    </w:p>
    <w:p w14:paraId="08340B86">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color w:val="auto"/>
          <w:sz w:val="24"/>
          <w:highlight w:val="none"/>
        </w:rPr>
        <w:t>6.3</w:t>
      </w:r>
      <w:r>
        <w:rPr>
          <w:rFonts w:hint="eastAsia" w:ascii="宋体" w:hAnsi="宋体" w:cs="宋体"/>
          <w:color w:val="auto"/>
          <w:sz w:val="24"/>
          <w:highlight w:val="none"/>
        </w:rPr>
        <w:t>在签订合同或结算阶段，如发包人发现设计人的投标报价不符合招标文件规定的，可进行修正，设计人不得有异议。</w:t>
      </w:r>
    </w:p>
    <w:p w14:paraId="497B6BB2">
      <w:pPr>
        <w:widowControl/>
        <w:wordWrap w:val="0"/>
        <w:topLinePunct/>
        <w:adjustRightInd w:val="0"/>
        <w:snapToGrid w:val="0"/>
        <w:spacing w:line="480" w:lineRule="exact"/>
        <w:ind w:firstLine="424" w:firstLineChars="176"/>
        <w:rPr>
          <w:rFonts w:ascii="宋体" w:hAnsi="宋体"/>
          <w:b/>
          <w:bCs/>
          <w:color w:val="auto"/>
          <w:sz w:val="24"/>
          <w:highlight w:val="none"/>
        </w:rPr>
      </w:pPr>
      <w:r>
        <w:rPr>
          <w:rFonts w:hint="eastAsia" w:ascii="宋体" w:hAnsi="宋体"/>
          <w:b/>
          <w:bCs/>
          <w:color w:val="auto"/>
          <w:sz w:val="24"/>
          <w:highlight w:val="none"/>
        </w:rPr>
        <w:t>6.4设计费的支付：</w:t>
      </w:r>
    </w:p>
    <w:p w14:paraId="7F90174A">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6.4.1本合同签订后且发包人申请财政拨款到位后，发包人支付设计费暂定价的15%作为定金，计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万元（合同履行后，定金抵作设计费）。</w:t>
      </w:r>
    </w:p>
    <w:p w14:paraId="7FF823DC">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6.4.2设计人交付本项目的全部初步设计文件并通过技术审查，且发包人申请财政拨款到位后，发包人支付设计费累计至设计费暂定价的30%，计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w:t>
      </w:r>
    </w:p>
    <w:p w14:paraId="38F5C687">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6.4.3设计人交付全部施工图设计文件并通过审查，项目概算经行业主管部门批复，且发包人申请财政拨款到位后，发包人支付设计费累计至设计费暂定价的70%，计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w:t>
      </w:r>
    </w:p>
    <w:p w14:paraId="76BC8CD5">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6.4.4 工程完工初验，设计费结算办理完毕，且发包人申请财政拨款到位后，发包人向设计人支付设计费至结算价的90%，计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w:t>
      </w:r>
    </w:p>
    <w:p w14:paraId="480DE86B">
      <w:pPr>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6.4.5工程完成竣工验收及工程实施过程中未发生因设计原因引起的超概算及重大设计变更等，且发包人申请财政拨款到位后，累计支付至设计费结算价的95%，计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w:t>
      </w:r>
    </w:p>
    <w:p w14:paraId="0FE2C2DA">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6.4.6工程竣工验收合格满2年后，无发现工程设计质量问题，且发包人申请财政拨款到位后，一次性结清剩余费用(不计利息)，计</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万元。所有设计费支付均需发包人资金到位后且无超付的情况下支付。</w:t>
      </w:r>
    </w:p>
    <w:p w14:paraId="10FA683E">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发包人支付的设计费中包含了设计人履行合同所需的所有支出，设计人收款时同时开具发票，税金由设计人自理。</w:t>
      </w:r>
    </w:p>
    <w:p w14:paraId="2C6CFE5F">
      <w:pPr>
        <w:widowControl/>
        <w:wordWrap w:val="0"/>
        <w:topLinePunct/>
        <w:adjustRightInd w:val="0"/>
        <w:snapToGrid w:val="0"/>
        <w:spacing w:line="480" w:lineRule="exact"/>
        <w:ind w:firstLine="422" w:firstLineChars="176"/>
        <w:rPr>
          <w:rFonts w:ascii="宋体" w:hAnsi="宋体" w:cs="宋体"/>
          <w:color w:val="auto"/>
          <w:highlight w:val="none"/>
        </w:rPr>
      </w:pPr>
      <w:r>
        <w:rPr>
          <w:rFonts w:hint="eastAsia" w:ascii="宋体" w:hAnsi="宋体" w:cs="宋体"/>
          <w:color w:val="auto"/>
          <w:sz w:val="24"/>
          <w:highlight w:val="none"/>
        </w:rPr>
        <w:t>6.4.</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发包人支付的设计费中包括了对其他投标人的经济补偿费，该费用由设计人按本项目招标文件要求在收到第一笔设计费（即设计合同定金）后及时分别支付给相应未中标投标人，并提交已按招标文件规定支付投标经济补偿给相应投标人的凭证（提供相应投标人的书面确认函或银行转账凭证等），否则，发包人有权暂停支付第二笔设计费，直接从设计费中扣减应支付给其他投标人的经济补偿费。</w:t>
      </w:r>
    </w:p>
    <w:p w14:paraId="777B0B07">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如因规划建设原因取消本项目实施，设计人未开展实际性工作，上述投标经济补偿由发包人承担，即该种情形下设计合同结算价为上述投标经济补偿总额，设计人收取合同价款后及时支付投标补偿费给各投标人。其它情形的投标补偿费均包含在设计费中。</w:t>
      </w:r>
    </w:p>
    <w:p w14:paraId="3F30E6DF">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 xml:space="preserve"> 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14:paraId="5C9E6325">
      <w:pPr>
        <w:widowControl/>
        <w:wordWrap w:val="0"/>
        <w:topLinePunct/>
        <w:adjustRightInd w:val="0"/>
        <w:snapToGrid w:val="0"/>
        <w:spacing w:line="480" w:lineRule="exact"/>
        <w:ind w:firstLine="422" w:firstLineChars="176"/>
        <w:rPr>
          <w:rFonts w:ascii="宋体" w:hAnsi="宋体" w:cs="宋体"/>
          <w:color w:val="auto"/>
          <w:sz w:val="24"/>
          <w:highlight w:val="none"/>
        </w:rPr>
      </w:pPr>
      <w:r>
        <w:rPr>
          <w:rFonts w:hint="eastAsia" w:ascii="宋体" w:hAnsi="宋体" w:cs="宋体"/>
          <w:color w:val="auto"/>
          <w:sz w:val="24"/>
          <w:highlight w:val="none"/>
        </w:rPr>
        <w:t>6.4.1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 xml:space="preserve"> 必要性的专项设计单位由设计人推荐，报发包人批准后承担设计任务，相应费用由设计人支付。</w:t>
      </w:r>
    </w:p>
    <w:p w14:paraId="0B3C1E8C">
      <w:pPr>
        <w:widowControl/>
        <w:wordWrap w:val="0"/>
        <w:topLinePunct/>
        <w:adjustRightInd w:val="0"/>
        <w:snapToGrid w:val="0"/>
        <w:spacing w:line="480" w:lineRule="exact"/>
        <w:ind w:firstLine="422" w:firstLineChars="176"/>
        <w:rPr>
          <w:rFonts w:hint="eastAsia" w:ascii="宋体" w:hAnsi="宋体" w:cs="宋体"/>
          <w:color w:val="auto"/>
          <w:sz w:val="24"/>
          <w:highlight w:val="none"/>
        </w:rPr>
      </w:pPr>
      <w:r>
        <w:rPr>
          <w:rFonts w:hint="eastAsia" w:ascii="宋体" w:hAnsi="宋体" w:cs="宋体"/>
          <w:color w:val="auto"/>
          <w:sz w:val="24"/>
          <w:highlight w:val="none"/>
        </w:rPr>
        <w:t>6.4.1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设计人为联合体的，设计费的分配由其自行决定，与发包人无关。</w:t>
      </w:r>
    </w:p>
    <w:p w14:paraId="2C7B88D3">
      <w:pPr>
        <w:widowControl/>
        <w:wordWrap w:val="0"/>
        <w:topLinePunct/>
        <w:adjustRightInd w:val="0"/>
        <w:snapToGrid w:val="0"/>
        <w:spacing w:line="480" w:lineRule="exact"/>
        <w:ind w:firstLine="422" w:firstLineChars="176"/>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注：上述设计费的支付均以实际已实施阶段的建设项目投资概算中的建安费、设备与工器具购置费和联合试运转费之和</w:t>
      </w:r>
      <w:r>
        <w:rPr>
          <w:rFonts w:hint="eastAsia" w:ascii="宋体" w:hAnsi="宋体" w:eastAsia="宋体" w:cs="宋体"/>
          <w:strike w:val="0"/>
          <w:color w:val="auto"/>
          <w:sz w:val="24"/>
          <w:highlight w:val="none"/>
        </w:rPr>
        <w:t>（不含施工便道、暂定金等与设备图纸无关项目的费用）</w:t>
      </w:r>
      <w:r>
        <w:rPr>
          <w:rFonts w:hint="eastAsia" w:ascii="宋体" w:hAnsi="宋体" w:eastAsia="宋体" w:cs="宋体"/>
          <w:color w:val="auto"/>
          <w:sz w:val="24"/>
          <w:highlight w:val="none"/>
        </w:rPr>
        <w:t>为计算依据。</w:t>
      </w:r>
    </w:p>
    <w:p w14:paraId="01BFDEB2">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第七条  双方的权利与义务</w:t>
      </w:r>
    </w:p>
    <w:p w14:paraId="10D9B104">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7.1</w:t>
      </w:r>
      <w:r>
        <w:rPr>
          <w:rFonts w:hint="eastAsia" w:ascii="宋体" w:hAnsi="宋体" w:cs="宋体"/>
          <w:color w:val="auto"/>
          <w:sz w:val="24"/>
          <w:szCs w:val="24"/>
          <w:highlight w:val="none"/>
        </w:rPr>
        <w:t>发包人义务</w:t>
      </w:r>
    </w:p>
    <w:p w14:paraId="5969022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7.1.1发包人按本合同第四条规定的内容，在约定的时间内向承包人提交资料及文件，并对其完整性、正确性及时限负责，发包人不得要求承包人违反国家有关标准进行设计。</w:t>
      </w:r>
    </w:p>
    <w:p w14:paraId="4370AAB5">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14:paraId="39F3D970">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7.1.3发包人要求承包人比合同约定时间提前支付设计资料及文件时，如果承包人能够做到，发包人应根据承包人提前投入的工作量，向承包人支付赶工费。</w:t>
      </w:r>
    </w:p>
    <w:p w14:paraId="359C340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7.1.4发包人应保护承包人的投标书、设计方案、文件、资料图纸、数据、计算软件和专利技术。未经承包人</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同意，发包人对承包人交付的设计资料及文件不得擅自修改或向第三人转让或用于本合同外的项目，如发生以上情况，发包人应负法律责任，承包人有权向发包人提出索赔。</w:t>
      </w:r>
    </w:p>
    <w:p w14:paraId="59C18F4E">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7.2</w:t>
      </w:r>
      <w:r>
        <w:rPr>
          <w:rFonts w:hint="eastAsia" w:ascii="宋体" w:hAnsi="宋体" w:cs="宋体"/>
          <w:color w:val="auto"/>
          <w:sz w:val="24"/>
          <w:szCs w:val="24"/>
          <w:highlight w:val="none"/>
        </w:rPr>
        <w:t>承包人义务</w:t>
      </w:r>
    </w:p>
    <w:p w14:paraId="4E918B81">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7.2.1承包人应按国家技术规范、标准、规定及发包人提出的设计要求，进行工程设计，按合同规定的进度要求提交质量合格的设计资料，并对其负责。</w:t>
      </w:r>
    </w:p>
    <w:p w14:paraId="19523CE6">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7.2.2设计采用的主要技术标准：现行国家有关技术标准 。</w:t>
      </w:r>
    </w:p>
    <w:p w14:paraId="4F9FD3B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7.2.3设计合理使用年限按国家规定。</w:t>
      </w:r>
    </w:p>
    <w:p w14:paraId="2452E2FB">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7.2.4承包人按本合同第三条和第五条约定的内容、进度及份数向发包人交付资料及文件。</w:t>
      </w:r>
    </w:p>
    <w:p w14:paraId="37455F0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7.2.5承包人交付设计资料及文件后，按规定参加有关的设计审查，并根据审查结论负责对设计的内容做必要调整、补充及修改。承包人按合同约定时限交付设计资料及文件，并负责向发包人及施工单位进行设计交底、处理有关设计问题和参加竣工验收。</w:t>
      </w:r>
    </w:p>
    <w:p w14:paraId="41012FEB">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7.2.6承包人应保护发包人的知识产权，不得向第三人泄露、转让发包人提交的产品图纸等技术经济资料。如发生以上情况并给发包人造成经济损失，发包人有权向承包人索赔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包括但不限于发包人因维权而支出的诉讼费、律师费、差旅费等</w:t>
      </w:r>
      <w:r>
        <w:rPr>
          <w:rFonts w:hint="eastAsia" w:ascii="宋体" w:hAnsi="宋体" w:cs="宋体"/>
          <w:color w:val="auto"/>
          <w:sz w:val="24"/>
          <w:szCs w:val="24"/>
          <w:highlight w:val="none"/>
        </w:rPr>
        <w:t>。</w:t>
      </w:r>
    </w:p>
    <w:p w14:paraId="4870D021">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7.2.7对涉及安全或对投资影响重大的有关计算，在发包人提出特别要求时，承包人必须提供设计输入条件、基础数据、计算原理和方法以及计算成果，方便发包人在必要时使用其他计算程序进行验算。承包人有解释的义务，不得以专利和知识产权为借口拒绝配合。</w:t>
      </w:r>
    </w:p>
    <w:p w14:paraId="718E5478">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7.2.8承包人应承担现场工作必要的费用，包括交通、伙食、差旅、办公费等。</w:t>
      </w:r>
    </w:p>
    <w:p w14:paraId="06CE67E3">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7.2.9承包人须承担确保设计协调和设计服务工作质量所必需的各种设计方案评审会议及专家费用等。</w:t>
      </w:r>
    </w:p>
    <w:p w14:paraId="3DB407FE">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7.2.10在项目实施过程中，如非因承包人原因所引起的设计变更，需重新进行方案初步设计报审或施工图报建的，若设计变更后的方案初步设计经建设部门审批或施工图报建经规划部门批准的，则设计变更部分按设计单位投入的人员、材料成本给予补偿（但设计收费及成本补偿总额不得超过招标的规模标准，否则须按有关规定另行招标）；若设计变更后的初步设计或施工图报建未经建设或规划部门批准的，则设计变更部分不另行计取设计费，费用已包含在原设计费总额内。</w:t>
      </w:r>
    </w:p>
    <w:p w14:paraId="24822D0E">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7.2.11若承包人编制的初步设计概算超出发包人审定的初步设计概算，承包人须保证根据评审专家和发包人的意见，进行方案修改，并承诺该修改不改变有关设计和规划的原则、内容与要求，不改变原方案设计的构思，不降低使用功能与设计质量标准，不增加设计费用，并承担一切的责任和损失。</w:t>
      </w:r>
    </w:p>
    <w:p w14:paraId="2F9AC11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ascii="宋体" w:hAnsi="宋体" w:cs="宋体"/>
          <w:color w:val="auto"/>
          <w:sz w:val="24"/>
          <w:szCs w:val="24"/>
          <w:highlight w:val="none"/>
        </w:rPr>
        <w:t>7.2.12如本项目包含外电等配套工程内容且设计人根据相关规定分包给有资质的单位负责实施的，设计人与分包单位向发包人</w:t>
      </w:r>
      <w:r>
        <w:rPr>
          <w:rFonts w:hint="eastAsia" w:ascii="宋体" w:hAnsi="宋体" w:cs="宋体"/>
          <w:color w:val="auto"/>
          <w:sz w:val="24"/>
          <w:szCs w:val="24"/>
          <w:highlight w:val="none"/>
        </w:rPr>
        <w:t>承担</w:t>
      </w:r>
      <w:r>
        <w:rPr>
          <w:rFonts w:ascii="宋体" w:hAnsi="宋体" w:cs="宋体"/>
          <w:color w:val="auto"/>
          <w:sz w:val="24"/>
          <w:szCs w:val="24"/>
          <w:highlight w:val="none"/>
        </w:rPr>
        <w:t>连带责任。</w:t>
      </w:r>
    </w:p>
    <w:p w14:paraId="5BE3286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7.3</w:t>
      </w:r>
      <w:r>
        <w:rPr>
          <w:rFonts w:hint="eastAsia" w:ascii="宋体" w:hAnsi="宋体" w:cs="宋体"/>
          <w:color w:val="auto"/>
          <w:sz w:val="24"/>
          <w:szCs w:val="24"/>
          <w:highlight w:val="none"/>
        </w:rPr>
        <w:t>发包人权利</w:t>
      </w:r>
    </w:p>
    <w:p w14:paraId="7033AED7">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7.3.1 享有承包人设计文件的版权、所有权和全部使用权。</w:t>
      </w:r>
    </w:p>
    <w:p w14:paraId="5AFC77E4">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7.3.2 承包人在设计投资控制、设计进度控制、设计质量控制、设计组织及人员管理、设计配合、设计服务、设计分包管理等方面履行义务不符合合同规定时，发包人有追究违约责任、要求赔偿损失等权利；同时，发包人还有权将承包人存在的上述违约事实公诸于众和向有关部门反映情况。</w:t>
      </w:r>
    </w:p>
    <w:p w14:paraId="028D0F1F">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7.3.3 发包人有权聘请设计咨询单位作为本合同约定项目的设计咨询和设计监理，承包人应接受该设计咨询单位按照相关设计咨询法规和发包人赋予的权利所进行的咨询和监理工作。此外，发包人还有权聘请国内具备相应资质的监理公司作为本合同的设计监理，承包人应接受专业监理公司提出的合理意见。</w:t>
      </w:r>
    </w:p>
    <w:p w14:paraId="54EC4E16">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7.3.4 设计变更的审批权、设计进度的监督权。</w:t>
      </w:r>
    </w:p>
    <w:p w14:paraId="1E097D35">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7.3.5 其他依据合同和法律规定属于发包人的权利。</w:t>
      </w:r>
    </w:p>
    <w:p w14:paraId="10D053A9">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7.4</w:t>
      </w:r>
      <w:r>
        <w:rPr>
          <w:rFonts w:hint="eastAsia" w:ascii="宋体" w:hAnsi="宋体" w:cs="宋体"/>
          <w:color w:val="auto"/>
          <w:sz w:val="24"/>
          <w:szCs w:val="24"/>
          <w:highlight w:val="none"/>
        </w:rPr>
        <w:t>承包人的权利</w:t>
      </w:r>
    </w:p>
    <w:p w14:paraId="2782840D">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7.4.1按时收取设计费。</w:t>
      </w:r>
    </w:p>
    <w:p w14:paraId="1337B86A">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7.4.2 拥有设计成果的署名权。</w:t>
      </w:r>
    </w:p>
    <w:p w14:paraId="636997D6">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7.4.3 在设计方案、图纸未审批之前和不影响工期的情况下，有权提出修改方案、图纸的建议。</w:t>
      </w:r>
    </w:p>
    <w:p w14:paraId="1E931667">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第八条 违约责任：</w:t>
      </w:r>
    </w:p>
    <w:p w14:paraId="2399A3E5">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shd w:val="pct10" w:color="auto" w:fill="FFFFFF"/>
        </w:rPr>
        <w:t>8.1</w:t>
      </w:r>
      <w:r>
        <w:rPr>
          <w:rFonts w:hint="eastAsia" w:ascii="宋体" w:hAnsi="宋体" w:cs="宋体"/>
          <w:color w:val="auto"/>
          <w:sz w:val="24"/>
          <w:szCs w:val="24"/>
          <w:highlight w:val="none"/>
        </w:rPr>
        <w:t>发包人应按本合同第六条约定的金额和时间向承包人支付设计费，每逾期支付一天，应承担该阶段应支付金额的千分之二的逾期违约金。逾期超过30天以上时，承包人有权暂停履行下阶段工作并书面通知发包人。</w:t>
      </w:r>
    </w:p>
    <w:p w14:paraId="231DFD5F">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8.2承包人未按约定时间提交设计成果的，每超过一日，应减收设计费的千分之三。</w:t>
      </w:r>
    </w:p>
    <w:p w14:paraId="0DC27EEB">
      <w:pPr>
        <w:widowControl/>
        <w:wordWrap w:val="0"/>
        <w:topLinePunct/>
        <w:adjustRightInd w:val="0"/>
        <w:snapToGrid w:val="0"/>
        <w:spacing w:line="48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shd w:val="pct10" w:color="auto" w:fill="FFFFFF"/>
        </w:rPr>
        <w:t>8.3</w:t>
      </w:r>
      <w:r>
        <w:rPr>
          <w:rFonts w:hint="eastAsia" w:ascii="宋体" w:hAnsi="宋体" w:cs="宋体"/>
          <w:color w:val="auto"/>
          <w:sz w:val="24"/>
          <w:szCs w:val="24"/>
          <w:highlight w:val="none"/>
        </w:rPr>
        <w:t>设计人对设计资料及文件出现的遗漏或错误负责修改或补充。由于设计错误造成工程质量事故损失，设计人除负责采取补救措施，按设计收费的30%向发包人支付违约金外，还应按《中华人民共和国建筑法》、《建设工程质量管理条例》、《建设工程勘察设计管理条例》及有关法律法规规定承担相应法律责任。</w:t>
      </w:r>
    </w:p>
    <w:p w14:paraId="7784D23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shd w:val="pct10" w:color="auto" w:fill="FFFFFF"/>
        </w:rPr>
        <w:t>8.4</w:t>
      </w:r>
      <w:r>
        <w:rPr>
          <w:rFonts w:hint="eastAsia" w:ascii="宋体" w:hAnsi="宋体" w:cs="宋体"/>
          <w:color w:val="auto"/>
          <w:sz w:val="24"/>
          <w:szCs w:val="24"/>
          <w:highlight w:val="none"/>
        </w:rPr>
        <w:t>合同生效后，承包人要求终止或解除合同，承包人应双倍返还定金。</w:t>
      </w:r>
    </w:p>
    <w:p w14:paraId="4D8A761A">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第九条 设计投资控制</w:t>
      </w:r>
    </w:p>
    <w:p w14:paraId="7570ACB7">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9.1</w:t>
      </w:r>
      <w:r>
        <w:rPr>
          <w:rFonts w:hint="eastAsia" w:ascii="宋体" w:hAnsi="宋体" w:cs="宋体"/>
          <w:color w:val="auto"/>
          <w:sz w:val="24"/>
          <w:szCs w:val="24"/>
          <w:highlight w:val="none"/>
        </w:rPr>
        <w:t>限额设计</w:t>
      </w:r>
    </w:p>
    <w:p w14:paraId="0330145F">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9.1.1本工程设计限额约为    万元人民币（为经批准的项目可行性研究报告投资额，按规定不需要编制项目可行性研究报告的项目，则为项目立项投资额）。发包人据此制定投资分解目标，实行限额设计。在保证设计质量的前提下，承包人应按投资限额进行设计，严格控制设计变更，确保工程概算不突破限额目标。</w:t>
      </w:r>
    </w:p>
    <w:p w14:paraId="7DE2354A">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9.1.2承包人遵循功能适用、标准合理、经济合理的原则开展设计，在投资限额目标的基础上结合项目设计内容进一步分解投资，明确投资控制主要指标，在编制设计概算时逐步细化落实。</w:t>
      </w:r>
    </w:p>
    <w:p w14:paraId="59F34B4D">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9.1.3承包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12FBE597">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9.1.4承包人有关设计的任何修改、变动或由于修改设计所引起的工艺、技术材料、设备的变更如引起投资限额的突破均须经过发包人</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审批同意。</w:t>
      </w:r>
    </w:p>
    <w:p w14:paraId="01655B2F">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9.1.5非建设单位原因或非不可抗力因素，对设计进行变更或承包人突破工程投资限额设计，视为严重违约，应承担相应责任，并从总设计费中扣除变更部分或超出限额部分的设计费的两倍作为处罚。</w:t>
      </w:r>
    </w:p>
    <w:p w14:paraId="2C3F4DF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9.2</w:t>
      </w:r>
      <w:r>
        <w:rPr>
          <w:rFonts w:hint="eastAsia" w:ascii="宋体" w:hAnsi="宋体" w:cs="宋体"/>
          <w:color w:val="auto"/>
          <w:sz w:val="24"/>
          <w:szCs w:val="24"/>
          <w:highlight w:val="none"/>
        </w:rPr>
        <w:t>设计优化和技术经济分析论证</w:t>
      </w:r>
    </w:p>
    <w:p w14:paraId="6E9C4D68">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9.2.1设计方案必须进行技术经济分析。通过对设计方案、工艺、设备等进行全面的评价，在满足功能要求的前提下采用技术经济优化，可以有效控制工程投资的方案。</w:t>
      </w:r>
    </w:p>
    <w:p w14:paraId="2B3F60E0">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14:paraId="4EBFCD78">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9.2.3承包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14:paraId="7855844D">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9.2.4为确保设计优化和投资控制，承包人必须对整体设计方案、主要基础形式、主体结构选型、截面方案、大宗建材（单项总投资额200万以上）使用、主要设备（单价投资额50元以上或总投资额100万元以上）选型等对建成使用和建设投资有重大影响的因素进行经济技术多方案比选和性价比分析，并提交正式的书面报告报发包人确认。</w:t>
      </w:r>
    </w:p>
    <w:p w14:paraId="4831FFA2">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9.2.5承包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14:paraId="3BDA016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9.3</w:t>
      </w:r>
      <w:r>
        <w:rPr>
          <w:rFonts w:hint="eastAsia" w:ascii="宋体" w:hAnsi="宋体" w:cs="宋体"/>
          <w:color w:val="auto"/>
          <w:sz w:val="24"/>
          <w:szCs w:val="24"/>
          <w:highlight w:val="none"/>
        </w:rPr>
        <w:t>概算</w:t>
      </w:r>
    </w:p>
    <w:p w14:paraId="60C84594">
      <w:pPr>
        <w:spacing w:line="480" w:lineRule="exact"/>
        <w:ind w:firstLine="422" w:firstLineChars="176"/>
        <w:rPr>
          <w:rFonts w:ascii="宋体" w:hAnsi="宋体"/>
          <w:color w:val="auto"/>
          <w:sz w:val="24"/>
          <w:szCs w:val="24"/>
          <w:highlight w:val="none"/>
        </w:rPr>
      </w:pPr>
      <w:r>
        <w:rPr>
          <w:rFonts w:hint="eastAsia" w:ascii="宋体" w:hAnsi="宋体" w:cs="宋体"/>
          <w:color w:val="auto"/>
          <w:sz w:val="24"/>
          <w:szCs w:val="24"/>
          <w:highlight w:val="none"/>
        </w:rPr>
        <w:t>9.3.1</w:t>
      </w:r>
      <w:r>
        <w:rPr>
          <w:rFonts w:hint="eastAsia" w:ascii="宋体" w:hAnsi="宋体"/>
          <w:color w:val="auto"/>
          <w:sz w:val="24"/>
          <w:szCs w:val="24"/>
          <w:highlight w:val="none"/>
        </w:rPr>
        <w:t>承包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14:paraId="20155D00">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9.3.2设计概算的计算指标分析应提供依据，计算数据应经有关部门或人员确认，确认后不得随意修改。没有定额的指标必须进行指标分析，针对本工程的特点合理确定，杜绝机械性地套用广州其它类似工程指标的做法。</w:t>
      </w:r>
    </w:p>
    <w:p w14:paraId="7642B8FD">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9.3.3承包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14:paraId="19C6F88F">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14:paraId="50CFEFB6">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9.3.6发包人有权聘请有资质的单位审查承包人造价文件的客观性、准确性。如果工程概算超出限定的工程造价，承包人必须对初步设计进行修改，并承诺修改不改变有关设计和规划的原则、内容与要求，不改变原方案设计的构思，不降低使用功能</w:t>
      </w:r>
      <w:r>
        <w:rPr>
          <w:rFonts w:hint="eastAsia" w:ascii="宋体" w:hAnsi="宋体" w:cs="宋体"/>
          <w:color w:val="auto"/>
          <w:sz w:val="24"/>
          <w:szCs w:val="24"/>
          <w:highlight w:val="none"/>
        </w:rPr>
        <w:t>与设计质量标准。发包人对此修改不支付附加设计费用。</w:t>
      </w:r>
    </w:p>
    <w:p w14:paraId="1FFDC08E">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9.4</w:t>
      </w:r>
      <w:r>
        <w:rPr>
          <w:rFonts w:hint="eastAsia" w:ascii="宋体" w:hAnsi="宋体" w:cs="宋体"/>
          <w:color w:val="auto"/>
          <w:sz w:val="24"/>
          <w:szCs w:val="24"/>
          <w:highlight w:val="none"/>
        </w:rPr>
        <w:t>设计变更</w:t>
      </w:r>
    </w:p>
    <w:p w14:paraId="1D769F2B">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9.4.1工程建设过程中因各种原因所发生的设计变更，按</w:t>
      </w:r>
      <w:r>
        <w:rPr>
          <w:rFonts w:hint="eastAsia" w:ascii="宋体" w:hAnsi="宋体" w:cs="宋体"/>
          <w:color w:val="auto"/>
          <w:sz w:val="24"/>
          <w:szCs w:val="24"/>
          <w:highlight w:val="none"/>
          <w:lang w:val="en-US" w:eastAsia="zh-CN"/>
        </w:rPr>
        <w:t>清远市、佛冈县、园区管委会</w:t>
      </w:r>
      <w:r>
        <w:rPr>
          <w:rFonts w:hint="eastAsia" w:ascii="宋体" w:hAnsi="宋体" w:cs="宋体"/>
          <w:color w:val="auto"/>
          <w:sz w:val="24"/>
          <w:szCs w:val="24"/>
          <w:highlight w:val="none"/>
        </w:rPr>
        <w:t>及发包人相关规定执行。承包人在办理设计变更手续时，应明确设计变更的原因、种类、责任认定等。</w:t>
      </w:r>
    </w:p>
    <w:p w14:paraId="50ED692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9.4.2承包人应承诺能够根据工程需要修改设计，对所承担项目设计的完整性负责，且修改设计完成时限应满足工程建设需要并符合本合同要求。</w:t>
      </w:r>
    </w:p>
    <w:p w14:paraId="42E1CCD5">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第十条 设计质量的组织保证与人员管理制度</w:t>
      </w:r>
    </w:p>
    <w:p w14:paraId="49C6A098">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10.1</w:t>
      </w:r>
      <w:r>
        <w:rPr>
          <w:rFonts w:hint="eastAsia" w:ascii="宋体" w:hAnsi="宋体" w:cs="宋体"/>
          <w:color w:val="auto"/>
          <w:sz w:val="24"/>
          <w:highlight w:val="none"/>
        </w:rPr>
        <w:t>设计人应根据设计任务建立项目组，从组织上保证投入的人力、物力能满足设计开展的需要，保证不同设计时段、阶段设计工作的连续性和外部接口衔接的连贯性。</w:t>
      </w:r>
    </w:p>
    <w:p w14:paraId="2365C795">
      <w:pPr>
        <w:widowControl/>
        <w:wordWrap w:val="0"/>
        <w:topLinePunct/>
        <w:adjustRightInd w:val="0"/>
        <w:snapToGrid w:val="0"/>
        <w:spacing w:line="480" w:lineRule="exact"/>
        <w:ind w:firstLine="424" w:firstLineChars="176"/>
        <w:rPr>
          <w:rFonts w:ascii="宋体" w:hAnsi="宋体" w:cs="宋体"/>
          <w:b/>
          <w:color w:val="auto"/>
          <w:sz w:val="24"/>
          <w:highlight w:val="none"/>
          <w:shd w:val="pct10" w:color="auto" w:fill="FFFFFF"/>
        </w:rPr>
      </w:pPr>
      <w:r>
        <w:rPr>
          <w:rFonts w:hint="eastAsia" w:ascii="宋体" w:hAnsi="宋体" w:cs="宋体"/>
          <w:b/>
          <w:bCs/>
          <w:color w:val="auto"/>
          <w:sz w:val="24"/>
          <w:highlight w:val="none"/>
        </w:rPr>
        <w:t>10.2</w:t>
      </w:r>
      <w:r>
        <w:rPr>
          <w:rFonts w:hint="eastAsia" w:ascii="宋体" w:hAnsi="宋体" w:cs="宋体"/>
          <w:color w:val="auto"/>
          <w:sz w:val="24"/>
          <w:highlight w:val="none"/>
        </w:rPr>
        <w:t>在设计高峰或发包人认为有必要时，设计人必须集中设计人员确保设计进度，凡因人员不到位而影响设计工作的，发包人有权根据实际情况扣减设计费直至解除合同等。</w:t>
      </w:r>
    </w:p>
    <w:p w14:paraId="6760DA0C">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10.3</w:t>
      </w:r>
      <w:r>
        <w:rPr>
          <w:rFonts w:hint="eastAsia" w:ascii="宋体" w:hAnsi="宋体" w:cs="宋体"/>
          <w:color w:val="auto"/>
          <w:sz w:val="24"/>
          <w:highlight w:val="none"/>
        </w:rPr>
        <w:t>本合同有效期内，设计人员明确分工各负责的基础上，设计人承诺为本项目指定的</w:t>
      </w:r>
      <w:r>
        <w:rPr>
          <w:rFonts w:hint="eastAsia" w:ascii="宋体" w:hAnsi="宋体" w:cs="宋体"/>
          <w:b/>
          <w:color w:val="auto"/>
          <w:sz w:val="24"/>
          <w:highlight w:val="none"/>
        </w:rPr>
        <w:t>设计总负责人</w:t>
      </w:r>
      <w:r>
        <w:rPr>
          <w:rFonts w:hint="eastAsia" w:ascii="宋体" w:hAnsi="宋体" w:cs="宋体"/>
          <w:color w:val="auto"/>
          <w:sz w:val="24"/>
          <w:highlight w:val="none"/>
        </w:rPr>
        <w:t>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以上职务，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职称，其设计经历</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年以上，且担任过</w:t>
      </w:r>
      <w:r>
        <w:rPr>
          <w:rFonts w:hint="eastAsia" w:ascii="宋体" w:hAnsi="宋体" w:cs="宋体"/>
          <w:color w:val="auto"/>
          <w:sz w:val="24"/>
          <w:highlight w:val="none"/>
          <w:u w:val="single"/>
        </w:rPr>
        <w:t xml:space="preserve">    专业（含相近专业）</w:t>
      </w:r>
      <w:r>
        <w:rPr>
          <w:rFonts w:hint="eastAsia" w:ascii="宋体" w:hAnsi="宋体" w:cs="宋体"/>
          <w:color w:val="auto"/>
          <w:sz w:val="24"/>
          <w:highlight w:val="none"/>
        </w:rPr>
        <w:t>工程的设计总负责人。</w:t>
      </w:r>
    </w:p>
    <w:p w14:paraId="01666095">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10.4</w:t>
      </w:r>
      <w:r>
        <w:rPr>
          <w:rFonts w:hint="eastAsia" w:ascii="宋体" w:hAnsi="宋体" w:cs="宋体"/>
          <w:color w:val="auto"/>
          <w:sz w:val="24"/>
          <w:highlight w:val="none"/>
        </w:rPr>
        <w:t>设计人承诺为本项目指定的各专业设计负责人为</w:t>
      </w:r>
      <w:r>
        <w:rPr>
          <w:rFonts w:hint="eastAsia" w:ascii="宋体" w:hAnsi="宋体" w:cs="宋体"/>
          <w:color w:val="auto"/>
          <w:sz w:val="24"/>
          <w:highlight w:val="none"/>
          <w:u w:val="single"/>
        </w:rPr>
        <w:t xml:space="preserve">   或</w:t>
      </w:r>
      <w:r>
        <w:rPr>
          <w:rFonts w:hint="eastAsia" w:ascii="宋体" w:hAnsi="宋体" w:cs="宋体"/>
          <w:color w:val="auto"/>
          <w:sz w:val="24"/>
          <w:highlight w:val="none"/>
        </w:rPr>
        <w:t>以上职称，设计经历在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年以上，每个专业至少配备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名工程师。</w:t>
      </w:r>
    </w:p>
    <w:p w14:paraId="2E7ED1B6">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10.5</w:t>
      </w:r>
      <w:r>
        <w:rPr>
          <w:rFonts w:hint="eastAsia" w:ascii="宋体" w:hAnsi="宋体" w:cs="宋体"/>
          <w:color w:val="auto"/>
          <w:sz w:val="24"/>
          <w:highlight w:val="none"/>
        </w:rPr>
        <w:t>设计人承诺为本项目指定的驻场设计代表总负责人为本项目设计负责人之一，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职称，其设计经历在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年以上，担任过</w:t>
      </w:r>
      <w:r>
        <w:rPr>
          <w:rFonts w:hint="eastAsia" w:ascii="宋体" w:hAnsi="宋体" w:cs="宋体"/>
          <w:color w:val="auto"/>
          <w:sz w:val="24"/>
          <w:highlight w:val="none"/>
          <w:u w:val="single"/>
        </w:rPr>
        <w:t xml:space="preserve">   专业（含相近专业）</w:t>
      </w:r>
      <w:r>
        <w:rPr>
          <w:rFonts w:hint="eastAsia" w:ascii="宋体" w:hAnsi="宋体" w:cs="宋体"/>
          <w:color w:val="auto"/>
          <w:sz w:val="24"/>
          <w:highlight w:val="none"/>
        </w:rPr>
        <w:t>工程的兼设计总负责人。设计人保证驻场设计代表总负责人能够全权代表设计人，并向发包人出具相应的授权文件。</w:t>
      </w:r>
    </w:p>
    <w:p w14:paraId="5988F447">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10.6</w:t>
      </w:r>
      <w:r>
        <w:rPr>
          <w:rFonts w:hint="eastAsia" w:ascii="宋体" w:hAnsi="宋体" w:cs="宋体"/>
          <w:color w:val="auto"/>
          <w:sz w:val="24"/>
          <w:highlight w:val="none"/>
        </w:rPr>
        <w:t>设计人承诺项目主要专业</w:t>
      </w:r>
      <w:r>
        <w:rPr>
          <w:rFonts w:hint="eastAsia" w:ascii="宋体" w:hAnsi="宋体" w:cs="宋体"/>
          <w:color w:val="auto"/>
          <w:sz w:val="24"/>
          <w:highlight w:val="none"/>
          <w:u w:val="single"/>
        </w:rPr>
        <w:t xml:space="preserve">   专业</w:t>
      </w:r>
      <w:r>
        <w:rPr>
          <w:rFonts w:hint="eastAsia" w:ascii="宋体" w:hAnsi="宋体" w:cs="宋体"/>
          <w:color w:val="auto"/>
          <w:sz w:val="24"/>
          <w:highlight w:val="none"/>
        </w:rPr>
        <w:t>的设计负责人作为设计代表常驻现场，服务于项目建设的始终。</w:t>
      </w:r>
    </w:p>
    <w:p w14:paraId="70F285BB">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10.7</w:t>
      </w:r>
      <w:r>
        <w:rPr>
          <w:rFonts w:hint="eastAsia" w:ascii="宋体" w:hAnsi="宋体" w:cs="宋体"/>
          <w:color w:val="auto"/>
          <w:sz w:val="24"/>
          <w:highlight w:val="none"/>
        </w:rPr>
        <w:t>设计人承诺应发包人要求，委派承担本项目设计的其它专业的设计负责人作为设计代表驻现场，提供专业齐全的配套服务。</w:t>
      </w:r>
    </w:p>
    <w:p w14:paraId="030918B0">
      <w:pPr>
        <w:widowControl/>
        <w:wordWrap w:val="0"/>
        <w:topLinePunct/>
        <w:adjustRightInd w:val="0"/>
        <w:snapToGrid w:val="0"/>
        <w:spacing w:line="48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10.8</w:t>
      </w:r>
      <w:r>
        <w:rPr>
          <w:rFonts w:hint="eastAsia" w:ascii="宋体" w:hAnsi="宋体" w:cs="宋体"/>
          <w:color w:val="auto"/>
          <w:sz w:val="24"/>
          <w:highlight w:val="none"/>
        </w:rPr>
        <w:t>设计人承诺随项目的推进，除10.3、10.4、10.5条所指定人员外另委派各专业设计代表常驻现场，每专业至少1人。</w:t>
      </w:r>
    </w:p>
    <w:p w14:paraId="7D8DE738">
      <w:pPr>
        <w:wordWrap w:val="0"/>
        <w:topLinePunct/>
        <w:adjustRightInd w:val="0"/>
        <w:snapToGrid w:val="0"/>
        <w:spacing w:line="440" w:lineRule="exact"/>
        <w:ind w:firstLine="424" w:firstLineChars="176"/>
        <w:rPr>
          <w:rFonts w:ascii="宋体" w:hAnsi="宋体" w:cs="宋体"/>
          <w:color w:val="auto"/>
          <w:sz w:val="24"/>
          <w:highlight w:val="none"/>
        </w:rPr>
      </w:pPr>
      <w:r>
        <w:rPr>
          <w:rFonts w:hint="eastAsia" w:ascii="宋体" w:hAnsi="宋体" w:cs="宋体"/>
          <w:b/>
          <w:bCs/>
          <w:color w:val="auto"/>
          <w:sz w:val="24"/>
          <w:highlight w:val="none"/>
        </w:rPr>
        <w:t>10.9</w:t>
      </w:r>
      <w:r>
        <w:rPr>
          <w:rFonts w:hint="eastAsia" w:ascii="宋体" w:hAnsi="宋体" w:cs="宋体"/>
          <w:b w:val="0"/>
          <w:bCs w:val="0"/>
          <w:color w:val="auto"/>
          <w:sz w:val="24"/>
          <w:highlight w:val="none"/>
          <w:lang w:val="en-US" w:eastAsia="zh-CN"/>
        </w:rPr>
        <w:t>项目</w:t>
      </w:r>
      <w:r>
        <w:rPr>
          <w:rFonts w:hint="eastAsia" w:ascii="宋体" w:hAnsi="宋体" w:cs="宋体"/>
          <w:color w:val="auto"/>
          <w:sz w:val="24"/>
          <w:highlight w:val="none"/>
        </w:rPr>
        <w:t>设计总负责人，各专业设计负责人，驻场设计代表总负责人，驻场设计代表的经验、能力和健康状况应能够胜任所承担任务</w:t>
      </w:r>
    </w:p>
    <w:p w14:paraId="42DD0ED5">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10.10</w:t>
      </w:r>
      <w:r>
        <w:rPr>
          <w:rFonts w:hint="eastAsia" w:ascii="宋体" w:hAnsi="宋体" w:cs="宋体"/>
          <w:color w:val="auto"/>
          <w:sz w:val="24"/>
          <w:szCs w:val="24"/>
          <w:highlight w:val="none"/>
        </w:rPr>
        <w:t>承包人须报送</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设计总负责人，各专业设计负责人、其它参与设计工作的人员姓名、年龄、学历、专业、职称、职务、相关经历和主要技术成果以及在本项目中负责的设计任务等资料。</w:t>
      </w:r>
    </w:p>
    <w:p w14:paraId="2205A9D7">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10.11</w:t>
      </w:r>
      <w:r>
        <w:rPr>
          <w:rFonts w:hint="eastAsia" w:ascii="宋体" w:hAnsi="宋体" w:cs="宋体"/>
          <w:color w:val="auto"/>
          <w:sz w:val="24"/>
          <w:szCs w:val="24"/>
          <w:highlight w:val="none"/>
        </w:rPr>
        <w:t>承包人须报送驻场设计代表负责人，驻场设计代表人员的姓名、年龄、学历、专业、职称、职务、相关经历和主要技术成果以及驻场授权工作范围、驻场时间安排等资料。</w:t>
      </w:r>
    </w:p>
    <w:p w14:paraId="122320A4">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10.12</w:t>
      </w:r>
      <w:r>
        <w:rPr>
          <w:rFonts w:hint="eastAsia" w:ascii="宋体" w:hAnsi="宋体" w:cs="宋体"/>
          <w:color w:val="auto"/>
          <w:sz w:val="24"/>
          <w:szCs w:val="24"/>
          <w:highlight w:val="none"/>
        </w:rPr>
        <w:t>承包人必须保证参与本项目承包人员的稳定性，承包人如需更换项目设计总负责人、各专业设计负责人、驻场设计代表总负责人和驻场设计代表，应提前7天以书面形式通知发包人并征得发包人同意后方可撤换。同时发包人认为项目设计总负责人、各专业设计负责人、驻场设计代表总负责人和驻场设计代表不称职时，承包人应当在收到发包人的书面通知后5天内更换，更换人员的资历不得低于本合同相应条款对各类承包人员资历规定的要求，且更换人员须先经过发包人确认。若承包人对发包人要求更换人员有异议时，可进行申诉，若申诉后发包人仍然要求更换，则承包人应无条件进行更换，否则视承包人该人员从发包人发出更换通知的时间开始擅自离岗。</w:t>
      </w:r>
    </w:p>
    <w:p w14:paraId="4428DAC4">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10.13</w:t>
      </w:r>
      <w:r>
        <w:rPr>
          <w:rFonts w:hint="eastAsia" w:ascii="宋体" w:hAnsi="宋体" w:cs="宋体"/>
          <w:color w:val="auto"/>
          <w:sz w:val="24"/>
          <w:szCs w:val="24"/>
          <w:highlight w:val="none"/>
        </w:rPr>
        <w:t>承包人必须加强承包人员职业操守的教育，本项目承包人员需共同遵守承包人员职业道德守则，并严格遵守以下规定：</w:t>
      </w:r>
    </w:p>
    <w:p w14:paraId="1E1A37C4">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10.13.1严防重产值、轻质量倾向，确保公众人身及财产安全。</w:t>
      </w:r>
    </w:p>
    <w:p w14:paraId="6365A6E6">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10.13.2禁止向发包人及施工单位推销材料、设备，或以倾向性、排他性设计变相推销。</w:t>
      </w:r>
    </w:p>
    <w:p w14:paraId="14E372E3">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10.13.3禁止与材料、设备供应商串通，设计中选用价高质次的材料、设备。</w:t>
      </w:r>
    </w:p>
    <w:p w14:paraId="6F6732BA">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10.13.4禁止与材料、设备供应商串通，在材料、设备的监造或调试过程中对不合格材料、设备产品进行包庇或以次充好，提高产品验收级别。</w:t>
      </w:r>
    </w:p>
    <w:p w14:paraId="6F74FB71">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10.13.5禁止与施工单位串通，对不合格材料、设备、产品、工程进行包庇及验收。</w:t>
      </w:r>
    </w:p>
    <w:p w14:paraId="216E1761">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10.13.6禁止与施工单位串通，对材料用量、工程量进行虚假签认。</w:t>
      </w:r>
    </w:p>
    <w:p w14:paraId="18536DC6">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10.13.7禁止与施工单位串通，不合理提高施工难度及增加材料用量，以增大施工费用，获取不正当收益。</w:t>
      </w:r>
    </w:p>
    <w:p w14:paraId="369E0B2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bCs/>
          <w:color w:val="auto"/>
          <w:sz w:val="24"/>
          <w:szCs w:val="24"/>
          <w:highlight w:val="none"/>
          <w:shd w:val="pct10" w:color="auto" w:fill="FFFFFF"/>
        </w:rPr>
        <w:t>10.14</w:t>
      </w:r>
      <w:r>
        <w:rPr>
          <w:rFonts w:hint="eastAsia" w:ascii="宋体" w:hAnsi="宋体" w:cs="宋体"/>
          <w:color w:val="auto"/>
          <w:sz w:val="24"/>
          <w:szCs w:val="24"/>
          <w:highlight w:val="none"/>
        </w:rPr>
        <w:t>凡违背以上规定者，一经查实，发包人有权</w:t>
      </w:r>
      <w:r>
        <w:rPr>
          <w:rFonts w:hint="eastAsia" w:ascii="宋体" w:hAnsi="宋体" w:cs="宋体"/>
          <w:color w:val="auto"/>
          <w:sz w:val="24"/>
          <w:szCs w:val="24"/>
          <w:highlight w:val="none"/>
          <w:lang w:val="en-US" w:eastAsia="zh-CN"/>
        </w:rPr>
        <w:t>解除合同，并</w:t>
      </w:r>
      <w:r>
        <w:rPr>
          <w:rFonts w:hint="eastAsia" w:ascii="宋体" w:hAnsi="宋体" w:cs="宋体"/>
          <w:color w:val="auto"/>
          <w:sz w:val="24"/>
          <w:szCs w:val="24"/>
          <w:highlight w:val="none"/>
        </w:rPr>
        <w:t>向有关部门反映情况，追究承包人及有关责任人相关责任，要求赔偿相关损失，并将上述违反职业道德的行为通过新闻媒体公诸于众，情节严重者移交司法机关追究法律责任。</w:t>
      </w:r>
    </w:p>
    <w:p w14:paraId="289EAE0A">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第十一条 设计质量控制</w:t>
      </w:r>
    </w:p>
    <w:p w14:paraId="4AF6B427">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11.1</w:t>
      </w:r>
      <w:r>
        <w:rPr>
          <w:rFonts w:hint="eastAsia" w:ascii="宋体" w:hAnsi="宋体" w:cs="宋体"/>
          <w:color w:val="auto"/>
          <w:sz w:val="24"/>
          <w:szCs w:val="24"/>
          <w:highlight w:val="none"/>
        </w:rPr>
        <w:t>发包人要求承包人在设计过程中考虑工程实施时的可操作性，对方案的实施工序提出相应的技术要求，特别是关键工序，应明确提出工艺要求、质量控制要求。超越目前国内施工单位平均技术水平的设计方案、施工方法，承包人应提出合理理由和可行的实施方案，报发包人同意后方可采用，否则，发包人有权要求承包人修改设计。</w:t>
      </w:r>
    </w:p>
    <w:p w14:paraId="60CB58AB">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11.2</w:t>
      </w:r>
      <w:r>
        <w:rPr>
          <w:rFonts w:hint="eastAsia" w:ascii="宋体" w:hAnsi="宋体" w:cs="宋体"/>
          <w:color w:val="auto"/>
          <w:sz w:val="24"/>
          <w:szCs w:val="24"/>
          <w:highlight w:val="none"/>
        </w:rPr>
        <w:t>设备国产化应当做到选型设计而不是科研开发设计，原则上要求所采用的设备和系统技术是成熟的，对于新技术、新成果的运用承包人必须有把握，并有相应的工程实践和实际应用经验供参考。</w:t>
      </w:r>
    </w:p>
    <w:p w14:paraId="343D3EA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11.3</w:t>
      </w:r>
      <w:r>
        <w:rPr>
          <w:rFonts w:hint="eastAsia" w:ascii="宋体" w:hAnsi="宋体" w:cs="宋体"/>
          <w:color w:val="auto"/>
          <w:sz w:val="24"/>
          <w:szCs w:val="24"/>
          <w:highlight w:val="none"/>
        </w:rPr>
        <w:t>承包人应加强设计标准化工作，组织采用统一的模数、参数和标准构配件，推广标准设计的运用，针对本工程的特点提出标准化设计建议，如标准平面、标准断面、标准设备选用等，将承包人积累的经验加以总结，提高设计水平和工作效率。</w:t>
      </w:r>
    </w:p>
    <w:p w14:paraId="0F5DC8FB">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11.4</w:t>
      </w:r>
      <w:r>
        <w:rPr>
          <w:rFonts w:hint="eastAsia" w:ascii="宋体" w:hAnsi="宋体" w:cs="宋体"/>
          <w:color w:val="auto"/>
          <w:sz w:val="24"/>
          <w:szCs w:val="24"/>
          <w:highlight w:val="none"/>
        </w:rPr>
        <w:t>如果承包人交付的文件或图纸不符合本合同及附件的约定和要求，发包人有权拒收，承包人应在收到发包人通知后5天内免费将所有符合规定的设计文件交付给发包人，且文件交付时间仍应符合本合同要求，否则承担相关违约责任。</w:t>
      </w:r>
    </w:p>
    <w:p w14:paraId="4829097A">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11.5</w:t>
      </w:r>
      <w:r>
        <w:rPr>
          <w:rFonts w:hint="eastAsia" w:ascii="宋体" w:hAnsi="宋体" w:cs="宋体"/>
          <w:color w:val="auto"/>
          <w:sz w:val="24"/>
          <w:szCs w:val="24"/>
          <w:highlight w:val="none"/>
        </w:rPr>
        <w:t>发包人重视处理好投资、设计费和设计质量之间的关系，充分重视发挥承包人员积极性在保证项目质量、投资控制方面的作用，使设计费与设计工作量匹配，尽量避免各系统、工点项目在设计取费上的不均衡。</w:t>
      </w:r>
    </w:p>
    <w:p w14:paraId="0FD8344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11.6</w:t>
      </w:r>
      <w:r>
        <w:rPr>
          <w:rFonts w:hint="eastAsia" w:ascii="宋体" w:hAnsi="宋体" w:cs="宋体"/>
          <w:color w:val="auto"/>
          <w:sz w:val="24"/>
          <w:szCs w:val="24"/>
          <w:highlight w:val="none"/>
        </w:rPr>
        <w:t>对设计创优完成情况发包人满意的，取得一定实际绩效，并表现突出的，发包人给予设计方通报表扬。</w:t>
      </w:r>
    </w:p>
    <w:p w14:paraId="526D0F3F">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第十二条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建筑材料和设备的选用</w:t>
      </w:r>
    </w:p>
    <w:p w14:paraId="62E7DA73">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12.1</w:t>
      </w:r>
      <w:r>
        <w:rPr>
          <w:rFonts w:hint="eastAsia" w:ascii="宋体" w:hAnsi="宋体" w:cs="宋体"/>
          <w:color w:val="auto"/>
          <w:sz w:val="24"/>
          <w:szCs w:val="24"/>
          <w:highlight w:val="none"/>
        </w:rPr>
        <w:t>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清远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佛冈县</w:t>
      </w:r>
      <w:r>
        <w:rPr>
          <w:rFonts w:hint="eastAsia" w:ascii="宋体" w:hAnsi="宋体" w:cs="宋体"/>
          <w:color w:val="auto"/>
          <w:sz w:val="24"/>
          <w:szCs w:val="24"/>
          <w:highlight w:val="none"/>
        </w:rPr>
        <w:t>有关法律和行政法规、规章的要求，提供明确的技术资料（包括性能指标、规格、型号等方面的资料）。</w:t>
      </w:r>
    </w:p>
    <w:p w14:paraId="55ABFF5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12.2</w:t>
      </w:r>
      <w:r>
        <w:rPr>
          <w:rFonts w:hint="eastAsia" w:ascii="宋体" w:hAnsi="宋体" w:cs="宋体"/>
          <w:color w:val="auto"/>
          <w:sz w:val="24"/>
          <w:szCs w:val="24"/>
          <w:highlight w:val="none"/>
        </w:rPr>
        <w:t>对于由发包人推荐的候选建筑材料和设备，承包人须帮助发包人鉴别其优劣并提供相关咨询意见，发包人不需为此额外支付任何费用。</w:t>
      </w:r>
    </w:p>
    <w:p w14:paraId="1A97C9FD">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 xml:space="preserve">12.3 </w:t>
      </w:r>
      <w:r>
        <w:rPr>
          <w:rFonts w:hint="eastAsia" w:ascii="宋体" w:hAnsi="宋体" w:cs="宋体"/>
          <w:color w:val="auto"/>
          <w:sz w:val="24"/>
          <w:szCs w:val="24"/>
          <w:highlight w:val="none"/>
        </w:rPr>
        <w:t>从国外进口的建筑材料、设备等，承包人原则上须向发包人推荐三家以上可供货的国外厂商名称、产品质量标准、价格资料等，并提出评估意见（必要时还须提供推荐的供应厂商以往业绩）。推荐材料不能含有任何倾向性和排他性，承包人不得推荐或选用具有唯一知识产权特征的独家产品，如确有必要，承包人应提前取得发包人或设计咨询方的认可。</w:t>
      </w:r>
    </w:p>
    <w:p w14:paraId="144C1E68">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第十三条  进度计划</w:t>
      </w:r>
    </w:p>
    <w:p w14:paraId="57CAFCC9">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13.1</w:t>
      </w:r>
      <w:r>
        <w:rPr>
          <w:rFonts w:hint="eastAsia" w:ascii="宋体" w:hAnsi="宋体" w:cs="宋体"/>
          <w:color w:val="auto"/>
          <w:sz w:val="24"/>
          <w:szCs w:val="24"/>
          <w:highlight w:val="none"/>
        </w:rPr>
        <w:t>承包人必须在合同约定的时间和期限内按发包人要求分初步设计和施工图二阶段开始和完成设计，但根据合同约定的延期除外。</w:t>
      </w:r>
    </w:p>
    <w:p w14:paraId="19A6F0D2">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13.2</w:t>
      </w:r>
      <w:r>
        <w:rPr>
          <w:rFonts w:hint="eastAsia" w:ascii="宋体" w:hAnsi="宋体" w:cs="宋体"/>
          <w:color w:val="auto"/>
          <w:sz w:val="24"/>
          <w:szCs w:val="24"/>
          <w:highlight w:val="none"/>
        </w:rPr>
        <w:t>承包人根据合同约定及工期总体策划的要求编制各阶段设计进度计划和各专业的出图计划，各阶段中间检查内容、时间、次数和提交的设计文件、图纸，经设计咨询单位审核和发包人审查、平衡后执行。承包人根据设计进展编制短期设计计划，以使设计进度在受控状态下进行，同时便于发包人及时与承包人协调。</w:t>
      </w:r>
    </w:p>
    <w:p w14:paraId="6609DCF3">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13.3</w:t>
      </w:r>
      <w:r>
        <w:rPr>
          <w:rFonts w:hint="eastAsia" w:ascii="宋体" w:hAnsi="宋体" w:cs="宋体"/>
          <w:color w:val="auto"/>
          <w:sz w:val="24"/>
          <w:szCs w:val="24"/>
          <w:highlight w:val="none"/>
        </w:rPr>
        <w:t>设计进度计划应体现事前、事中、事后进度控制，应有工作流程、进度控制措施、组织措施、及时措施等内容，必须考虑工程招标、设备采购、材料准备等因素，提供满足上述工作所需要的有关设计文件。</w:t>
      </w:r>
    </w:p>
    <w:p w14:paraId="296ED30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13.4</w:t>
      </w:r>
      <w:r>
        <w:rPr>
          <w:rFonts w:hint="eastAsia" w:ascii="宋体" w:hAnsi="宋体" w:cs="宋体"/>
          <w:color w:val="auto"/>
          <w:sz w:val="24"/>
          <w:szCs w:val="24"/>
          <w:highlight w:val="none"/>
        </w:rPr>
        <w:t>承包人编制的设计进度除合同附件要求的内容外，应确定项目总进度目标与详细的分进度目标。严格按照合同规定时间提交相应的设计成果。</w:t>
      </w:r>
    </w:p>
    <w:p w14:paraId="5B56E4CC">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第十四条  进度控制的要求和办法</w:t>
      </w:r>
    </w:p>
    <w:p w14:paraId="7365A28A">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14.1</w:t>
      </w:r>
      <w:r>
        <w:rPr>
          <w:rFonts w:hint="eastAsia" w:ascii="宋体" w:hAnsi="宋体" w:cs="宋体"/>
          <w:color w:val="auto"/>
          <w:sz w:val="24"/>
          <w:szCs w:val="24"/>
          <w:highlight w:val="none"/>
        </w:rPr>
        <w:t>发包人按进度计划检查设计完成情况，检查内容包括设计进展、设计质量、限额设计落实情况、设计成果提交情况等，发现问题，有权督促承包人采取组织、经济及技术措施予以纠正。</w:t>
      </w:r>
    </w:p>
    <w:p w14:paraId="4023CAFE">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14.2</w:t>
      </w:r>
      <w:r>
        <w:rPr>
          <w:rFonts w:hint="eastAsia" w:ascii="宋体" w:hAnsi="宋体" w:cs="宋体"/>
          <w:color w:val="auto"/>
          <w:sz w:val="24"/>
          <w:szCs w:val="24"/>
          <w:highlight w:val="none"/>
        </w:rPr>
        <w:t>承包人严格按照进度计划开展和组织设计工作，接受发包人根据合同和进度计划进行的各种设计跟踪、工作检查和协调要求。</w:t>
      </w:r>
    </w:p>
    <w:p w14:paraId="07A8451B">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14.3</w:t>
      </w:r>
      <w:r>
        <w:rPr>
          <w:rFonts w:hint="eastAsia" w:ascii="宋体" w:hAnsi="宋体" w:cs="宋体"/>
          <w:color w:val="auto"/>
          <w:sz w:val="24"/>
          <w:szCs w:val="24"/>
          <w:highlight w:val="none"/>
        </w:rPr>
        <w:t>承包人根据设计开展情况编制月工作汇报和下月进度计划，提供有关设计信息，协调发包人掌握设计工作的整体进展情况。承包人每周按要求向发包人报告进展情况。发包人有权要求修改、调整进度计划并要求承包人执行。</w:t>
      </w:r>
    </w:p>
    <w:p w14:paraId="49EBAAC4">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14.4</w:t>
      </w:r>
      <w:r>
        <w:rPr>
          <w:rFonts w:hint="eastAsia" w:ascii="宋体" w:hAnsi="宋体" w:cs="宋体"/>
          <w:color w:val="auto"/>
          <w:sz w:val="24"/>
          <w:szCs w:val="24"/>
          <w:highlight w:val="none"/>
        </w:rPr>
        <w:t>对于承包人书面反映的重大技术问题和重大原则问题，发包人应在10日内予以确认或反馈意见，需要发包人协调的，由发包人组织协调。</w:t>
      </w:r>
    </w:p>
    <w:p w14:paraId="5F51F296">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第十五条  关键点控制</w:t>
      </w:r>
    </w:p>
    <w:p w14:paraId="13BFBAE7">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15.1</w:t>
      </w:r>
      <w:r>
        <w:rPr>
          <w:rFonts w:hint="eastAsia" w:ascii="宋体" w:hAnsi="宋体" w:cs="宋体"/>
          <w:color w:val="auto"/>
          <w:sz w:val="24"/>
          <w:szCs w:val="24"/>
          <w:highlight w:val="none"/>
        </w:rPr>
        <w:t>发包人对关键点的设计工作重点检查，根据设计进展的实际情况提出相应的意见、要求，发现偏离，及时要求承包人调整人员、调整计划和调整工作部署。</w:t>
      </w:r>
    </w:p>
    <w:p w14:paraId="59697B8D">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15.2</w:t>
      </w:r>
      <w:r>
        <w:rPr>
          <w:rFonts w:hint="eastAsia" w:ascii="宋体" w:hAnsi="宋体" w:cs="宋体"/>
          <w:color w:val="auto"/>
          <w:sz w:val="24"/>
          <w:szCs w:val="24"/>
          <w:highlight w:val="none"/>
        </w:rPr>
        <w:t>发包人对关键点的关注而提出的要求、措施或决策，不因此承担承包人应负的责任，如由此而影响设计工作的正常进行，承包人应提出解决问题的方法，属发包人决策不合理的，承包人有责任告知发包人，发生合同外费用的，需事前提交发包人</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确认。</w:t>
      </w:r>
    </w:p>
    <w:p w14:paraId="3531F9DC">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15.3</w:t>
      </w:r>
      <w:r>
        <w:rPr>
          <w:rFonts w:hint="eastAsia" w:ascii="宋体" w:hAnsi="宋体" w:cs="宋体"/>
          <w:color w:val="auto"/>
          <w:sz w:val="24"/>
          <w:szCs w:val="24"/>
          <w:highlight w:val="none"/>
        </w:rPr>
        <w:t>承包人应当根据设计行为指定设计工作整体的季度网络图，确定其中的关键点，加强过程控制确保关键点设计按进度计划完成，使整个设计工作处于受控的状态。</w:t>
      </w:r>
    </w:p>
    <w:p w14:paraId="5DE62F12">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15.4</w:t>
      </w:r>
      <w:r>
        <w:rPr>
          <w:rFonts w:hint="eastAsia" w:ascii="宋体" w:hAnsi="宋体" w:cs="宋体"/>
          <w:color w:val="auto"/>
          <w:sz w:val="24"/>
          <w:szCs w:val="24"/>
          <w:highlight w:val="none"/>
        </w:rPr>
        <w:t>承包人应根据发包人要求的进度指定工作计划、组织保证措施，确保投入的人力、物力能满足设计工作的需要，确保关键点的设计工作按时完成。</w:t>
      </w:r>
    </w:p>
    <w:p w14:paraId="1EDF96FA">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15.5</w:t>
      </w:r>
      <w:r>
        <w:rPr>
          <w:rFonts w:hint="eastAsia" w:ascii="宋体" w:hAnsi="宋体" w:cs="宋体"/>
          <w:color w:val="auto"/>
          <w:sz w:val="24"/>
          <w:szCs w:val="24"/>
          <w:highlight w:val="none"/>
        </w:rPr>
        <w:t>无论何种原因影响关键点设计进度的，发包人关于消除影响、保证进度的措施、指令，承包人必须采取相应的组织措施、技术措施予以执行，并接受发包人的检查。</w:t>
      </w:r>
    </w:p>
    <w:p w14:paraId="67F79E7E">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第十六条  设计为用户服务，为工程服务</w:t>
      </w:r>
    </w:p>
    <w:p w14:paraId="37408EA3">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16.1</w:t>
      </w:r>
      <w:r>
        <w:rPr>
          <w:rFonts w:hint="eastAsia" w:ascii="宋体" w:hAnsi="宋体" w:cs="宋体"/>
          <w:color w:val="auto"/>
          <w:sz w:val="24"/>
          <w:szCs w:val="24"/>
          <w:highlight w:val="none"/>
        </w:rPr>
        <w:t>除发包人已批准的设计文件组成清单内容外，发包人有权要求承包人补充完成增加工程实际所需要的相关的设计图纸。</w:t>
      </w:r>
    </w:p>
    <w:p w14:paraId="4196F022">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16.2</w:t>
      </w:r>
      <w:r>
        <w:rPr>
          <w:rFonts w:hint="eastAsia" w:ascii="宋体" w:hAnsi="宋体" w:cs="宋体"/>
          <w:color w:val="auto"/>
          <w:sz w:val="24"/>
          <w:szCs w:val="24"/>
          <w:highlight w:val="none"/>
        </w:rPr>
        <w:t>设计要考虑工程实施的需要，在计划、工期上要根据工程总体策划考虑工程招投标、设备采购、施工组织所需要的时间，提前交付设计文件。</w:t>
      </w:r>
    </w:p>
    <w:p w14:paraId="180EB673">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第十七条 </w:t>
      </w: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rPr>
        <w:t>设计服务</w:t>
      </w:r>
    </w:p>
    <w:p w14:paraId="6FBD2241">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17.1</w:t>
      </w:r>
      <w:r>
        <w:rPr>
          <w:rFonts w:hint="eastAsia" w:ascii="宋体" w:hAnsi="宋体" w:cs="宋体"/>
          <w:color w:val="auto"/>
          <w:sz w:val="24"/>
          <w:szCs w:val="24"/>
          <w:highlight w:val="none"/>
        </w:rPr>
        <w:t>承包人的主要工作如下：</w:t>
      </w:r>
    </w:p>
    <w:p w14:paraId="0BE0CAED">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17.1.1参与设计的技术协调会，做好设计交底工作。</w:t>
      </w:r>
    </w:p>
    <w:p w14:paraId="03659BF5">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17.1.2各施工阶段开始前，按承包人员的设计分工，参与图纸会审，解答有关设计问题。</w:t>
      </w:r>
    </w:p>
    <w:p w14:paraId="5D8804C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17.1.3现场服务：指派承包人员常驻施工现场，按承包人分工责任分别组织进行，配合发包人进行现场巡查，直至工程竣工验收合格止。当建设过程中对设计文件有疑问，承包人在接到通知后，应及时派出专业工程师解决。属于一般设计问题，若无特殊情况，应在1天内解决。属于重大设计问题，可在5天内书面提出解决意见。对设计图纸与现场不符之处，应及时提出解决办法。</w:t>
      </w:r>
    </w:p>
    <w:p w14:paraId="57C00D4D">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17.1.4配合发包人进行施工招标和设备、材料采购招标工作，其招标文件技术部分由承包人负责编写，并配合发包人进行合同技术条款的谈判工作。</w:t>
      </w:r>
    </w:p>
    <w:p w14:paraId="2DED14C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17.1.5提供设备、材料订货清单，同时原则上须向发包人公正推荐三家以上供应商及提供相关资料，所提供的供应商和相关资料不能有倾向性和排它性。</w:t>
      </w:r>
    </w:p>
    <w:p w14:paraId="4923D0F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17.1.6对设备、材料订货有关性能、参数、规格的技术确认，以及协助参与对已定设备、材料的验收工作。</w:t>
      </w:r>
    </w:p>
    <w:p w14:paraId="7B9AF92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17.1.7协助指定设备系统的调试计划和参与设备试车调试。</w:t>
      </w:r>
    </w:p>
    <w:p w14:paraId="1B15676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17.1.8参与工程竣工验收，参与编写工程总结。</w:t>
      </w:r>
    </w:p>
    <w:p w14:paraId="71124CB9">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17.1.9项目负责人应参加发包人召开的协调会、调度会。</w:t>
      </w:r>
    </w:p>
    <w:p w14:paraId="05E7F862">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17.2</w:t>
      </w:r>
      <w:r>
        <w:rPr>
          <w:rFonts w:hint="eastAsia" w:ascii="宋体" w:hAnsi="宋体" w:cs="宋体"/>
          <w:color w:val="auto"/>
          <w:sz w:val="24"/>
          <w:szCs w:val="24"/>
          <w:highlight w:val="none"/>
        </w:rPr>
        <w:t>根据工程进展情况和需要，对一些特殊工程，承包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14:paraId="4B3F0F54">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17.3</w:t>
      </w:r>
      <w:r>
        <w:rPr>
          <w:rFonts w:hint="eastAsia" w:ascii="宋体" w:hAnsi="宋体" w:cs="宋体"/>
          <w:color w:val="auto"/>
          <w:sz w:val="24"/>
          <w:szCs w:val="24"/>
          <w:highlight w:val="none"/>
        </w:rPr>
        <w:t>如按</w:t>
      </w:r>
      <w:r>
        <w:rPr>
          <w:rFonts w:hint="eastAsia" w:ascii="宋体" w:hAnsi="宋体" w:cs="宋体"/>
          <w:color w:val="auto"/>
          <w:sz w:val="24"/>
          <w:szCs w:val="24"/>
          <w:highlight w:val="none"/>
          <w:lang w:val="en-US" w:eastAsia="zh-CN"/>
        </w:rPr>
        <w:t>清远市</w:t>
      </w:r>
      <w:r>
        <w:rPr>
          <w:rFonts w:hint="eastAsia" w:ascii="宋体" w:hAnsi="宋体" w:cs="宋体"/>
          <w:color w:val="auto"/>
          <w:sz w:val="24"/>
          <w:szCs w:val="24"/>
          <w:highlight w:val="none"/>
        </w:rPr>
        <w:t>工程档案资料备案相关规定，需承包人在工程竣工图纸上盖章的，承包人应按规定盖章，不另行向发包人计取费用。</w:t>
      </w:r>
    </w:p>
    <w:p w14:paraId="369B8D4E">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17.4</w:t>
      </w:r>
      <w:r>
        <w:rPr>
          <w:rFonts w:hint="eastAsia" w:ascii="宋体" w:hAnsi="宋体" w:cs="宋体"/>
          <w:color w:val="auto"/>
          <w:sz w:val="24"/>
          <w:szCs w:val="24"/>
          <w:highlight w:val="none"/>
        </w:rPr>
        <w:t>本合同生效之日起至工程竣工验收合格后满</w:t>
      </w:r>
      <w:r>
        <w:rPr>
          <w:rFonts w:hint="eastAsia" w:ascii="宋体" w:hAnsi="宋体" w:cs="宋体"/>
          <w:color w:val="auto"/>
          <w:sz w:val="24"/>
          <w:szCs w:val="24"/>
          <w:highlight w:val="none"/>
          <w:u w:val="single"/>
        </w:rPr>
        <w:t xml:space="preserve">  二 </w:t>
      </w:r>
      <w:r>
        <w:rPr>
          <w:rFonts w:hint="eastAsia" w:ascii="宋体" w:hAnsi="宋体" w:cs="宋体"/>
          <w:color w:val="auto"/>
          <w:sz w:val="24"/>
          <w:szCs w:val="24"/>
          <w:highlight w:val="none"/>
        </w:rPr>
        <w:t>年止为服务期限。工程投入使用后，若发现工程设计未能满足本合同的要求，承包人必须继续提供服务，直至满足要求为止。上述延期服务，发包人不额外支付费用。</w:t>
      </w:r>
    </w:p>
    <w:p w14:paraId="6A99FEDA">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第十八条 知识产权</w:t>
      </w:r>
    </w:p>
    <w:p w14:paraId="7EA4A747">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18.1</w:t>
      </w:r>
      <w:r>
        <w:rPr>
          <w:rFonts w:hint="eastAsia" w:ascii="宋体" w:hAnsi="宋体" w:cs="宋体"/>
          <w:color w:val="auto"/>
          <w:sz w:val="24"/>
          <w:szCs w:val="24"/>
          <w:highlight w:val="none"/>
        </w:rPr>
        <w:t>本项目设计的署名权归承包人所有，其它著作权和使用权归发包人所有；发包人、承包人双方均不得将此项目的设计文件（资料）用于其它工程项目，否则视为侵权；对署名权或其他版权产生侵害的一方承担由此引起的一切法律责任。</w:t>
      </w:r>
    </w:p>
    <w:p w14:paraId="5E85E5A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18.2</w:t>
      </w:r>
      <w:r>
        <w:rPr>
          <w:rFonts w:hint="eastAsia" w:ascii="宋体" w:hAnsi="宋体" w:cs="宋体"/>
          <w:color w:val="auto"/>
          <w:sz w:val="24"/>
          <w:szCs w:val="24"/>
          <w:highlight w:val="none"/>
        </w:rPr>
        <w:t>承包人保证本项目设计文件未侵犯其他方的知识产权，否则必须承担由此而引起的全部法律责任，并保证发包人可无障碍的使用相关设计文件，如发包人不同意使用侵权设计文件的，承包人应负责按相同设计质量及标准予以重新设计并不增加设计费用。</w:t>
      </w:r>
    </w:p>
    <w:p w14:paraId="3328568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18.3</w:t>
      </w:r>
      <w:r>
        <w:rPr>
          <w:rFonts w:hint="eastAsia" w:ascii="宋体" w:hAnsi="宋体" w:cs="宋体"/>
          <w:color w:val="auto"/>
          <w:sz w:val="24"/>
          <w:szCs w:val="24"/>
          <w:highlight w:val="none"/>
        </w:rPr>
        <w:t>发包人拥有承包人为本项目设计且按本合同要求所提交的全部设计文件的所有权及完全使用权。</w:t>
      </w:r>
    </w:p>
    <w:p w14:paraId="2DF9E2D8">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18.4</w:t>
      </w:r>
      <w:r>
        <w:rPr>
          <w:rFonts w:hint="eastAsia" w:ascii="宋体" w:hAnsi="宋体" w:cs="宋体"/>
          <w:color w:val="auto"/>
          <w:sz w:val="24"/>
          <w:szCs w:val="24"/>
          <w:highlight w:val="none"/>
        </w:rPr>
        <w:t>承包人承诺自本合同签订之日起，为本项目所做的全部设计文件，不再用于其他任何项目的设计，否则，视为承包人严重违约，承包人应返还本合同所有已付费用，发包人有权追究承包人因此引起的其他法律责任。</w:t>
      </w:r>
    </w:p>
    <w:p w14:paraId="37C8453F">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18.5</w:t>
      </w:r>
      <w:r>
        <w:rPr>
          <w:rFonts w:hint="eastAsia" w:ascii="宋体" w:hAnsi="宋体" w:cs="宋体"/>
          <w:color w:val="auto"/>
          <w:sz w:val="24"/>
          <w:szCs w:val="24"/>
          <w:highlight w:val="none"/>
        </w:rPr>
        <w:t>任何一方不得泄露对方的技术资料和商业秘密。</w:t>
      </w:r>
    </w:p>
    <w:p w14:paraId="071BDD6C">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第十九条 法律适用及争议解决</w:t>
      </w:r>
    </w:p>
    <w:p w14:paraId="0B2314A7">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19.1本合同的订立、效力、解释、履行和争议均受中华人民共和国法律管辖。</w:t>
      </w:r>
    </w:p>
    <w:p w14:paraId="34A7A448">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19.2凡因履行本合同而引起的一切争议或与本合同有关的争议，应由甲、乙双方通过友好协商解决。协商不成时，双方均同意向工程所在地人民法院起诉。</w:t>
      </w:r>
    </w:p>
    <w:p w14:paraId="3C712107">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19.3在诉讼过程中，除接受诉讼的部分之外，其他合同条款甲、乙双方均须继续履行。对发包人按约定解除合同的，双方应协商解决争议；无法协商而通过诉讼方式解决争议的，乙方除应及时移交材料和退场外，不得防碍甲方另行委托他人实施本建设项目的工作。</w:t>
      </w:r>
    </w:p>
    <w:p w14:paraId="65E9BF48">
      <w:pPr>
        <w:wordWrap w:val="0"/>
        <w:topLinePunct/>
        <w:adjustRightInd w:val="0"/>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第二十条 不可抗力</w:t>
      </w:r>
    </w:p>
    <w:p w14:paraId="2E46A242">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20.1</w:t>
      </w:r>
      <w:r>
        <w:rPr>
          <w:rFonts w:hint="eastAsia" w:ascii="宋体" w:hAnsi="宋体" w:cs="宋体"/>
          <w:color w:val="auto"/>
          <w:sz w:val="24"/>
          <w:szCs w:val="24"/>
          <w:highlight w:val="none"/>
        </w:rPr>
        <w:t>因不可抗力不能履行合同的，根据不可抗力的影响，部分或全部免除责任，但法律另有规定除外。当事人迟延履行后发生不可抗力的，不能免除责任。</w:t>
      </w:r>
    </w:p>
    <w:p w14:paraId="74C95F5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20.2</w:t>
      </w:r>
      <w:r>
        <w:rPr>
          <w:rFonts w:hint="eastAsia" w:ascii="宋体" w:hAnsi="宋体" w:cs="宋体"/>
          <w:color w:val="auto"/>
          <w:sz w:val="24"/>
          <w:szCs w:val="24"/>
          <w:highlight w:val="none"/>
        </w:rPr>
        <w:t>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14:paraId="4D4657B0">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第二十一条 合同终止</w:t>
      </w:r>
    </w:p>
    <w:p w14:paraId="14C68D6B">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本合同的权利义务终止后，当事人应当遵循诚实信用原则，根据交易习惯履行通知、协助、保密义务。</w:t>
      </w:r>
    </w:p>
    <w:p w14:paraId="65980F7B">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第二十二条 保密责任</w:t>
      </w:r>
    </w:p>
    <w:p w14:paraId="133BB22C">
      <w:pPr>
        <w:wordWrap w:val="0"/>
        <w:topLinePunct/>
        <w:adjustRightInd w:val="0"/>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发包人、承包人双方均应保护在合同履行过程中知悉的对方的经济、技术保密信息，未经对方同意，不得泄露，否则，责任方应承担赔偿责任。</w:t>
      </w:r>
    </w:p>
    <w:p w14:paraId="0BE14DE6">
      <w:pPr>
        <w:wordWrap w:val="0"/>
        <w:topLinePunct/>
        <w:adjustRightInd w:val="0"/>
        <w:snapToGrid w:val="0"/>
        <w:spacing w:line="440" w:lineRule="exact"/>
        <w:ind w:firstLine="424" w:firstLineChars="176"/>
        <w:outlineLvl w:val="4"/>
        <w:rPr>
          <w:rFonts w:ascii="宋体" w:hAnsi="宋体" w:cs="宋体"/>
          <w:b/>
          <w:bCs/>
          <w:color w:val="auto"/>
          <w:sz w:val="24"/>
          <w:szCs w:val="24"/>
          <w:highlight w:val="none"/>
        </w:rPr>
      </w:pPr>
      <w:r>
        <w:rPr>
          <w:rFonts w:hint="eastAsia" w:ascii="宋体" w:hAnsi="宋体" w:cs="宋体"/>
          <w:b/>
          <w:bCs/>
          <w:color w:val="auto"/>
          <w:sz w:val="24"/>
          <w:szCs w:val="24"/>
          <w:highlight w:val="none"/>
        </w:rPr>
        <w:t>第二十三条 其他</w:t>
      </w:r>
    </w:p>
    <w:p w14:paraId="63D9DEDE">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b/>
          <w:color w:val="auto"/>
          <w:sz w:val="24"/>
          <w:szCs w:val="24"/>
          <w:highlight w:val="none"/>
          <w:shd w:val="pct10" w:color="auto" w:fill="FFFFFF"/>
          <w:lang w:val="en-US" w:eastAsia="zh-CN"/>
        </w:rPr>
        <w:t>1</w:t>
      </w:r>
      <w:r>
        <w:rPr>
          <w:rFonts w:hint="eastAsia" w:ascii="宋体" w:hAnsi="宋体" w:cs="宋体"/>
          <w:color w:val="auto"/>
          <w:sz w:val="24"/>
          <w:szCs w:val="24"/>
          <w:highlight w:val="none"/>
        </w:rPr>
        <w:t>发包人要求承包人派专人留驻施工现场进行配合与解决有关问题时，承包人应无条件服从。</w:t>
      </w:r>
    </w:p>
    <w:p w14:paraId="35E607F3">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b/>
          <w:color w:val="auto"/>
          <w:sz w:val="24"/>
          <w:szCs w:val="24"/>
          <w:highlight w:val="none"/>
          <w:shd w:val="pct10" w:color="auto" w:fill="FFFFFF"/>
          <w:lang w:val="en-US" w:eastAsia="zh-CN"/>
        </w:rPr>
        <w:t>2</w:t>
      </w:r>
      <w:r>
        <w:rPr>
          <w:rFonts w:hint="eastAsia" w:ascii="宋体" w:hAnsi="宋体" w:cs="宋体"/>
          <w:color w:val="auto"/>
          <w:sz w:val="24"/>
          <w:szCs w:val="24"/>
          <w:highlight w:val="none"/>
        </w:rPr>
        <w:t>承包人为本合同项目所采用的国家或地方标准图，由承包人自费向有关出版部门购买。</w:t>
      </w:r>
    </w:p>
    <w:p w14:paraId="6AE5CCD3">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b/>
          <w:color w:val="auto"/>
          <w:sz w:val="24"/>
          <w:szCs w:val="24"/>
          <w:highlight w:val="none"/>
          <w:shd w:val="pct10" w:color="auto" w:fill="FFFFFF"/>
          <w:lang w:val="en-US" w:eastAsia="zh-CN"/>
        </w:rPr>
        <w:t>3</w:t>
      </w:r>
      <w:r>
        <w:rPr>
          <w:rFonts w:hint="eastAsia" w:ascii="宋体" w:hAnsi="宋体" w:cs="宋体"/>
          <w:color w:val="auto"/>
          <w:sz w:val="24"/>
          <w:szCs w:val="24"/>
          <w:highlight w:val="none"/>
        </w:rPr>
        <w:t>本工程设计资料及文件中，建筑材料、建筑构配件和设备，应当注明其规格、型号、性能等技术指标，承包人不得指定生产厂、供应商。发包人需要承包人的承包人员配合加工定货时，所需差旅费由发包人承担。</w:t>
      </w:r>
    </w:p>
    <w:p w14:paraId="63367550">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b/>
          <w:color w:val="auto"/>
          <w:sz w:val="24"/>
          <w:szCs w:val="24"/>
          <w:highlight w:val="none"/>
          <w:shd w:val="pct10" w:color="auto" w:fill="FFFFFF"/>
          <w:lang w:val="en-US" w:eastAsia="zh-CN"/>
        </w:rPr>
        <w:t>4</w:t>
      </w:r>
      <w:r>
        <w:rPr>
          <w:rFonts w:hint="eastAsia" w:ascii="宋体" w:hAnsi="宋体" w:cs="宋体"/>
          <w:color w:val="auto"/>
          <w:sz w:val="24"/>
          <w:szCs w:val="24"/>
          <w:highlight w:val="none"/>
        </w:rPr>
        <w:t>发包人委托设计配合引进项目的设计任务，从询价、对外谈判、国内外技术考察直至建成投产的各个阶段，应吸收承担有关设计任务的承包人参加。出国费用，除制装费外，差旅费用由发包人支付。</w:t>
      </w:r>
    </w:p>
    <w:p w14:paraId="240A44D9">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b/>
          <w:color w:val="auto"/>
          <w:sz w:val="24"/>
          <w:szCs w:val="24"/>
          <w:highlight w:val="none"/>
          <w:shd w:val="pct10" w:color="auto" w:fill="FFFFFF"/>
          <w:lang w:val="en-US" w:eastAsia="zh-CN"/>
        </w:rPr>
        <w:t>5</w:t>
      </w:r>
      <w:r>
        <w:rPr>
          <w:rFonts w:hint="eastAsia" w:ascii="宋体" w:hAnsi="宋体" w:cs="宋体"/>
          <w:color w:val="auto"/>
          <w:sz w:val="24"/>
          <w:szCs w:val="24"/>
          <w:highlight w:val="none"/>
        </w:rPr>
        <w:t>本合同经双方签字盖章后生效。</w:t>
      </w:r>
    </w:p>
    <w:p w14:paraId="360E85CA">
      <w:pPr>
        <w:wordWrap w:val="0"/>
        <w:topLinePunct/>
        <w:adjustRightInd w:val="0"/>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shd w:val="pct10" w:color="auto" w:fill="FFFFFF"/>
        </w:rPr>
        <w:t>23.</w:t>
      </w:r>
      <w:r>
        <w:rPr>
          <w:rFonts w:hint="eastAsia" w:ascii="宋体" w:hAnsi="宋体" w:cs="宋体"/>
          <w:b/>
          <w:color w:val="auto"/>
          <w:sz w:val="24"/>
          <w:szCs w:val="24"/>
          <w:highlight w:val="none"/>
          <w:shd w:val="pct10" w:color="auto" w:fill="FFFFFF"/>
          <w:lang w:val="en-US" w:eastAsia="zh-CN"/>
        </w:rPr>
        <w:t>6</w:t>
      </w:r>
      <w:r>
        <w:rPr>
          <w:rFonts w:hint="eastAsia" w:ascii="宋体" w:hAnsi="宋体" w:cs="宋体"/>
          <w:color w:val="auto"/>
          <w:sz w:val="24"/>
          <w:szCs w:val="24"/>
          <w:highlight w:val="none"/>
        </w:rPr>
        <w:t>本合同未尽事宜，双方可签订补充协议，有关协议及双方认可的来往电报、传真、会议纪要等，均为本合同组成部分，与本合同具有同等法律效力。</w:t>
      </w:r>
    </w:p>
    <w:p w14:paraId="4DDA4BBC">
      <w:pPr>
        <w:pStyle w:val="5"/>
        <w:rPr>
          <w:rFonts w:ascii="宋体" w:hAnsi="宋体" w:cs="宋体"/>
          <w:color w:val="auto"/>
          <w:sz w:val="24"/>
          <w:szCs w:val="24"/>
          <w:highlight w:val="none"/>
        </w:rPr>
      </w:pPr>
    </w:p>
    <w:p w14:paraId="688E1B4D">
      <w:pPr>
        <w:rPr>
          <w:rFonts w:ascii="宋体" w:hAnsi="宋体" w:cs="宋体"/>
          <w:color w:val="auto"/>
          <w:sz w:val="24"/>
          <w:szCs w:val="24"/>
          <w:highlight w:val="none"/>
        </w:rPr>
      </w:pPr>
    </w:p>
    <w:p w14:paraId="400F29AA">
      <w:pPr>
        <w:rPr>
          <w:color w:val="auto"/>
          <w:highlight w:val="none"/>
        </w:rPr>
      </w:pPr>
      <w:r>
        <w:rPr>
          <w:color w:val="auto"/>
          <w:highlight w:val="none"/>
        </w:rPr>
        <w:br w:type="page"/>
      </w:r>
    </w:p>
    <w:p w14:paraId="31C39651">
      <w:pPr>
        <w:pStyle w:val="2"/>
        <w:rPr>
          <w:color w:val="auto"/>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本页为签署页</w:t>
      </w:r>
      <w:r>
        <w:rPr>
          <w:rFonts w:hint="eastAsia" w:ascii="宋体" w:hAnsi="宋体" w:eastAsia="宋体" w:cs="宋体"/>
          <w:b w:val="0"/>
          <w:bCs w:val="0"/>
          <w:color w:val="auto"/>
          <w:sz w:val="24"/>
          <w:szCs w:val="24"/>
          <w:highlight w:val="none"/>
          <w:lang w:eastAsia="zh-CN"/>
        </w:rPr>
        <w:t>）</w:t>
      </w:r>
    </w:p>
    <w:tbl>
      <w:tblPr>
        <w:tblStyle w:val="8"/>
        <w:tblW w:w="0" w:type="auto"/>
        <w:tblInd w:w="0" w:type="dxa"/>
        <w:tblLayout w:type="fixed"/>
        <w:tblCellMar>
          <w:top w:w="0" w:type="dxa"/>
          <w:left w:w="108" w:type="dxa"/>
          <w:bottom w:w="0" w:type="dxa"/>
          <w:right w:w="108" w:type="dxa"/>
        </w:tblCellMar>
      </w:tblPr>
      <w:tblGrid>
        <w:gridCol w:w="1678"/>
        <w:gridCol w:w="2612"/>
        <w:gridCol w:w="1666"/>
        <w:gridCol w:w="2624"/>
      </w:tblGrid>
      <w:tr w14:paraId="158B6F95">
        <w:tblPrEx>
          <w:tblCellMar>
            <w:top w:w="0" w:type="dxa"/>
            <w:left w:w="108" w:type="dxa"/>
            <w:bottom w:w="0" w:type="dxa"/>
            <w:right w:w="108" w:type="dxa"/>
          </w:tblCellMar>
        </w:tblPrEx>
        <w:trPr>
          <w:trHeight w:val="758" w:hRule="atLeast"/>
        </w:trPr>
        <w:tc>
          <w:tcPr>
            <w:tcW w:w="1678" w:type="dxa"/>
            <w:noWrap w:val="0"/>
            <w:vAlign w:val="center"/>
          </w:tcPr>
          <w:p w14:paraId="51FAA893">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发包人：</w:t>
            </w:r>
          </w:p>
        </w:tc>
        <w:tc>
          <w:tcPr>
            <w:tcW w:w="2612" w:type="dxa"/>
            <w:noWrap w:val="0"/>
            <w:vAlign w:val="center"/>
          </w:tcPr>
          <w:p w14:paraId="7E2D45C9">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43C6214F">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承包人：</w:t>
            </w:r>
          </w:p>
        </w:tc>
        <w:tc>
          <w:tcPr>
            <w:tcW w:w="2624" w:type="dxa"/>
            <w:noWrap w:val="0"/>
            <w:vAlign w:val="center"/>
          </w:tcPr>
          <w:p w14:paraId="27093B42">
            <w:pPr>
              <w:widowControl/>
              <w:wordWrap w:val="0"/>
              <w:topLinePunct/>
              <w:adjustRightInd w:val="0"/>
              <w:snapToGrid w:val="0"/>
              <w:rPr>
                <w:rFonts w:ascii="宋体" w:hAnsi="宋体" w:cs="宋体"/>
                <w:color w:val="auto"/>
                <w:sz w:val="24"/>
                <w:szCs w:val="24"/>
                <w:highlight w:val="none"/>
              </w:rPr>
            </w:pPr>
          </w:p>
        </w:tc>
      </w:tr>
      <w:tr w14:paraId="685FB175">
        <w:tblPrEx>
          <w:tblCellMar>
            <w:top w:w="0" w:type="dxa"/>
            <w:left w:w="108" w:type="dxa"/>
            <w:bottom w:w="0" w:type="dxa"/>
            <w:right w:w="108" w:type="dxa"/>
          </w:tblCellMar>
        </w:tblPrEx>
        <w:trPr>
          <w:trHeight w:val="758" w:hRule="atLeast"/>
        </w:trPr>
        <w:tc>
          <w:tcPr>
            <w:tcW w:w="1678" w:type="dxa"/>
            <w:noWrap w:val="0"/>
            <w:vAlign w:val="center"/>
          </w:tcPr>
          <w:p w14:paraId="30FBBB06">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住 所：</w:t>
            </w:r>
          </w:p>
        </w:tc>
        <w:tc>
          <w:tcPr>
            <w:tcW w:w="2612" w:type="dxa"/>
            <w:noWrap w:val="0"/>
            <w:vAlign w:val="center"/>
          </w:tcPr>
          <w:p w14:paraId="0A01AB53">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0E50F0B6">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住 所：</w:t>
            </w:r>
          </w:p>
        </w:tc>
        <w:tc>
          <w:tcPr>
            <w:tcW w:w="2624" w:type="dxa"/>
            <w:noWrap w:val="0"/>
            <w:vAlign w:val="center"/>
          </w:tcPr>
          <w:p w14:paraId="6109B40C">
            <w:pPr>
              <w:widowControl/>
              <w:wordWrap w:val="0"/>
              <w:topLinePunct/>
              <w:adjustRightInd w:val="0"/>
              <w:snapToGrid w:val="0"/>
              <w:rPr>
                <w:rFonts w:ascii="宋体" w:hAnsi="宋体" w:cs="宋体"/>
                <w:color w:val="auto"/>
                <w:sz w:val="24"/>
                <w:szCs w:val="24"/>
                <w:highlight w:val="none"/>
              </w:rPr>
            </w:pPr>
          </w:p>
        </w:tc>
      </w:tr>
      <w:tr w14:paraId="1F25D283">
        <w:tblPrEx>
          <w:tblCellMar>
            <w:top w:w="0" w:type="dxa"/>
            <w:left w:w="108" w:type="dxa"/>
            <w:bottom w:w="0" w:type="dxa"/>
            <w:right w:w="108" w:type="dxa"/>
          </w:tblCellMar>
        </w:tblPrEx>
        <w:trPr>
          <w:trHeight w:val="758" w:hRule="atLeast"/>
        </w:trPr>
        <w:tc>
          <w:tcPr>
            <w:tcW w:w="1678" w:type="dxa"/>
            <w:noWrap w:val="0"/>
            <w:vAlign w:val="center"/>
          </w:tcPr>
          <w:p w14:paraId="6400FDCC">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法定代表人：</w:t>
            </w:r>
          </w:p>
        </w:tc>
        <w:tc>
          <w:tcPr>
            <w:tcW w:w="2612" w:type="dxa"/>
            <w:noWrap w:val="0"/>
            <w:vAlign w:val="center"/>
          </w:tcPr>
          <w:p w14:paraId="0D3C37C9">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18DA7DD2">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法定代表人：</w:t>
            </w:r>
          </w:p>
        </w:tc>
        <w:tc>
          <w:tcPr>
            <w:tcW w:w="2624" w:type="dxa"/>
            <w:noWrap w:val="0"/>
            <w:vAlign w:val="center"/>
          </w:tcPr>
          <w:p w14:paraId="2067AADD">
            <w:pPr>
              <w:widowControl/>
              <w:wordWrap w:val="0"/>
              <w:topLinePunct/>
              <w:adjustRightInd w:val="0"/>
              <w:snapToGrid w:val="0"/>
              <w:rPr>
                <w:rFonts w:ascii="宋体" w:hAnsi="宋体" w:cs="宋体"/>
                <w:color w:val="auto"/>
                <w:sz w:val="24"/>
                <w:szCs w:val="24"/>
                <w:highlight w:val="none"/>
              </w:rPr>
            </w:pPr>
          </w:p>
        </w:tc>
      </w:tr>
      <w:tr w14:paraId="72CC86D3">
        <w:tblPrEx>
          <w:tblCellMar>
            <w:top w:w="0" w:type="dxa"/>
            <w:left w:w="108" w:type="dxa"/>
            <w:bottom w:w="0" w:type="dxa"/>
            <w:right w:w="108" w:type="dxa"/>
          </w:tblCellMar>
        </w:tblPrEx>
        <w:trPr>
          <w:trHeight w:val="758" w:hRule="atLeast"/>
        </w:trPr>
        <w:tc>
          <w:tcPr>
            <w:tcW w:w="1678" w:type="dxa"/>
            <w:noWrap w:val="0"/>
            <w:vAlign w:val="center"/>
          </w:tcPr>
          <w:p w14:paraId="2D174FD9">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委托代理人：</w:t>
            </w:r>
          </w:p>
        </w:tc>
        <w:tc>
          <w:tcPr>
            <w:tcW w:w="2612" w:type="dxa"/>
            <w:noWrap w:val="0"/>
            <w:vAlign w:val="center"/>
          </w:tcPr>
          <w:p w14:paraId="179A0F43">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3FC2D7D9">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委托代理人：</w:t>
            </w:r>
          </w:p>
        </w:tc>
        <w:tc>
          <w:tcPr>
            <w:tcW w:w="2624" w:type="dxa"/>
            <w:noWrap w:val="0"/>
            <w:vAlign w:val="center"/>
          </w:tcPr>
          <w:p w14:paraId="6C485E03">
            <w:pPr>
              <w:widowControl/>
              <w:wordWrap w:val="0"/>
              <w:topLinePunct/>
              <w:adjustRightInd w:val="0"/>
              <w:snapToGrid w:val="0"/>
              <w:rPr>
                <w:rFonts w:ascii="宋体" w:hAnsi="宋体" w:cs="宋体"/>
                <w:color w:val="auto"/>
                <w:sz w:val="24"/>
                <w:szCs w:val="24"/>
                <w:highlight w:val="none"/>
              </w:rPr>
            </w:pPr>
          </w:p>
        </w:tc>
      </w:tr>
      <w:tr w14:paraId="413BD082">
        <w:tblPrEx>
          <w:tblCellMar>
            <w:top w:w="0" w:type="dxa"/>
            <w:left w:w="108" w:type="dxa"/>
            <w:bottom w:w="0" w:type="dxa"/>
            <w:right w:w="108" w:type="dxa"/>
          </w:tblCellMar>
        </w:tblPrEx>
        <w:trPr>
          <w:trHeight w:val="758" w:hRule="atLeast"/>
        </w:trPr>
        <w:tc>
          <w:tcPr>
            <w:tcW w:w="1678" w:type="dxa"/>
            <w:noWrap w:val="0"/>
            <w:vAlign w:val="center"/>
          </w:tcPr>
          <w:p w14:paraId="662C29F5">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电    话：</w:t>
            </w:r>
          </w:p>
        </w:tc>
        <w:tc>
          <w:tcPr>
            <w:tcW w:w="2612" w:type="dxa"/>
            <w:noWrap w:val="0"/>
            <w:vAlign w:val="center"/>
          </w:tcPr>
          <w:p w14:paraId="1586AD65">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390C8DD7">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电    话：</w:t>
            </w:r>
          </w:p>
        </w:tc>
        <w:tc>
          <w:tcPr>
            <w:tcW w:w="2624" w:type="dxa"/>
            <w:noWrap w:val="0"/>
            <w:vAlign w:val="center"/>
          </w:tcPr>
          <w:p w14:paraId="0D9F8D47">
            <w:pPr>
              <w:widowControl/>
              <w:wordWrap w:val="0"/>
              <w:topLinePunct/>
              <w:adjustRightInd w:val="0"/>
              <w:snapToGrid w:val="0"/>
              <w:rPr>
                <w:rFonts w:ascii="宋体" w:hAnsi="宋体" w:cs="宋体"/>
                <w:color w:val="auto"/>
                <w:sz w:val="24"/>
                <w:szCs w:val="24"/>
                <w:highlight w:val="none"/>
              </w:rPr>
            </w:pPr>
          </w:p>
        </w:tc>
      </w:tr>
      <w:tr w14:paraId="58818C8D">
        <w:tblPrEx>
          <w:tblCellMar>
            <w:top w:w="0" w:type="dxa"/>
            <w:left w:w="108" w:type="dxa"/>
            <w:bottom w:w="0" w:type="dxa"/>
            <w:right w:w="108" w:type="dxa"/>
          </w:tblCellMar>
        </w:tblPrEx>
        <w:trPr>
          <w:trHeight w:val="758" w:hRule="atLeast"/>
        </w:trPr>
        <w:tc>
          <w:tcPr>
            <w:tcW w:w="1678" w:type="dxa"/>
            <w:noWrap w:val="0"/>
            <w:vAlign w:val="center"/>
          </w:tcPr>
          <w:p w14:paraId="70250F95">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传    真：</w:t>
            </w:r>
          </w:p>
          <w:p w14:paraId="60FAA4B8">
            <w:pPr>
              <w:spacing w:line="440" w:lineRule="exact"/>
              <w:rPr>
                <w:rFonts w:ascii="宋体" w:hAnsi="宋体" w:cs="宋体"/>
                <w:color w:val="auto"/>
                <w:sz w:val="24"/>
                <w:szCs w:val="24"/>
                <w:highlight w:val="none"/>
              </w:rPr>
            </w:pPr>
          </w:p>
        </w:tc>
        <w:tc>
          <w:tcPr>
            <w:tcW w:w="2612" w:type="dxa"/>
            <w:noWrap w:val="0"/>
            <w:vAlign w:val="center"/>
          </w:tcPr>
          <w:p w14:paraId="7D93E240">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72F2EA45">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传    真：</w:t>
            </w:r>
          </w:p>
        </w:tc>
        <w:tc>
          <w:tcPr>
            <w:tcW w:w="2624" w:type="dxa"/>
            <w:noWrap w:val="0"/>
            <w:vAlign w:val="center"/>
          </w:tcPr>
          <w:p w14:paraId="4B505288">
            <w:pPr>
              <w:widowControl/>
              <w:wordWrap w:val="0"/>
              <w:topLinePunct/>
              <w:adjustRightInd w:val="0"/>
              <w:snapToGrid w:val="0"/>
              <w:rPr>
                <w:rFonts w:ascii="宋体" w:hAnsi="宋体" w:cs="宋体"/>
                <w:color w:val="auto"/>
                <w:sz w:val="24"/>
                <w:szCs w:val="24"/>
                <w:highlight w:val="none"/>
              </w:rPr>
            </w:pPr>
          </w:p>
        </w:tc>
      </w:tr>
      <w:tr w14:paraId="6A1DD1B1">
        <w:tblPrEx>
          <w:tblCellMar>
            <w:top w:w="0" w:type="dxa"/>
            <w:left w:w="108" w:type="dxa"/>
            <w:bottom w:w="0" w:type="dxa"/>
            <w:right w:w="108" w:type="dxa"/>
          </w:tblCellMar>
        </w:tblPrEx>
        <w:trPr>
          <w:trHeight w:val="758" w:hRule="atLeast"/>
        </w:trPr>
        <w:tc>
          <w:tcPr>
            <w:tcW w:w="1678" w:type="dxa"/>
            <w:noWrap w:val="0"/>
            <w:vAlign w:val="center"/>
          </w:tcPr>
          <w:p w14:paraId="339CA47E">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开户银行：</w:t>
            </w:r>
          </w:p>
        </w:tc>
        <w:tc>
          <w:tcPr>
            <w:tcW w:w="2612" w:type="dxa"/>
            <w:noWrap w:val="0"/>
            <w:vAlign w:val="center"/>
          </w:tcPr>
          <w:p w14:paraId="63E21D8D">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655B2A75">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开户银行：</w:t>
            </w:r>
          </w:p>
        </w:tc>
        <w:tc>
          <w:tcPr>
            <w:tcW w:w="2624" w:type="dxa"/>
            <w:noWrap w:val="0"/>
            <w:vAlign w:val="center"/>
          </w:tcPr>
          <w:p w14:paraId="65E03D9F">
            <w:pPr>
              <w:widowControl/>
              <w:wordWrap w:val="0"/>
              <w:topLinePunct/>
              <w:adjustRightInd w:val="0"/>
              <w:snapToGrid w:val="0"/>
              <w:rPr>
                <w:rFonts w:ascii="宋体" w:hAnsi="宋体" w:cs="宋体"/>
                <w:color w:val="auto"/>
                <w:sz w:val="24"/>
                <w:szCs w:val="24"/>
                <w:highlight w:val="none"/>
              </w:rPr>
            </w:pPr>
          </w:p>
        </w:tc>
      </w:tr>
      <w:tr w14:paraId="6BB43220">
        <w:tblPrEx>
          <w:tblCellMar>
            <w:top w:w="0" w:type="dxa"/>
            <w:left w:w="108" w:type="dxa"/>
            <w:bottom w:w="0" w:type="dxa"/>
            <w:right w:w="108" w:type="dxa"/>
          </w:tblCellMar>
        </w:tblPrEx>
        <w:trPr>
          <w:trHeight w:val="758" w:hRule="atLeast"/>
        </w:trPr>
        <w:tc>
          <w:tcPr>
            <w:tcW w:w="1678" w:type="dxa"/>
            <w:noWrap w:val="0"/>
            <w:vAlign w:val="center"/>
          </w:tcPr>
          <w:p w14:paraId="4D4EE643">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账    号：</w:t>
            </w:r>
          </w:p>
        </w:tc>
        <w:tc>
          <w:tcPr>
            <w:tcW w:w="2612" w:type="dxa"/>
            <w:noWrap w:val="0"/>
            <w:vAlign w:val="center"/>
          </w:tcPr>
          <w:p w14:paraId="0AF6A532">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38CF68D9">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账    号：</w:t>
            </w:r>
          </w:p>
        </w:tc>
        <w:tc>
          <w:tcPr>
            <w:tcW w:w="2624" w:type="dxa"/>
            <w:noWrap w:val="0"/>
            <w:vAlign w:val="center"/>
          </w:tcPr>
          <w:p w14:paraId="6CEE4C98">
            <w:pPr>
              <w:widowControl/>
              <w:wordWrap w:val="0"/>
              <w:topLinePunct/>
              <w:adjustRightInd w:val="0"/>
              <w:snapToGrid w:val="0"/>
              <w:rPr>
                <w:rFonts w:ascii="宋体" w:hAnsi="宋体" w:cs="宋体"/>
                <w:color w:val="auto"/>
                <w:sz w:val="24"/>
                <w:szCs w:val="24"/>
                <w:highlight w:val="none"/>
              </w:rPr>
            </w:pPr>
          </w:p>
        </w:tc>
      </w:tr>
      <w:tr w14:paraId="73F90288">
        <w:tblPrEx>
          <w:tblCellMar>
            <w:top w:w="0" w:type="dxa"/>
            <w:left w:w="108" w:type="dxa"/>
            <w:bottom w:w="0" w:type="dxa"/>
            <w:right w:w="108" w:type="dxa"/>
          </w:tblCellMar>
        </w:tblPrEx>
        <w:trPr>
          <w:trHeight w:val="758" w:hRule="atLeast"/>
        </w:trPr>
        <w:tc>
          <w:tcPr>
            <w:tcW w:w="1678" w:type="dxa"/>
            <w:noWrap w:val="0"/>
            <w:vAlign w:val="center"/>
          </w:tcPr>
          <w:p w14:paraId="6A4F8288">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邮政编码：</w:t>
            </w:r>
          </w:p>
        </w:tc>
        <w:tc>
          <w:tcPr>
            <w:tcW w:w="2612" w:type="dxa"/>
            <w:noWrap w:val="0"/>
            <w:vAlign w:val="center"/>
          </w:tcPr>
          <w:p w14:paraId="76060104">
            <w:pPr>
              <w:wordWrap w:val="0"/>
              <w:topLinePunct/>
              <w:adjustRightInd w:val="0"/>
              <w:snapToGrid w:val="0"/>
              <w:spacing w:line="440" w:lineRule="exact"/>
              <w:rPr>
                <w:rFonts w:ascii="宋体" w:hAnsi="宋体" w:cs="宋体"/>
                <w:color w:val="auto"/>
                <w:sz w:val="24"/>
                <w:szCs w:val="24"/>
                <w:highlight w:val="none"/>
              </w:rPr>
            </w:pPr>
          </w:p>
        </w:tc>
        <w:tc>
          <w:tcPr>
            <w:tcW w:w="1666" w:type="dxa"/>
            <w:noWrap w:val="0"/>
            <w:vAlign w:val="center"/>
          </w:tcPr>
          <w:p w14:paraId="03A9CF73">
            <w:pPr>
              <w:wordWrap w:val="0"/>
              <w:topLinePunct/>
              <w:adjustRightInd w:val="0"/>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邮政编码：</w:t>
            </w:r>
          </w:p>
        </w:tc>
        <w:tc>
          <w:tcPr>
            <w:tcW w:w="2624" w:type="dxa"/>
            <w:noWrap w:val="0"/>
            <w:vAlign w:val="center"/>
          </w:tcPr>
          <w:p w14:paraId="7EEC3334">
            <w:pPr>
              <w:widowControl/>
              <w:wordWrap w:val="0"/>
              <w:topLinePunct/>
              <w:adjustRightInd w:val="0"/>
              <w:snapToGrid w:val="0"/>
              <w:rPr>
                <w:rFonts w:ascii="宋体" w:hAnsi="宋体" w:cs="宋体"/>
                <w:color w:val="auto"/>
                <w:sz w:val="24"/>
                <w:szCs w:val="24"/>
                <w:highlight w:val="none"/>
              </w:rPr>
            </w:pPr>
          </w:p>
        </w:tc>
      </w:tr>
    </w:tbl>
    <w:p w14:paraId="0825AFB1">
      <w:pPr>
        <w:wordWrap w:val="0"/>
        <w:topLinePunct/>
        <w:adjustRightInd w:val="0"/>
        <w:snapToGrid w:val="0"/>
        <w:spacing w:line="440" w:lineRule="exact"/>
        <w:rPr>
          <w:rFonts w:ascii="宋体" w:hAnsi="宋体" w:cs="宋体"/>
          <w:color w:val="auto"/>
          <w:sz w:val="24"/>
          <w:szCs w:val="24"/>
          <w:highlight w:val="none"/>
        </w:rPr>
      </w:pPr>
    </w:p>
    <w:p w14:paraId="2D1429C1">
      <w:pPr>
        <w:wordWrap w:val="0"/>
        <w:topLinePunct/>
        <w:adjustRightInd w:val="0"/>
        <w:snapToGrid w:val="0"/>
        <w:spacing w:line="440" w:lineRule="exact"/>
        <w:rPr>
          <w:rFonts w:ascii="宋体" w:hAnsi="宋体" w:cs="宋体"/>
          <w:color w:val="auto"/>
          <w:sz w:val="22"/>
          <w:highlight w:val="none"/>
        </w:rPr>
      </w:pPr>
      <w:r>
        <w:rPr>
          <w:rFonts w:hint="eastAsia" w:ascii="宋体" w:hAnsi="宋体" w:cs="宋体"/>
          <w:color w:val="auto"/>
          <w:sz w:val="24"/>
          <w:szCs w:val="24"/>
          <w:highlight w:val="none"/>
        </w:rPr>
        <w:t>订立时间：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CD9DA98">
      <w:pPr>
        <w:spacing w:line="480" w:lineRule="exact"/>
        <w:jc w:val="center"/>
        <w:rPr>
          <w:rFonts w:ascii="宋体" w:hAnsi="宋体"/>
          <w:b/>
          <w:bCs/>
          <w:color w:val="auto"/>
          <w:sz w:val="24"/>
          <w:szCs w:val="24"/>
          <w:highlight w:val="none"/>
        </w:rPr>
      </w:pPr>
      <w:r>
        <w:rPr>
          <w:rFonts w:ascii="宋体" w:hAnsi="宋体"/>
          <w:b/>
          <w:bCs/>
          <w:color w:val="auto"/>
          <w:sz w:val="24"/>
          <w:szCs w:val="24"/>
          <w:highlight w:val="none"/>
        </w:rPr>
        <w:br w:type="page"/>
      </w:r>
    </w:p>
    <w:p w14:paraId="4CF3DC8F">
      <w:pPr>
        <w:spacing w:line="440" w:lineRule="exact"/>
        <w:jc w:val="center"/>
        <w:rPr>
          <w:rFonts w:ascii="宋体" w:hAnsi="宋体" w:cs="宋体"/>
          <w:color w:val="auto"/>
          <w:sz w:val="32"/>
          <w:szCs w:val="32"/>
          <w:highlight w:val="none"/>
        </w:rPr>
      </w:pPr>
      <w:r>
        <w:rPr>
          <w:rFonts w:hint="eastAsia" w:ascii="宋体" w:hAnsi="宋体" w:cs="宋体"/>
          <w:b/>
          <w:bCs/>
          <w:color w:val="auto"/>
          <w:sz w:val="32"/>
          <w:szCs w:val="32"/>
          <w:highlight w:val="none"/>
        </w:rPr>
        <w:t>第四部分  施工合同</w:t>
      </w:r>
    </w:p>
    <w:p w14:paraId="37CA45EA">
      <w:pPr>
        <w:spacing w:line="440" w:lineRule="exact"/>
        <w:rPr>
          <w:rFonts w:ascii="宋体" w:hAnsi="宋体" w:cs="宋体"/>
          <w:color w:val="auto"/>
          <w:sz w:val="28"/>
          <w:szCs w:val="28"/>
          <w:highlight w:val="none"/>
        </w:rPr>
      </w:pPr>
    </w:p>
    <w:p w14:paraId="3B2F4E47">
      <w:pPr>
        <w:spacing w:line="440" w:lineRule="exact"/>
        <w:jc w:val="center"/>
        <w:rPr>
          <w:rFonts w:ascii="宋体" w:hAnsi="宋体" w:cs="宋体"/>
          <w:color w:val="auto"/>
          <w:sz w:val="28"/>
          <w:szCs w:val="28"/>
          <w:highlight w:val="none"/>
        </w:rPr>
      </w:pPr>
    </w:p>
    <w:p w14:paraId="5DCF6A74">
      <w:pPr>
        <w:spacing w:line="440" w:lineRule="exact"/>
        <w:rPr>
          <w:rFonts w:ascii="宋体" w:hAnsi="宋体" w:cs="宋体"/>
          <w:color w:val="auto"/>
          <w:sz w:val="24"/>
          <w:szCs w:val="24"/>
          <w:highlight w:val="none"/>
        </w:rPr>
      </w:pPr>
    </w:p>
    <w:p w14:paraId="2F9FE509">
      <w:pPr>
        <w:spacing w:line="440" w:lineRule="exact"/>
        <w:rPr>
          <w:rFonts w:ascii="宋体" w:hAnsi="宋体" w:cs="宋体"/>
          <w:color w:val="auto"/>
          <w:sz w:val="24"/>
          <w:szCs w:val="24"/>
          <w:highlight w:val="none"/>
        </w:rPr>
      </w:pPr>
    </w:p>
    <w:p w14:paraId="1429C705">
      <w:pPr>
        <w:spacing w:line="440" w:lineRule="exact"/>
        <w:rPr>
          <w:rFonts w:ascii="宋体" w:hAnsi="宋体" w:cs="宋体"/>
          <w:color w:val="auto"/>
          <w:sz w:val="24"/>
          <w:szCs w:val="24"/>
          <w:highlight w:val="none"/>
        </w:rPr>
      </w:pPr>
    </w:p>
    <w:p w14:paraId="7B3F46BB">
      <w:pPr>
        <w:spacing w:line="440" w:lineRule="exact"/>
        <w:rPr>
          <w:rFonts w:ascii="宋体" w:hAnsi="宋体" w:cs="宋体"/>
          <w:color w:val="auto"/>
          <w:sz w:val="24"/>
          <w:szCs w:val="24"/>
          <w:highlight w:val="none"/>
        </w:rPr>
      </w:pPr>
    </w:p>
    <w:tbl>
      <w:tblPr>
        <w:tblStyle w:val="8"/>
        <w:tblW w:w="0" w:type="auto"/>
        <w:jc w:val="center"/>
        <w:tblLayout w:type="fixed"/>
        <w:tblCellMar>
          <w:top w:w="0" w:type="dxa"/>
          <w:left w:w="108" w:type="dxa"/>
          <w:bottom w:w="0" w:type="dxa"/>
          <w:right w:w="108" w:type="dxa"/>
        </w:tblCellMar>
      </w:tblPr>
      <w:tblGrid>
        <w:gridCol w:w="2093"/>
        <w:gridCol w:w="6253"/>
      </w:tblGrid>
      <w:tr w14:paraId="0E33FE7A">
        <w:tblPrEx>
          <w:tblCellMar>
            <w:top w:w="0" w:type="dxa"/>
            <w:left w:w="108" w:type="dxa"/>
            <w:bottom w:w="0" w:type="dxa"/>
            <w:right w:w="108" w:type="dxa"/>
          </w:tblCellMar>
        </w:tblPrEx>
        <w:trPr>
          <w:trHeight w:val="1134" w:hRule="atLeast"/>
          <w:jc w:val="center"/>
        </w:trPr>
        <w:tc>
          <w:tcPr>
            <w:tcW w:w="2093" w:type="dxa"/>
            <w:noWrap w:val="0"/>
            <w:vAlign w:val="center"/>
          </w:tcPr>
          <w:p w14:paraId="0121EA7B">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rPr>
              <w:t>工程名称：</w:t>
            </w:r>
          </w:p>
        </w:tc>
        <w:tc>
          <w:tcPr>
            <w:tcW w:w="6253" w:type="dxa"/>
            <w:noWrap w:val="0"/>
            <w:vAlign w:val="center"/>
          </w:tcPr>
          <w:p w14:paraId="6D7FB6C7">
            <w:pPr>
              <w:snapToGrid w:val="0"/>
              <w:spacing w:line="440" w:lineRule="exact"/>
              <w:ind w:right="-63" w:rightChars="-30"/>
              <w:rPr>
                <w:rFonts w:hint="default" w:ascii="宋体" w:hAnsi="宋体" w:cs="宋体"/>
                <w:color w:val="auto"/>
                <w:sz w:val="24"/>
                <w:szCs w:val="24"/>
                <w:highlight w:val="none"/>
                <w:u w:val="single"/>
                <w:lang w:val="en-US"/>
              </w:rPr>
            </w:pPr>
            <w:r>
              <w:rPr>
                <w:rFonts w:hint="eastAsia" w:ascii="宋体" w:hAnsi="宋体" w:cs="宋体"/>
                <w:color w:val="auto"/>
                <w:sz w:val="24"/>
                <w:szCs w:val="24"/>
                <w:highlight w:val="none"/>
                <w:u w:val="single"/>
                <w:lang w:val="en-US" w:eastAsia="zh-CN"/>
              </w:rPr>
              <w:t xml:space="preserve">                                            </w:t>
            </w:r>
          </w:p>
        </w:tc>
      </w:tr>
      <w:tr w14:paraId="21AB3EEE">
        <w:tblPrEx>
          <w:tblCellMar>
            <w:top w:w="0" w:type="dxa"/>
            <w:left w:w="108" w:type="dxa"/>
            <w:bottom w:w="0" w:type="dxa"/>
            <w:right w:w="108" w:type="dxa"/>
          </w:tblCellMar>
        </w:tblPrEx>
        <w:trPr>
          <w:trHeight w:val="1134" w:hRule="atLeast"/>
          <w:jc w:val="center"/>
        </w:trPr>
        <w:tc>
          <w:tcPr>
            <w:tcW w:w="2093" w:type="dxa"/>
            <w:noWrap w:val="0"/>
            <w:vAlign w:val="center"/>
          </w:tcPr>
          <w:p w14:paraId="0C5A3C08">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工程地点:  </w:t>
            </w:r>
          </w:p>
        </w:tc>
        <w:tc>
          <w:tcPr>
            <w:tcW w:w="6253" w:type="dxa"/>
            <w:noWrap w:val="0"/>
            <w:vAlign w:val="center"/>
          </w:tcPr>
          <w:p w14:paraId="22372AAE">
            <w:pPr>
              <w:wordWrap w:val="0"/>
              <w:topLinePunct/>
              <w:adjustRightInd w:val="0"/>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61E73A04">
        <w:tblPrEx>
          <w:tblCellMar>
            <w:top w:w="0" w:type="dxa"/>
            <w:left w:w="108" w:type="dxa"/>
            <w:bottom w:w="0" w:type="dxa"/>
            <w:right w:w="108" w:type="dxa"/>
          </w:tblCellMar>
        </w:tblPrEx>
        <w:trPr>
          <w:trHeight w:val="1134" w:hRule="atLeast"/>
          <w:jc w:val="center"/>
        </w:trPr>
        <w:tc>
          <w:tcPr>
            <w:tcW w:w="2093" w:type="dxa"/>
            <w:noWrap w:val="0"/>
            <w:vAlign w:val="center"/>
          </w:tcPr>
          <w:p w14:paraId="46FC88F9">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rPr>
              <w:t>发包人：</w:t>
            </w:r>
          </w:p>
        </w:tc>
        <w:tc>
          <w:tcPr>
            <w:tcW w:w="6253" w:type="dxa"/>
            <w:noWrap w:val="0"/>
            <w:vAlign w:val="center"/>
          </w:tcPr>
          <w:p w14:paraId="16D86F56">
            <w:pPr>
              <w:wordWrap w:val="0"/>
              <w:topLinePunct/>
              <w:adjustRightInd w:val="0"/>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r w14:paraId="452C4E81">
        <w:tblPrEx>
          <w:tblCellMar>
            <w:top w:w="0" w:type="dxa"/>
            <w:left w:w="108" w:type="dxa"/>
            <w:bottom w:w="0" w:type="dxa"/>
            <w:right w:w="108" w:type="dxa"/>
          </w:tblCellMar>
        </w:tblPrEx>
        <w:trPr>
          <w:trHeight w:val="1134" w:hRule="atLeast"/>
          <w:jc w:val="center"/>
        </w:trPr>
        <w:tc>
          <w:tcPr>
            <w:tcW w:w="2093" w:type="dxa"/>
            <w:noWrap w:val="0"/>
            <w:vAlign w:val="center"/>
          </w:tcPr>
          <w:p w14:paraId="4471226F">
            <w:pPr>
              <w:spacing w:line="440" w:lineRule="exact"/>
              <w:rPr>
                <w:rFonts w:ascii="宋体" w:hAnsi="宋体" w:cs="宋体"/>
                <w:color w:val="auto"/>
                <w:sz w:val="28"/>
                <w:szCs w:val="28"/>
                <w:highlight w:val="none"/>
              </w:rPr>
            </w:pPr>
            <w:r>
              <w:rPr>
                <w:rFonts w:hint="eastAsia" w:ascii="宋体" w:hAnsi="宋体" w:cs="宋体"/>
                <w:color w:val="auto"/>
                <w:sz w:val="28"/>
                <w:szCs w:val="28"/>
                <w:highlight w:val="none"/>
              </w:rPr>
              <w:t>承包人：</w:t>
            </w:r>
          </w:p>
        </w:tc>
        <w:tc>
          <w:tcPr>
            <w:tcW w:w="6253" w:type="dxa"/>
            <w:noWrap w:val="0"/>
            <w:vAlign w:val="center"/>
          </w:tcPr>
          <w:tbl>
            <w:tblPr>
              <w:tblStyle w:val="8"/>
              <w:tblW w:w="0" w:type="auto"/>
              <w:jc w:val="center"/>
              <w:tblLayout w:type="fixed"/>
              <w:tblCellMar>
                <w:top w:w="0" w:type="dxa"/>
                <w:left w:w="108" w:type="dxa"/>
                <w:bottom w:w="0" w:type="dxa"/>
                <w:right w:w="108" w:type="dxa"/>
              </w:tblCellMar>
            </w:tblPr>
            <w:tblGrid>
              <w:gridCol w:w="6122"/>
            </w:tblGrid>
            <w:tr w14:paraId="7DEB44CF">
              <w:tblPrEx>
                <w:tblCellMar>
                  <w:top w:w="0" w:type="dxa"/>
                  <w:left w:w="108" w:type="dxa"/>
                  <w:bottom w:w="0" w:type="dxa"/>
                  <w:right w:w="108" w:type="dxa"/>
                </w:tblCellMar>
              </w:tblPrEx>
              <w:trPr>
                <w:trHeight w:val="1134" w:hRule="atLeast"/>
                <w:jc w:val="center"/>
              </w:trPr>
              <w:tc>
                <w:tcPr>
                  <w:tcW w:w="6122" w:type="dxa"/>
                  <w:noWrap w:val="0"/>
                  <w:vAlign w:val="center"/>
                </w:tcPr>
                <w:p w14:paraId="43A56995">
                  <w:pPr>
                    <w:wordWrap w:val="0"/>
                    <w:topLinePunct/>
                    <w:adjustRightInd w:val="0"/>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tc>
            </w:tr>
          </w:tbl>
          <w:p w14:paraId="5C6B7E5D">
            <w:pPr>
              <w:wordWrap w:val="0"/>
              <w:topLinePunct/>
              <w:adjustRightInd w:val="0"/>
              <w:snapToGrid w:val="0"/>
              <w:spacing w:line="440" w:lineRule="exact"/>
              <w:rPr>
                <w:rFonts w:ascii="宋体" w:hAnsi="宋体" w:cs="宋体"/>
                <w:color w:val="auto"/>
                <w:sz w:val="24"/>
                <w:szCs w:val="24"/>
                <w:highlight w:val="none"/>
              </w:rPr>
            </w:pPr>
          </w:p>
        </w:tc>
      </w:tr>
    </w:tbl>
    <w:p w14:paraId="2CA21B1E">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637BD144">
      <w:pPr>
        <w:spacing w:line="440" w:lineRule="exact"/>
        <w:jc w:val="center"/>
        <w:rPr>
          <w:rFonts w:ascii="宋体" w:hAnsi="宋体" w:cs="宋体"/>
          <w:color w:val="auto"/>
          <w:sz w:val="24"/>
          <w:szCs w:val="24"/>
          <w:highlight w:val="none"/>
        </w:rPr>
      </w:pPr>
    </w:p>
    <w:p w14:paraId="4B013A9E">
      <w:pPr>
        <w:spacing w:line="440" w:lineRule="exact"/>
        <w:jc w:val="center"/>
        <w:rPr>
          <w:rFonts w:ascii="宋体" w:hAnsi="宋体" w:cs="宋体"/>
          <w:color w:val="auto"/>
          <w:sz w:val="24"/>
          <w:szCs w:val="24"/>
          <w:highlight w:val="none"/>
        </w:rPr>
      </w:pPr>
    </w:p>
    <w:p w14:paraId="424487E1">
      <w:pPr>
        <w:spacing w:line="440" w:lineRule="exact"/>
        <w:jc w:val="center"/>
        <w:rPr>
          <w:rFonts w:ascii="宋体" w:hAnsi="宋体" w:cs="宋体"/>
          <w:color w:val="auto"/>
          <w:sz w:val="24"/>
          <w:szCs w:val="24"/>
          <w:highlight w:val="none"/>
        </w:rPr>
      </w:pPr>
    </w:p>
    <w:p w14:paraId="39273CFC">
      <w:pPr>
        <w:spacing w:line="440" w:lineRule="exact"/>
        <w:jc w:val="center"/>
        <w:rPr>
          <w:rFonts w:ascii="宋体" w:hAnsi="宋体" w:cs="宋体"/>
          <w:color w:val="auto"/>
          <w:sz w:val="24"/>
          <w:szCs w:val="24"/>
          <w:highlight w:val="none"/>
        </w:rPr>
      </w:pPr>
    </w:p>
    <w:p w14:paraId="2CD9DE48">
      <w:pPr>
        <w:spacing w:line="440" w:lineRule="exact"/>
        <w:jc w:val="center"/>
        <w:rPr>
          <w:rFonts w:ascii="宋体" w:hAnsi="宋体" w:cs="宋体"/>
          <w:color w:val="auto"/>
          <w:sz w:val="24"/>
          <w:szCs w:val="24"/>
          <w:highlight w:val="none"/>
        </w:rPr>
      </w:pPr>
    </w:p>
    <w:p w14:paraId="788FE8E9">
      <w:pPr>
        <w:spacing w:line="440" w:lineRule="exact"/>
        <w:jc w:val="center"/>
        <w:rPr>
          <w:rFonts w:ascii="宋体" w:hAnsi="宋体" w:cs="宋体"/>
          <w:color w:val="auto"/>
          <w:sz w:val="24"/>
          <w:szCs w:val="24"/>
          <w:highlight w:val="none"/>
        </w:rPr>
      </w:pPr>
    </w:p>
    <w:p w14:paraId="3D4C98CD">
      <w:pPr>
        <w:snapToGrid w:val="0"/>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0C36F197">
      <w:pPr>
        <w:snapToGrid w:val="0"/>
        <w:spacing w:line="440" w:lineRule="exact"/>
        <w:jc w:val="center"/>
        <w:rPr>
          <w:rFonts w:ascii="宋体" w:hAnsi="宋体"/>
          <w:b/>
          <w:bCs/>
          <w:color w:val="auto"/>
          <w:sz w:val="24"/>
          <w:highlight w:val="none"/>
        </w:rPr>
      </w:pPr>
      <w:r>
        <w:rPr>
          <w:rFonts w:hint="eastAsia" w:ascii="宋体" w:hAnsi="宋体"/>
          <w:b/>
          <w:color w:val="auto"/>
          <w:sz w:val="24"/>
          <w:highlight w:val="none"/>
        </w:rPr>
        <w:t>第一部分</w:t>
      </w:r>
      <w:r>
        <w:rPr>
          <w:rFonts w:ascii="宋体" w:hAnsi="宋体"/>
          <w:b/>
          <w:color w:val="auto"/>
          <w:sz w:val="24"/>
          <w:highlight w:val="none"/>
        </w:rPr>
        <w:t xml:space="preserve">   </w:t>
      </w:r>
      <w:r>
        <w:rPr>
          <w:rFonts w:hint="eastAsia" w:ascii="宋体" w:hAnsi="宋体"/>
          <w:b/>
          <w:color w:val="auto"/>
          <w:sz w:val="24"/>
          <w:highlight w:val="none"/>
        </w:rPr>
        <w:t>协议书</w:t>
      </w:r>
    </w:p>
    <w:p w14:paraId="7AEAF5C6">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r>
        <w:rPr>
          <w:rFonts w:ascii="宋体" w:hAnsi="宋体"/>
          <w:color w:val="auto"/>
          <w:sz w:val="24"/>
          <w:highlight w:val="none"/>
          <w:u w:val="single"/>
        </w:rPr>
        <w:t xml:space="preserve">                             </w:t>
      </w:r>
      <w:r>
        <w:rPr>
          <w:rFonts w:hint="eastAsia" w:ascii="宋体" w:hAnsi="宋体"/>
          <w:color w:val="auto"/>
          <w:sz w:val="24"/>
          <w:highlight w:val="none"/>
        </w:rPr>
        <w:t>。</w:t>
      </w:r>
    </w:p>
    <w:p w14:paraId="32004683">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w:t>
      </w:r>
    </w:p>
    <w:p w14:paraId="53E4983A">
      <w:pPr>
        <w:pStyle w:val="12"/>
        <w:snapToGrid w:val="0"/>
        <w:spacing w:line="440" w:lineRule="exact"/>
        <w:rPr>
          <w:rFonts w:ascii="宋体" w:hAnsi="宋体"/>
          <w:color w:val="auto"/>
          <w:szCs w:val="24"/>
          <w:highlight w:val="none"/>
        </w:rPr>
      </w:pPr>
      <w:r>
        <w:rPr>
          <w:rFonts w:hint="eastAsia" w:ascii="宋体" w:hAnsi="宋体"/>
          <w:color w:val="auto"/>
          <w:szCs w:val="24"/>
          <w:highlight w:val="none"/>
        </w:rPr>
        <w:t>依照《</w:t>
      </w:r>
      <w:r>
        <w:rPr>
          <w:rFonts w:hint="eastAsia" w:ascii="宋体" w:hAnsi="宋体"/>
          <w:color w:val="auto"/>
          <w:szCs w:val="24"/>
          <w:highlight w:val="none"/>
          <w:lang w:eastAsia="zh-CN"/>
        </w:rPr>
        <w:t>中华人民共和国民法典</w:t>
      </w:r>
      <w:r>
        <w:rPr>
          <w:rFonts w:hint="eastAsia" w:ascii="宋体" w:hAnsi="宋体"/>
          <w:color w:val="auto"/>
          <w:szCs w:val="24"/>
          <w:highlight w:val="none"/>
        </w:rPr>
        <w:t>》、《中华人民共和国建筑法》及其他有关法律、行政法规，遵循平等、自愿、公平和诚实信用的原则，双方就本建设工程施工事项协商一致，订立本合同。</w:t>
      </w:r>
    </w:p>
    <w:p w14:paraId="49462431">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14:paraId="632272A6">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67911840">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ascii="宋体" w:hAnsi="宋体"/>
          <w:bCs/>
          <w:color w:val="auto"/>
          <w:sz w:val="24"/>
          <w:highlight w:val="none"/>
          <w:u w:val="single"/>
        </w:rPr>
        <w:t xml:space="preserve">                          </w:t>
      </w:r>
      <w:r>
        <w:rPr>
          <w:rFonts w:hint="eastAsia" w:ascii="宋体" w:hAnsi="宋体"/>
          <w:bCs/>
          <w:color w:val="auto"/>
          <w:sz w:val="24"/>
          <w:highlight w:val="none"/>
        </w:rPr>
        <w:t>。</w:t>
      </w:r>
    </w:p>
    <w:p w14:paraId="03BF905D">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ascii="宋体" w:hAnsi="宋体"/>
          <w:color w:val="auto"/>
          <w:sz w:val="24"/>
          <w:highlight w:val="none"/>
          <w:u w:val="single"/>
        </w:rPr>
        <w:t xml:space="preserve">                          </w:t>
      </w:r>
      <w:r>
        <w:rPr>
          <w:rFonts w:hint="eastAsia" w:ascii="宋体" w:hAnsi="宋体"/>
          <w:color w:val="auto"/>
          <w:sz w:val="24"/>
          <w:highlight w:val="none"/>
        </w:rPr>
        <w:t>。具体内容以施工图纸及工程量清单为准。</w:t>
      </w:r>
    </w:p>
    <w:p w14:paraId="205A55D7">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14:paraId="4C57E2E7">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ascii="宋体" w:hAnsi="宋体"/>
          <w:color w:val="auto"/>
          <w:sz w:val="24"/>
          <w:highlight w:val="none"/>
          <w:u w:val="single"/>
        </w:rPr>
        <w:t xml:space="preserve">             </w:t>
      </w:r>
      <w:r>
        <w:rPr>
          <w:rFonts w:hint="eastAsia" w:ascii="宋体" w:hAnsi="宋体"/>
          <w:color w:val="auto"/>
          <w:sz w:val="24"/>
          <w:highlight w:val="none"/>
        </w:rPr>
        <w:t>。</w:t>
      </w:r>
    </w:p>
    <w:p w14:paraId="63D8768B">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14:paraId="17117236">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14:paraId="55FF601D">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14:paraId="028DC68B">
      <w:pPr>
        <w:snapToGrid/>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hint="eastAsia" w:ascii="宋体" w:hAnsi="宋体"/>
          <w:color w:val="auto"/>
          <w:sz w:val="24"/>
          <w:szCs w:val="24"/>
          <w:highlight w:val="none"/>
          <w:u w:val="single"/>
        </w:rPr>
        <w:t>包工、包料、包设备、包工期、包质量、包造价控制（含施工图预算及竣工结算文件的编制报审等）、包安全、包文明施工、包项目协调管理、包验收移交、包竣工资料收集整理备案及资料汇总归档、包竣工图编制及签审、包保修、</w:t>
      </w:r>
      <w:r>
        <w:rPr>
          <w:rFonts w:hint="eastAsia" w:ascii="宋体" w:hAnsi="宋体"/>
          <w:color w:val="auto"/>
          <w:sz w:val="24"/>
          <w:szCs w:val="24"/>
          <w:highlight w:val="none"/>
          <w:u w:val="single"/>
          <w:lang w:val="en-US" w:eastAsia="zh-CN"/>
        </w:rPr>
        <w:t>包保险、包总承包管理和现场整体组织、包专业协调及配合等。</w:t>
      </w:r>
      <w:r>
        <w:rPr>
          <w:rFonts w:hint="eastAsia" w:ascii="宋体" w:hAnsi="宋体"/>
          <w:color w:val="auto"/>
          <w:sz w:val="24"/>
          <w:szCs w:val="24"/>
          <w:highlight w:val="none"/>
          <w:u w:val="single"/>
        </w:rPr>
        <w:t>综合单价包干、项目措施费中围蔽费用按实结算、项目措施费除围蔽外的部分包干。</w:t>
      </w:r>
    </w:p>
    <w:p w14:paraId="187B7DB4">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14:paraId="5F8B292E">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63709420">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3B0F1103">
      <w:pPr>
        <w:snapToGrid w:val="0"/>
        <w:spacing w:line="440" w:lineRule="exact"/>
        <w:ind w:left="480"/>
        <w:rPr>
          <w:rFonts w:ascii="宋体" w:hAnsi="宋体"/>
          <w:color w:val="auto"/>
          <w:sz w:val="24"/>
          <w:highlight w:val="none"/>
        </w:rPr>
      </w:pPr>
      <w:r>
        <w:rPr>
          <w:rFonts w:hint="eastAsia" w:ascii="宋体" w:hAnsi="宋体"/>
          <w:color w:val="auto"/>
          <w:sz w:val="24"/>
          <w:highlight w:val="none"/>
        </w:rPr>
        <w:t>合同工期为</w:t>
      </w:r>
      <w:r>
        <w:rPr>
          <w:rFonts w:ascii="宋体" w:hAnsi="宋体"/>
          <w:color w:val="auto"/>
          <w:sz w:val="24"/>
          <w:highlight w:val="none"/>
          <w:u w:val="single"/>
        </w:rPr>
        <w:t xml:space="preserve">     </w:t>
      </w:r>
      <w:r>
        <w:rPr>
          <w:rFonts w:hint="eastAsia" w:ascii="宋体" w:hAnsi="宋体"/>
          <w:color w:val="auto"/>
          <w:sz w:val="24"/>
          <w:highlight w:val="none"/>
        </w:rPr>
        <w:t>日历天。实际开工日期以批准的开工报告为准。</w:t>
      </w:r>
    </w:p>
    <w:p w14:paraId="26924D9B">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14:paraId="0F88C3F6">
      <w:pPr>
        <w:pStyle w:val="13"/>
        <w:snapToGrid w:val="0"/>
        <w:spacing w:line="400" w:lineRule="exact"/>
        <w:ind w:firstLine="480" w:firstLineChars="200"/>
        <w:rPr>
          <w:rFonts w:hint="eastAsia" w:ascii="宋体" w:hAnsi="宋体" w:eastAsia="宋体" w:cs="Times New Roman"/>
          <w:color w:val="auto"/>
          <w:kern w:val="0"/>
          <w:sz w:val="24"/>
          <w:szCs w:val="20"/>
          <w:highlight w:val="none"/>
          <w:lang w:val="en-US" w:eastAsia="zh-CN"/>
        </w:rPr>
      </w:pPr>
      <w:r>
        <w:rPr>
          <w:rFonts w:hint="eastAsia" w:ascii="宋体" w:hAnsi="宋体" w:eastAsia="宋体" w:cs="Times New Roman"/>
          <w:color w:val="auto"/>
          <w:kern w:val="0"/>
          <w:sz w:val="24"/>
          <w:szCs w:val="20"/>
          <w:highlight w:val="none"/>
          <w:lang w:val="en-US" w:eastAsia="zh-CN"/>
        </w:rPr>
        <w:t>施工要求：符合设计图纸要求和国家、省、市相关法律法规规定要求及行业工程质量标准，</w:t>
      </w:r>
      <w:r>
        <w:rPr>
          <w:rFonts w:hint="eastAsia" w:ascii="宋体" w:hAnsi="宋体" w:eastAsia="宋体" w:cs="Times New Roman"/>
          <w:color w:val="auto"/>
          <w:kern w:val="0"/>
          <w:sz w:val="24"/>
          <w:szCs w:val="20"/>
          <w:highlight w:val="none"/>
          <w:u w:val="single" w:color="auto"/>
          <w:lang w:val="en-US" w:eastAsia="zh-CN"/>
        </w:rPr>
        <w:t>且达到投标承诺的       标准</w:t>
      </w:r>
      <w:r>
        <w:rPr>
          <w:rFonts w:hint="eastAsia" w:ascii="宋体" w:hAnsi="宋体" w:eastAsia="宋体" w:cs="Times New Roman"/>
          <w:color w:val="auto"/>
          <w:kern w:val="0"/>
          <w:sz w:val="24"/>
          <w:szCs w:val="20"/>
          <w:highlight w:val="none"/>
          <w:lang w:val="en-US" w:eastAsia="zh-CN"/>
        </w:rPr>
        <w:t>。</w:t>
      </w:r>
    </w:p>
    <w:p w14:paraId="6DC826D8">
      <w:pPr>
        <w:spacing w:line="400" w:lineRule="exact"/>
        <w:ind w:firstLine="480" w:firstLineChars="200"/>
        <w:rPr>
          <w:rFonts w:ascii="宋体" w:hAnsi="宋体"/>
          <w:color w:val="auto"/>
          <w:kern w:val="0"/>
          <w:sz w:val="24"/>
          <w:szCs w:val="20"/>
          <w:highlight w:val="none"/>
          <w:u w:val="single"/>
        </w:rPr>
      </w:pPr>
      <w:r>
        <w:rPr>
          <w:rFonts w:hint="eastAsia" w:ascii="宋体" w:hAnsi="宋体"/>
          <w:color w:val="auto"/>
          <w:kern w:val="0"/>
          <w:sz w:val="24"/>
          <w:szCs w:val="20"/>
          <w:highlight w:val="none"/>
        </w:rPr>
        <w:t>工程质量标准：</w:t>
      </w:r>
      <w:r>
        <w:rPr>
          <w:rFonts w:hint="eastAsia" w:ascii="宋体" w:hAnsi="宋体"/>
          <w:color w:val="auto"/>
          <w:kern w:val="0"/>
          <w:sz w:val="24"/>
          <w:szCs w:val="20"/>
          <w:highlight w:val="none"/>
          <w:lang w:eastAsia="zh-CN"/>
        </w:rPr>
        <w:t>合格，</w:t>
      </w:r>
      <w:r>
        <w:rPr>
          <w:rFonts w:hint="eastAsia" w:ascii="宋体" w:hAnsi="宋体"/>
          <w:color w:val="auto"/>
          <w:kern w:val="0"/>
          <w:sz w:val="24"/>
          <w:szCs w:val="20"/>
          <w:highlight w:val="none"/>
          <w:u w:val="single" w:color="auto"/>
          <w:lang w:eastAsia="zh-CN"/>
        </w:rPr>
        <w:t>且达到</w:t>
      </w:r>
      <w:r>
        <w:rPr>
          <w:rFonts w:hint="eastAsia" w:ascii="宋体" w:hAnsi="宋体" w:eastAsia="宋体" w:cs="Times New Roman"/>
          <w:color w:val="auto"/>
          <w:kern w:val="0"/>
          <w:sz w:val="24"/>
          <w:szCs w:val="20"/>
          <w:highlight w:val="none"/>
          <w:u w:val="single" w:color="auto"/>
          <w:lang w:val="en-US" w:eastAsia="zh-CN"/>
        </w:rPr>
        <w:t xml:space="preserve">投标承诺的    </w:t>
      </w:r>
      <w:r>
        <w:rPr>
          <w:rFonts w:hint="eastAsia" w:ascii="宋体" w:hAnsi="宋体"/>
          <w:color w:val="auto"/>
          <w:kern w:val="0"/>
          <w:sz w:val="24"/>
          <w:szCs w:val="20"/>
          <w:highlight w:val="none"/>
          <w:u w:val="single" w:color="auto"/>
          <w:lang w:eastAsia="zh-CN"/>
        </w:rPr>
        <w:t>标准</w:t>
      </w:r>
      <w:r>
        <w:rPr>
          <w:rFonts w:hint="eastAsia" w:ascii="宋体" w:hAnsi="宋体"/>
          <w:color w:val="auto"/>
          <w:kern w:val="0"/>
          <w:sz w:val="24"/>
          <w:szCs w:val="20"/>
          <w:highlight w:val="none"/>
          <w:u w:val="single" w:color="auto"/>
        </w:rPr>
        <w:t>。</w:t>
      </w:r>
    </w:p>
    <w:p w14:paraId="1DF597C7">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14:paraId="07875ED2">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元（大写：人民币</w:t>
      </w:r>
      <w:r>
        <w:rPr>
          <w:rFonts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），其中绿色施工安全防护措施费为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w:t>
      </w:r>
      <w:r>
        <w:rPr>
          <w:rFonts w:hint="eastAsia" w:ascii="宋体" w:hAnsi="宋体" w:eastAsia="宋体" w:cs="宋体"/>
          <w:color w:val="auto"/>
          <w:sz w:val="24"/>
          <w:szCs w:val="24"/>
          <w:highlight w:val="none"/>
          <w:lang w:val="en-US" w:eastAsia="zh-CN"/>
        </w:rPr>
        <w:t>（预算审定</w:t>
      </w:r>
      <w:r>
        <w:rPr>
          <w:rFonts w:hint="eastAsia" w:ascii="宋体" w:hAnsi="宋体" w:eastAsia="宋体" w:cs="宋体"/>
          <w:color w:val="auto"/>
          <w:sz w:val="24"/>
          <w:szCs w:val="24"/>
          <w:highlight w:val="none"/>
        </w:rPr>
        <w:t>前，绿色施工安全防护措施费暂按建安工程费</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价的3%计取</w:t>
      </w:r>
      <w:r>
        <w:rPr>
          <w:rFonts w:hint="eastAsia" w:ascii="宋体" w:hAnsi="宋体" w:eastAsia="宋体" w:cs="宋体"/>
          <w:color w:val="auto"/>
          <w:sz w:val="24"/>
          <w:szCs w:val="24"/>
          <w:highlight w:val="none"/>
          <w:lang w:val="en-US" w:eastAsia="zh-CN"/>
        </w:rPr>
        <w:t>）</w:t>
      </w:r>
      <w:r>
        <w:rPr>
          <w:rFonts w:hint="eastAsia" w:ascii="宋体" w:hAnsi="宋体"/>
          <w:bCs/>
          <w:snapToGrid w:val="0"/>
          <w:color w:val="auto"/>
          <w:kern w:val="0"/>
          <w:sz w:val="24"/>
          <w:highlight w:val="none"/>
        </w:rPr>
        <w:t>、暂列金额为</w:t>
      </w:r>
      <w:r>
        <w:rPr>
          <w:rFonts w:hint="eastAsia" w:ascii="宋体" w:hAnsi="宋体"/>
          <w:bCs/>
          <w:snapToGrid w:val="0"/>
          <w:color w:val="auto"/>
          <w:kern w:val="0"/>
          <w:sz w:val="24"/>
          <w:highlight w:val="none"/>
          <w:u w:val="single"/>
        </w:rPr>
        <w:t xml:space="preserve">       </w:t>
      </w:r>
      <w:r>
        <w:rPr>
          <w:rFonts w:hint="eastAsia" w:ascii="宋体" w:hAnsi="宋体"/>
          <w:bCs/>
          <w:snapToGrid w:val="0"/>
          <w:color w:val="auto"/>
          <w:kern w:val="0"/>
          <w:sz w:val="24"/>
          <w:highlight w:val="none"/>
        </w:rPr>
        <w:t>元</w:t>
      </w:r>
      <w:r>
        <w:rPr>
          <w:rFonts w:hint="eastAsia" w:ascii="宋体" w:hAnsi="宋体"/>
          <w:bCs/>
          <w:snapToGrid w:val="0"/>
          <w:color w:val="auto"/>
          <w:kern w:val="0"/>
          <w:sz w:val="24"/>
          <w:highlight w:val="none"/>
          <w:lang w:eastAsia="zh-CN"/>
        </w:rPr>
        <w:t>，人工费</w:t>
      </w:r>
      <w:r>
        <w:rPr>
          <w:rFonts w:hint="eastAsia" w:ascii="宋体" w:hAnsi="宋体"/>
          <w:bCs/>
          <w:snapToGrid w:val="0"/>
          <w:color w:val="auto"/>
          <w:kern w:val="0"/>
          <w:sz w:val="24"/>
          <w:highlight w:val="none"/>
          <w:lang w:val="en-US" w:eastAsia="zh-CN"/>
        </w:rPr>
        <w:t xml:space="preserve">     元，</w:t>
      </w:r>
      <w:r>
        <w:rPr>
          <w:rFonts w:hint="eastAsia" w:ascii="宋体" w:hAnsi="宋体" w:cs="宋体"/>
          <w:color w:val="auto"/>
          <w:sz w:val="24"/>
          <w:szCs w:val="24"/>
          <w:highlight w:val="none"/>
          <w:u w:val="single"/>
        </w:rPr>
        <w:t>工人工资比例暂按20%，最终以</w:t>
      </w:r>
      <w:r>
        <w:rPr>
          <w:rFonts w:hint="eastAsia" w:ascii="宋体" w:hAnsi="宋体" w:cs="宋体"/>
          <w:color w:val="auto"/>
          <w:sz w:val="24"/>
          <w:szCs w:val="24"/>
          <w:highlight w:val="none"/>
          <w:u w:val="single"/>
          <w:lang w:val="en-US" w:eastAsia="zh-CN"/>
        </w:rPr>
        <w:t>园区财政评审部门或其授权委托单位审定</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u w:val="single"/>
        </w:rPr>
        <w:t>概算建安费</w:t>
      </w:r>
      <w:r>
        <w:rPr>
          <w:rFonts w:hint="eastAsia" w:ascii="宋体" w:hAnsi="宋体" w:cs="宋体"/>
          <w:color w:val="auto"/>
          <w:sz w:val="24"/>
          <w:szCs w:val="24"/>
          <w:highlight w:val="none"/>
          <w:u w:val="single"/>
        </w:rPr>
        <w:t>中的人工费/工程费的比例为准</w:t>
      </w:r>
      <w:r>
        <w:rPr>
          <w:rFonts w:hint="eastAsia" w:ascii="宋体" w:hAnsi="宋体"/>
          <w:bCs/>
          <w:snapToGrid w:val="0"/>
          <w:color w:val="auto"/>
          <w:kern w:val="0"/>
          <w:sz w:val="24"/>
          <w:highlight w:val="none"/>
        </w:rPr>
        <w:t>。</w:t>
      </w:r>
    </w:p>
    <w:p w14:paraId="1EB402B7">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w:t>
      </w:r>
      <w:r>
        <w:rPr>
          <w:rFonts w:hint="eastAsia" w:ascii="宋体" w:hAnsi="宋体" w:cs="宋体"/>
          <w:color w:val="auto"/>
          <w:sz w:val="24"/>
          <w:szCs w:val="24"/>
          <w:highlight w:val="none"/>
          <w:u w:val="single"/>
          <w:lang w:val="en-US" w:eastAsia="zh-CN"/>
        </w:rPr>
        <w:t>园区财政评审部门或其授权委托单位</w:t>
      </w:r>
      <w:r>
        <w:rPr>
          <w:rFonts w:hint="eastAsia" w:ascii="宋体" w:hAnsi="宋体"/>
          <w:bCs/>
          <w:snapToGrid w:val="0"/>
          <w:color w:val="auto"/>
          <w:kern w:val="0"/>
          <w:sz w:val="24"/>
          <w:highlight w:val="none"/>
          <w:u w:val="single"/>
        </w:rPr>
        <w:t>审定结算为准</w:t>
      </w:r>
      <w:r>
        <w:rPr>
          <w:rFonts w:hint="eastAsia" w:ascii="宋体" w:hAnsi="宋体"/>
          <w:bCs/>
          <w:snapToGrid w:val="0"/>
          <w:color w:val="auto"/>
          <w:kern w:val="0"/>
          <w:sz w:val="24"/>
          <w:highlight w:val="none"/>
        </w:rPr>
        <w:t>。</w:t>
      </w:r>
      <w:r>
        <w:rPr>
          <w:rFonts w:hint="eastAsia" w:ascii="宋体" w:hAnsi="宋体" w:eastAsia="宋体" w:cs="Times New Roman"/>
          <w:b w:val="0"/>
          <w:bCs/>
          <w:i w:val="0"/>
          <w:iCs w:val="0"/>
          <w:caps w:val="0"/>
          <w:snapToGrid w:val="0"/>
          <w:color w:val="auto"/>
          <w:spacing w:val="0"/>
          <w:kern w:val="0"/>
          <w:sz w:val="24"/>
          <w:szCs w:val="24"/>
          <w:highlight w:val="none"/>
          <w:shd w:val="clear" w:color="auto" w:fill="auto"/>
        </w:rPr>
        <w:t>如遇审计部门审计发现本合同结算价款存在超付的情形，发包人有权据实要求承包人返还该部分款项</w:t>
      </w:r>
      <w:r>
        <w:rPr>
          <w:rFonts w:hint="eastAsia" w:ascii="宋体" w:hAnsi="宋体" w:eastAsia="宋体" w:cs="Times New Roman"/>
          <w:b w:val="0"/>
          <w:bCs/>
          <w:i w:val="0"/>
          <w:iCs w:val="0"/>
          <w:caps w:val="0"/>
          <w:snapToGrid w:val="0"/>
          <w:color w:val="auto"/>
          <w:spacing w:val="0"/>
          <w:kern w:val="0"/>
          <w:sz w:val="24"/>
          <w:szCs w:val="24"/>
          <w:highlight w:val="none"/>
          <w:shd w:val="clear" w:color="auto" w:fill="auto"/>
          <w:lang w:eastAsia="zh-CN"/>
        </w:rPr>
        <w:t>。</w:t>
      </w:r>
    </w:p>
    <w:p w14:paraId="3EE2E533">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14:paraId="74DA0D32">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14:paraId="40A70302">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14:paraId="45C79976">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14:paraId="187D3F93">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w:t>
      </w:r>
      <w:r>
        <w:rPr>
          <w:rFonts w:hint="eastAsia" w:ascii="宋体" w:hAnsi="宋体"/>
          <w:color w:val="auto"/>
          <w:sz w:val="24"/>
          <w:highlight w:val="none"/>
          <w:lang w:val="en-US" w:eastAsia="zh-CN"/>
        </w:rPr>
        <w:t>清远市、佛冈县、园区管委会</w:t>
      </w:r>
      <w:r>
        <w:rPr>
          <w:rFonts w:ascii="宋体" w:hAnsi="宋体"/>
          <w:color w:val="auto"/>
          <w:sz w:val="24"/>
          <w:highlight w:val="none"/>
        </w:rPr>
        <w:t>关于本工程施工的有关文件（发包人在收到后尽快通报给承包人）；</w:t>
      </w:r>
    </w:p>
    <w:p w14:paraId="625AF7D0">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14:paraId="04209B03">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14:paraId="46203DBD">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14:paraId="13423AE7">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14:paraId="4AB07A03">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14:paraId="665D8E96">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14:paraId="4385603A">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14:paraId="29059E34">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14:paraId="2E8C7B7B">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14:paraId="64F50750">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14:paraId="61101C69">
      <w:pPr>
        <w:pStyle w:val="14"/>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14:paraId="5AD35CEA">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14:paraId="2C607CF1">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14:paraId="217302B1">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九、发包人向承包人承诺按照合同约定的期限和方式支付合同价款及其他应当支付的款项。</w:t>
      </w:r>
    </w:p>
    <w:p w14:paraId="0CE85ED5">
      <w:pPr>
        <w:snapToGrid w:val="0"/>
        <w:spacing w:line="440" w:lineRule="exact"/>
        <w:ind w:firstLine="482" w:firstLineChars="200"/>
        <w:rPr>
          <w:rFonts w:hint="eastAsia" w:ascii="宋体" w:hAnsi="宋体"/>
          <w:b/>
          <w:bCs/>
          <w:color w:val="auto"/>
          <w:sz w:val="24"/>
          <w:highlight w:val="none"/>
        </w:rPr>
      </w:pPr>
    </w:p>
    <w:p w14:paraId="34C46F24">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十、合同生效</w:t>
      </w:r>
    </w:p>
    <w:p w14:paraId="4BA3BF58">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ascii="宋体" w:hAnsi="宋体"/>
          <w:color w:val="auto"/>
          <w:sz w:val="24"/>
          <w:highlight w:val="none"/>
          <w:u w:val="none"/>
        </w:rPr>
        <w:t xml:space="preserve">     </w:t>
      </w:r>
      <w:r>
        <w:rPr>
          <w:rFonts w:hint="eastAsia" w:ascii="宋体" w:hAnsi="宋体"/>
          <w:color w:val="auto"/>
          <w:sz w:val="24"/>
          <w:highlight w:val="none"/>
        </w:rPr>
        <w:t>年</w:t>
      </w:r>
      <w:r>
        <w:rPr>
          <w:rFonts w:ascii="宋体" w:hAnsi="宋体"/>
          <w:color w:val="auto"/>
          <w:sz w:val="24"/>
          <w:highlight w:val="none"/>
          <w:u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ascii="宋体" w:hAnsi="宋体"/>
          <w:color w:val="auto"/>
          <w:sz w:val="24"/>
          <w:highlight w:val="none"/>
          <w:u w:val="none"/>
        </w:rPr>
        <w:t xml:space="preserve">   </w:t>
      </w:r>
      <w:r>
        <w:rPr>
          <w:rFonts w:hint="eastAsia" w:ascii="宋体" w:hAnsi="宋体"/>
          <w:color w:val="auto"/>
          <w:sz w:val="24"/>
          <w:highlight w:val="none"/>
        </w:rPr>
        <w:t>日</w:t>
      </w:r>
    </w:p>
    <w:p w14:paraId="6A593FFD">
      <w:pPr>
        <w:snapToGrid w:val="0"/>
        <w:spacing w:line="440" w:lineRule="exact"/>
        <w:ind w:firstLine="480"/>
        <w:rPr>
          <w:rFonts w:hint="default" w:ascii="宋体" w:hAnsi="宋体" w:eastAsia="宋体"/>
          <w:color w:val="auto"/>
          <w:sz w:val="24"/>
          <w:highlight w:val="none"/>
          <w:lang w:val="en-US" w:eastAsia="zh-CN"/>
        </w:rPr>
      </w:pPr>
      <w:r>
        <w:rPr>
          <w:rFonts w:hint="eastAsia" w:ascii="宋体" w:hAnsi="宋体"/>
          <w:color w:val="auto"/>
          <w:sz w:val="24"/>
          <w:highlight w:val="none"/>
        </w:rPr>
        <w:t>合同订立地点：</w:t>
      </w:r>
      <w:r>
        <w:rPr>
          <w:rFonts w:hint="eastAsia" w:ascii="宋体" w:hAnsi="宋体"/>
          <w:color w:val="auto"/>
          <w:sz w:val="24"/>
          <w:highlight w:val="none"/>
          <w:u w:val="single"/>
          <w:lang w:val="en-US" w:eastAsia="zh-CN"/>
        </w:rPr>
        <w:t xml:space="preserve">                  </w:t>
      </w:r>
    </w:p>
    <w:p w14:paraId="28825834">
      <w:pPr>
        <w:snapToGrid w:val="0"/>
        <w:spacing w:line="440" w:lineRule="exact"/>
        <w:ind w:firstLine="480" w:firstLineChars="200"/>
        <w:jc w:val="both"/>
        <w:rPr>
          <w:rFonts w:hint="eastAsia" w:ascii="宋体" w:hAnsi="宋体" w:cs="宋体"/>
          <w:color w:val="auto"/>
          <w:sz w:val="24"/>
          <w:szCs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14:paraId="25F25744">
      <w:pPr>
        <w:snapToGrid/>
        <w:spacing w:line="240" w:lineRule="auto"/>
        <w:jc w:val="left"/>
        <w:rPr>
          <w:rFonts w:hint="eastAsia" w:ascii="宋体" w:hAnsi="宋体" w:cs="宋体"/>
          <w:b/>
          <w:bCs/>
          <w:color w:val="auto"/>
          <w:sz w:val="24"/>
          <w:szCs w:val="24"/>
          <w:highlight w:val="none"/>
        </w:rPr>
      </w:pPr>
    </w:p>
    <w:p w14:paraId="1526392D">
      <w:pPr>
        <w:snapToGrid/>
        <w:spacing w:line="24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6EEB8A33">
      <w:pPr>
        <w:snapToGrid w:val="0"/>
        <w:spacing w:line="440" w:lineRule="exact"/>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(本页为签署页)</w:t>
      </w:r>
    </w:p>
    <w:p w14:paraId="6BC22C85">
      <w:pPr>
        <w:snapToGrid w:val="0"/>
        <w:spacing w:line="440" w:lineRule="exact"/>
        <w:rPr>
          <w:rFonts w:ascii="宋体" w:hAnsi="宋体"/>
          <w:color w:val="auto"/>
          <w:sz w:val="24"/>
          <w:highlight w:val="none"/>
        </w:rPr>
      </w:pPr>
    </w:p>
    <w:tbl>
      <w:tblPr>
        <w:tblStyle w:val="8"/>
        <w:tblW w:w="0" w:type="auto"/>
        <w:tblInd w:w="0" w:type="dxa"/>
        <w:tblLayout w:type="fixed"/>
        <w:tblCellMar>
          <w:top w:w="0" w:type="dxa"/>
          <w:left w:w="108" w:type="dxa"/>
          <w:bottom w:w="0" w:type="dxa"/>
          <w:right w:w="108" w:type="dxa"/>
        </w:tblCellMar>
      </w:tblPr>
      <w:tblGrid>
        <w:gridCol w:w="4408"/>
        <w:gridCol w:w="4500"/>
      </w:tblGrid>
      <w:tr w14:paraId="77F04FBF">
        <w:tblPrEx>
          <w:tblCellMar>
            <w:top w:w="0" w:type="dxa"/>
            <w:left w:w="108" w:type="dxa"/>
            <w:bottom w:w="0" w:type="dxa"/>
            <w:right w:w="108" w:type="dxa"/>
          </w:tblCellMar>
        </w:tblPrEx>
        <w:trPr>
          <w:trHeight w:val="1134" w:hRule="atLeast"/>
        </w:trPr>
        <w:tc>
          <w:tcPr>
            <w:tcW w:w="4408" w:type="dxa"/>
            <w:noWrap w:val="0"/>
            <w:vAlign w:val="top"/>
          </w:tcPr>
          <w:p w14:paraId="755AFD89">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500" w:type="dxa"/>
            <w:noWrap w:val="0"/>
            <w:vAlign w:val="top"/>
          </w:tcPr>
          <w:p w14:paraId="7A58A76A">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14:paraId="409E80EB">
        <w:tblPrEx>
          <w:tblCellMar>
            <w:top w:w="0" w:type="dxa"/>
            <w:left w:w="108" w:type="dxa"/>
            <w:bottom w:w="0" w:type="dxa"/>
            <w:right w:w="108" w:type="dxa"/>
          </w:tblCellMar>
        </w:tblPrEx>
        <w:trPr>
          <w:trHeight w:val="1134" w:hRule="atLeast"/>
        </w:trPr>
        <w:tc>
          <w:tcPr>
            <w:tcW w:w="4408" w:type="dxa"/>
            <w:noWrap w:val="0"/>
            <w:vAlign w:val="top"/>
          </w:tcPr>
          <w:p w14:paraId="30E8FA36">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c>
          <w:tcPr>
            <w:tcW w:w="4500" w:type="dxa"/>
            <w:noWrap w:val="0"/>
            <w:vAlign w:val="top"/>
          </w:tcPr>
          <w:p w14:paraId="17DF1101">
            <w:pPr>
              <w:snapToGrid w:val="0"/>
              <w:spacing w:line="440" w:lineRule="exact"/>
              <w:rPr>
                <w:rFonts w:ascii="宋体" w:hAnsi="宋体"/>
                <w:color w:val="auto"/>
                <w:sz w:val="24"/>
                <w:highlight w:val="none"/>
              </w:rPr>
            </w:pPr>
            <w:r>
              <w:rPr>
                <w:rFonts w:hint="eastAsia" w:ascii="宋体" w:hAnsi="宋体"/>
                <w:color w:val="auto"/>
                <w:sz w:val="24"/>
                <w:highlight w:val="none"/>
              </w:rPr>
              <w:t>住</w:t>
            </w:r>
            <w:r>
              <w:rPr>
                <w:rFonts w:ascii="宋体" w:hAnsi="宋体"/>
                <w:color w:val="auto"/>
                <w:sz w:val="24"/>
                <w:highlight w:val="none"/>
              </w:rPr>
              <w:t xml:space="preserve">  </w:t>
            </w:r>
            <w:r>
              <w:rPr>
                <w:rFonts w:hint="eastAsia" w:ascii="宋体" w:hAnsi="宋体"/>
                <w:color w:val="auto"/>
                <w:sz w:val="24"/>
                <w:highlight w:val="none"/>
              </w:rPr>
              <w:t>所：</w:t>
            </w:r>
          </w:p>
        </w:tc>
      </w:tr>
      <w:tr w14:paraId="5CE23152">
        <w:tblPrEx>
          <w:tblCellMar>
            <w:top w:w="0" w:type="dxa"/>
            <w:left w:w="108" w:type="dxa"/>
            <w:bottom w:w="0" w:type="dxa"/>
            <w:right w:w="108" w:type="dxa"/>
          </w:tblCellMar>
        </w:tblPrEx>
        <w:trPr>
          <w:trHeight w:val="1134" w:hRule="atLeast"/>
        </w:trPr>
        <w:tc>
          <w:tcPr>
            <w:tcW w:w="4408" w:type="dxa"/>
            <w:noWrap w:val="0"/>
            <w:vAlign w:val="top"/>
          </w:tcPr>
          <w:p w14:paraId="3C5C3391">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500" w:type="dxa"/>
            <w:noWrap w:val="0"/>
            <w:vAlign w:val="top"/>
          </w:tcPr>
          <w:p w14:paraId="2EFB0825">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14:paraId="413D45F9">
        <w:tblPrEx>
          <w:tblCellMar>
            <w:top w:w="0" w:type="dxa"/>
            <w:left w:w="108" w:type="dxa"/>
            <w:bottom w:w="0" w:type="dxa"/>
            <w:right w:w="108" w:type="dxa"/>
          </w:tblCellMar>
        </w:tblPrEx>
        <w:trPr>
          <w:trHeight w:val="1134" w:hRule="atLeast"/>
        </w:trPr>
        <w:tc>
          <w:tcPr>
            <w:tcW w:w="4408" w:type="dxa"/>
            <w:noWrap w:val="0"/>
            <w:vAlign w:val="top"/>
          </w:tcPr>
          <w:p w14:paraId="1690F8E4">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500" w:type="dxa"/>
            <w:noWrap w:val="0"/>
            <w:vAlign w:val="top"/>
          </w:tcPr>
          <w:p w14:paraId="66D0AE16">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14:paraId="034B9C7F">
        <w:tblPrEx>
          <w:tblCellMar>
            <w:top w:w="0" w:type="dxa"/>
            <w:left w:w="108" w:type="dxa"/>
            <w:bottom w:w="0" w:type="dxa"/>
            <w:right w:w="108" w:type="dxa"/>
          </w:tblCellMar>
        </w:tblPrEx>
        <w:trPr>
          <w:trHeight w:val="1134" w:hRule="atLeast"/>
        </w:trPr>
        <w:tc>
          <w:tcPr>
            <w:tcW w:w="4408" w:type="dxa"/>
            <w:noWrap w:val="0"/>
            <w:vAlign w:val="top"/>
          </w:tcPr>
          <w:p w14:paraId="6EDC1A3E">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c>
          <w:tcPr>
            <w:tcW w:w="4500" w:type="dxa"/>
            <w:noWrap w:val="0"/>
            <w:vAlign w:val="top"/>
          </w:tcPr>
          <w:p w14:paraId="0623CC36">
            <w:pPr>
              <w:snapToGrid w:val="0"/>
              <w:spacing w:line="440" w:lineRule="exact"/>
              <w:rPr>
                <w:rFonts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话：</w:t>
            </w:r>
          </w:p>
        </w:tc>
      </w:tr>
      <w:tr w14:paraId="3718FEB0">
        <w:tblPrEx>
          <w:tblCellMar>
            <w:top w:w="0" w:type="dxa"/>
            <w:left w:w="108" w:type="dxa"/>
            <w:bottom w:w="0" w:type="dxa"/>
            <w:right w:w="108" w:type="dxa"/>
          </w:tblCellMar>
        </w:tblPrEx>
        <w:trPr>
          <w:trHeight w:val="1134" w:hRule="atLeast"/>
        </w:trPr>
        <w:tc>
          <w:tcPr>
            <w:tcW w:w="4408" w:type="dxa"/>
            <w:noWrap w:val="0"/>
            <w:vAlign w:val="top"/>
          </w:tcPr>
          <w:p w14:paraId="0BC84065">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c>
          <w:tcPr>
            <w:tcW w:w="4500" w:type="dxa"/>
            <w:noWrap w:val="0"/>
            <w:vAlign w:val="top"/>
          </w:tcPr>
          <w:p w14:paraId="32C2916E">
            <w:pPr>
              <w:snapToGrid w:val="0"/>
              <w:spacing w:line="440" w:lineRule="exact"/>
              <w:rPr>
                <w:rFonts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真：</w:t>
            </w:r>
          </w:p>
        </w:tc>
      </w:tr>
      <w:tr w14:paraId="0AB99337">
        <w:tblPrEx>
          <w:tblCellMar>
            <w:top w:w="0" w:type="dxa"/>
            <w:left w:w="108" w:type="dxa"/>
            <w:bottom w:w="0" w:type="dxa"/>
            <w:right w:w="108" w:type="dxa"/>
          </w:tblCellMar>
        </w:tblPrEx>
        <w:trPr>
          <w:trHeight w:val="1134" w:hRule="atLeast"/>
        </w:trPr>
        <w:tc>
          <w:tcPr>
            <w:tcW w:w="4408" w:type="dxa"/>
            <w:noWrap w:val="0"/>
            <w:vAlign w:val="top"/>
          </w:tcPr>
          <w:p w14:paraId="50370C15">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500" w:type="dxa"/>
            <w:noWrap w:val="0"/>
            <w:vAlign w:val="top"/>
          </w:tcPr>
          <w:p w14:paraId="34D4624A">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14:paraId="4237D9A4">
        <w:tblPrEx>
          <w:tblCellMar>
            <w:top w:w="0" w:type="dxa"/>
            <w:left w:w="108" w:type="dxa"/>
            <w:bottom w:w="0" w:type="dxa"/>
            <w:right w:w="108" w:type="dxa"/>
          </w:tblCellMar>
        </w:tblPrEx>
        <w:trPr>
          <w:trHeight w:val="1134" w:hRule="atLeast"/>
        </w:trPr>
        <w:tc>
          <w:tcPr>
            <w:tcW w:w="4408" w:type="dxa"/>
            <w:noWrap w:val="0"/>
            <w:vAlign w:val="top"/>
          </w:tcPr>
          <w:p w14:paraId="048EB7B5">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c>
          <w:tcPr>
            <w:tcW w:w="4500" w:type="dxa"/>
            <w:noWrap w:val="0"/>
            <w:vAlign w:val="top"/>
          </w:tcPr>
          <w:p w14:paraId="419B08DA">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号：</w:t>
            </w:r>
          </w:p>
        </w:tc>
      </w:tr>
      <w:tr w14:paraId="00C67734">
        <w:tblPrEx>
          <w:tblCellMar>
            <w:top w:w="0" w:type="dxa"/>
            <w:left w:w="108" w:type="dxa"/>
            <w:bottom w:w="0" w:type="dxa"/>
            <w:right w:w="108" w:type="dxa"/>
          </w:tblCellMar>
        </w:tblPrEx>
        <w:trPr>
          <w:trHeight w:val="1134" w:hRule="atLeast"/>
        </w:trPr>
        <w:tc>
          <w:tcPr>
            <w:tcW w:w="4408" w:type="dxa"/>
            <w:noWrap w:val="0"/>
            <w:vAlign w:val="top"/>
          </w:tcPr>
          <w:p w14:paraId="1AEEB86D">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500" w:type="dxa"/>
            <w:noWrap w:val="0"/>
            <w:vAlign w:val="top"/>
          </w:tcPr>
          <w:p w14:paraId="69E17FBE">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14:paraId="5C94B313">
      <w:pPr>
        <w:snapToGrid/>
        <w:spacing w:line="24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63E6364">
      <w:pPr>
        <w:snapToGrid w:val="0"/>
        <w:spacing w:line="4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一、 通用条款</w:t>
      </w:r>
    </w:p>
    <w:p w14:paraId="0A7D1AA6">
      <w:pPr>
        <w:spacing w:line="440" w:lineRule="exact"/>
        <w:jc w:val="center"/>
        <w:rPr>
          <w:rFonts w:ascii="宋体" w:hAnsi="宋体" w:cs="宋体"/>
          <w:color w:val="auto"/>
          <w:sz w:val="24"/>
          <w:szCs w:val="24"/>
          <w:highlight w:val="none"/>
        </w:rPr>
      </w:pPr>
    </w:p>
    <w:p w14:paraId="7855FD2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一、词语定义及合同文件 </w:t>
      </w:r>
    </w:p>
    <w:p w14:paraId="795CA52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1.词语定义 </w:t>
      </w:r>
    </w:p>
    <w:p w14:paraId="5F30FB6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下列词语除专用条款另有约定外，应具有本条所赋予的定义：</w:t>
      </w:r>
    </w:p>
    <w:p w14:paraId="4FCF651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 通用条款：是根据法律、行政法规规定及建设工程施工的需要订立，通用于建设工程施工的条款。 </w:t>
      </w:r>
    </w:p>
    <w:p w14:paraId="3CBF79B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1.2 专用条款：是发包人与承包人根据法律、行政法规规定，结合具体工程实际，经协商达成一致意见的条款，是对通用条款的具体化、补充或修改。 </w:t>
      </w:r>
    </w:p>
    <w:p w14:paraId="767F50D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1.3 发包人：指在协议书中约定，具有工程发包主体资格和支付工程价款能力的当事人以及取得该当事人资格的合法继承人。 </w:t>
      </w:r>
    </w:p>
    <w:p w14:paraId="049AEFC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1.4 承包人：指在协议书中约定，被发包人接受的具有工程施工承包主体资格的当事人以及取得该当事人资格的合法继承人。 </w:t>
      </w:r>
    </w:p>
    <w:p w14:paraId="78AC1F0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1.5 </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负责人：指承包人在专用条款中指定的负责施工管理和合同履行的代表。 </w:t>
      </w:r>
    </w:p>
    <w:p w14:paraId="20F694B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1.6 设计单位：指发包人委托的负责本工程设计并取得相应工程设计资质等级证书的单位。 </w:t>
      </w:r>
    </w:p>
    <w:p w14:paraId="5E3685F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1.7 监理单位：指发包人委托的负责本工程监理并取得相应在工程监理资质等级证书的单位。 </w:t>
      </w:r>
    </w:p>
    <w:p w14:paraId="390B7AF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1.8 工程师：指本工程监理单位委派的总监理工程师或发包人指定的履行本合同的代表，其具体身份和职权由发包人承包人在专用条款中约定。 </w:t>
      </w:r>
    </w:p>
    <w:p w14:paraId="107D42B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 工程造价管理部门：指国务院有关部门、县级以上人民政府建设行政主管部门或其委托的工程造价管理机构。 </w:t>
      </w:r>
    </w:p>
    <w:p w14:paraId="7C89D40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1.10 工程：指发包人承包人在协议书中约定的承包范围内的工程。 </w:t>
      </w:r>
    </w:p>
    <w:p w14:paraId="7081756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1.11 合同价款：指发包人承包人在协议书中约定，发包人用以支付承包人按照合同约定完成承包范围内全部工程并承担质量保修责任的款项。 </w:t>
      </w:r>
    </w:p>
    <w:p w14:paraId="6ECE08E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1.12 追加合同价款：指在合同履行中发生需要增加合同价款的情况，经发包人确认后按计算合同价款的方法增加的合同价款。 </w:t>
      </w:r>
    </w:p>
    <w:p w14:paraId="3CAA74F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1.13 费用：指不包含在合同价款之内的应当由发包人或承包人承担的经济支出。</w:t>
      </w:r>
    </w:p>
    <w:p w14:paraId="34727C1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1.14 工期：指发包人承包人在协议书中约定，按总日历天数（包括法定节假日）计算的承包天数。 </w:t>
      </w:r>
    </w:p>
    <w:p w14:paraId="500BFC0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1.15 开工日期：指发包人承包人在协议书中约定，承包人开始施工的绝对或相对的日期。 </w:t>
      </w:r>
    </w:p>
    <w:p w14:paraId="21CDD56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1.16 竣工日期：指发包人承包人在协议书中约定，承包人完成承包范围内工程的绝对或相对的日期。 </w:t>
      </w:r>
    </w:p>
    <w:p w14:paraId="6EA89FA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1.17 图纸：指由发包人提供或承包人提供并经发包人批准，满足承包人施工需要的所有图纸（包括配套说明和有关资料）。 </w:t>
      </w:r>
    </w:p>
    <w:p w14:paraId="48A73F5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1.18 施工场地：指由发包人提供的用于工程施工的场所以及发包人在图纸中具体指定的供施工使用的任何其他场所。 </w:t>
      </w:r>
    </w:p>
    <w:p w14:paraId="48EC20E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1.19 书面形式：指合同书、信件和数据电文（包括电报、电传、传真、电子数据交换和电子邮件）等可以有形地表现所载内容的形式。 </w:t>
      </w:r>
    </w:p>
    <w:p w14:paraId="22A4BEF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1.20 违约责任：指合同一方不履行合同义务或履行合同义务不符合约定所应承担的责任。 </w:t>
      </w:r>
    </w:p>
    <w:p w14:paraId="7ADC6AC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1.21 索赔：指在合同履行过程中，对于并非自己的过错，而是应由对方承担责任的情况造成的实际损失，向对方提出经济补偿和（或）工期顺延的要求。 </w:t>
      </w:r>
    </w:p>
    <w:p w14:paraId="644C276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1.22 不可抗力：指不能预见、不能避免并不能克服的客观情况。 </w:t>
      </w:r>
    </w:p>
    <w:p w14:paraId="68B33B2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14:paraId="63763FA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2、合同文件及解释顺序 </w:t>
      </w:r>
    </w:p>
    <w:p w14:paraId="0C5B647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2.1 合同文件应能相互解释，互为说明。除专用条款另有约定外，组成本合同的文件及优先解释顺序如下： </w:t>
      </w:r>
    </w:p>
    <w:p w14:paraId="34ED44D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（1）本合同协议书 </w:t>
      </w:r>
    </w:p>
    <w:p w14:paraId="172FEBA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（2）中标通知书 </w:t>
      </w:r>
    </w:p>
    <w:p w14:paraId="1FA60F8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（3）投标书及其附件 </w:t>
      </w:r>
    </w:p>
    <w:p w14:paraId="667B070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（4）本合同专用条款 </w:t>
      </w:r>
    </w:p>
    <w:p w14:paraId="32B151F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（5）本合同通用条款 </w:t>
      </w:r>
    </w:p>
    <w:p w14:paraId="168946E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（6）标准、规范及有关技术文件 </w:t>
      </w:r>
    </w:p>
    <w:p w14:paraId="48BD8E1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（7）图纸 </w:t>
      </w:r>
    </w:p>
    <w:p w14:paraId="79BCF4A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（8）工程量清单 </w:t>
      </w:r>
    </w:p>
    <w:p w14:paraId="555A303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（9）工程报价单或预算书</w:t>
      </w:r>
    </w:p>
    <w:p w14:paraId="0D43B0F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合同履行中，发包人承包人有关工程的洽商、变更等书面协议或文件视为本合同的组成部分。 </w:t>
      </w:r>
    </w:p>
    <w:p w14:paraId="060202B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14:paraId="048EC37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3、语言文字和适用法律、标准及规范 </w:t>
      </w:r>
    </w:p>
    <w:p w14:paraId="53249E2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 语言文字 </w:t>
      </w:r>
    </w:p>
    <w:p w14:paraId="32971C2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本合同文件使用汉语语言文字书写、解释和说明。如专用条款约定使用两种以上（含两种）语言文字时，汉语应为解释和说明本合同的标准语言文字。</w:t>
      </w:r>
    </w:p>
    <w:p w14:paraId="5C485B7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在少数民族地区，双方可以约定使用少数民族语言文字书写和解释、说明本合同。</w:t>
      </w:r>
    </w:p>
    <w:p w14:paraId="3BF0735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 适用法律和法规 </w:t>
      </w:r>
    </w:p>
    <w:p w14:paraId="48858AF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本合同文件适用国家的法律和行政法规。需要明示的法律、行政法规，由双方在专用条款中约定。</w:t>
      </w:r>
    </w:p>
    <w:p w14:paraId="7CA0259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3.3 适用标准、规范 </w:t>
      </w:r>
    </w:p>
    <w:p w14:paraId="669CFE0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14:paraId="481AE63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国内没有相应标准、规范的，由发包人按专用条款约定的时间向承包人</w:t>
      </w:r>
      <w:r>
        <w:rPr>
          <w:rFonts w:hint="eastAsia" w:ascii="宋体" w:hAnsi="宋体" w:cs="宋体"/>
          <w:color w:val="auto"/>
          <w:spacing w:val="4"/>
          <w:sz w:val="24"/>
          <w:szCs w:val="24"/>
          <w:highlight w:val="none"/>
        </w:rPr>
        <w:t>提出施工技术要求，承包人按约定的时间和要求提出施工工艺，经发包人认</w:t>
      </w:r>
      <w:r>
        <w:rPr>
          <w:rFonts w:hint="eastAsia" w:ascii="宋体" w:hAnsi="宋体" w:cs="宋体"/>
          <w:color w:val="auto"/>
          <w:sz w:val="24"/>
          <w:szCs w:val="24"/>
          <w:highlight w:val="none"/>
        </w:rPr>
        <w:t xml:space="preserve">可后执行。发包人要求使用国外标准、规范的，应负责提供中文译本。 </w:t>
      </w:r>
    </w:p>
    <w:p w14:paraId="07EA32F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本条所发生的购买、翻译标准、规范或制定施工工艺的费用，由发包人承担。</w:t>
      </w:r>
    </w:p>
    <w:p w14:paraId="2B4DBBA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4、图纸 </w:t>
      </w:r>
    </w:p>
    <w:p w14:paraId="2FF2E1A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14:paraId="3826C7E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4.2 承包人未经发包人同意，不得将本工程图纸转给第三人。工程质量保修期满后，除承包人存档需要的图纸外，应将全部图纸退还给发包人。 </w:t>
      </w:r>
    </w:p>
    <w:p w14:paraId="1CF0335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4.3 承包人应在施工现场保留一套完整图纸，供工程师及有关人员进行工程检查时使用。 </w:t>
      </w:r>
    </w:p>
    <w:p w14:paraId="3A95C92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二、双方一般权利和义务 </w:t>
      </w:r>
    </w:p>
    <w:p w14:paraId="36E4C0F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5、工程师 </w:t>
      </w:r>
    </w:p>
    <w:p w14:paraId="7927050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5.1实行工程监理的，发包人应在实施监理前将委托的监理单位名称、监理内容及监理权限以书面形式通知承包人。 </w:t>
      </w:r>
    </w:p>
    <w:p w14:paraId="21E19C3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14:paraId="42CC7C7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14:paraId="71A5C39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14:paraId="0E93C95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除合同内有明确约定或经发包人同意外，负责监理的工程师无权解除本合同约定的承包人的任何权利与义务。</w:t>
      </w:r>
    </w:p>
    <w:p w14:paraId="5C1B8C9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5.6 不实行工程监理的，本合同中工程师专指发包人派驻施工现场履行合同的代表，其具体职权由发包人在专用条款中写明。 </w:t>
      </w:r>
    </w:p>
    <w:p w14:paraId="3EC93B8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6、工程师的委派和指令 </w:t>
      </w:r>
    </w:p>
    <w:p w14:paraId="01BDD7F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14:paraId="25E74A7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14:paraId="761D328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除工程师或工程师代表外，发包人派驻工地的其他人员均无权向承包人发出任何指令。 </w:t>
      </w:r>
    </w:p>
    <w:p w14:paraId="4D1BF7F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工程师的指令、通知由其本人签字后，以书面形式交给</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14:paraId="07EA722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14:paraId="7D7FE9B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本款规定同样适用于由工程师代表发出的指令、通知。</w:t>
      </w:r>
    </w:p>
    <w:p w14:paraId="6C7E08A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工程师应按合同约定，及时向承包人提供所需指令、批准并履行约定的</w:t>
      </w:r>
      <w:r>
        <w:rPr>
          <w:rFonts w:hint="eastAsia" w:ascii="宋体" w:hAnsi="宋体" w:cs="宋体"/>
          <w:color w:val="auto"/>
          <w:spacing w:val="4"/>
          <w:sz w:val="24"/>
          <w:szCs w:val="24"/>
          <w:highlight w:val="none"/>
        </w:rPr>
        <w:t>其他义务。由于工程师未能按合同约定履行义务造成工期延误，发包人应承</w:t>
      </w:r>
      <w:r>
        <w:rPr>
          <w:rFonts w:hint="eastAsia" w:ascii="宋体" w:hAnsi="宋体" w:cs="宋体"/>
          <w:color w:val="auto"/>
          <w:sz w:val="24"/>
          <w:szCs w:val="24"/>
          <w:highlight w:val="none"/>
        </w:rPr>
        <w:t xml:space="preserve">担延误造成的追加合同价款，并赔偿承包人有关损失，顺延延误的工期。 </w:t>
      </w:r>
    </w:p>
    <w:p w14:paraId="371BE2C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6.4 如需更换工程师，发包人应至少提前7天以书面形式通知承包人，后任继续行使合同文件约定的前任的职权，履行前任的义务。 </w:t>
      </w:r>
    </w:p>
    <w:p w14:paraId="1266579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 </w:t>
      </w:r>
    </w:p>
    <w:p w14:paraId="4F2F509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7.1 </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负责人的姓名、职务在专用条款内写明。 </w:t>
      </w:r>
    </w:p>
    <w:p w14:paraId="7EF2AC8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承包人依据合同发出的通知，以书面形式由</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负责人签字后送交工程师，工程师在回执上签署姓名和收到时间后生效。 </w:t>
      </w:r>
    </w:p>
    <w:p w14:paraId="534F611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7.3 </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负责人按发包人认可的施工组织设计（施工方案）和工程师依据合同发出的指令组织施工。在情况紧急且无法与工程师联系时，</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14:paraId="1126AE9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承包人如需更换</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负责人，应至少提前7天以书面形式通知发包人，并征得发包人同意。后任继续行使合同文件约定的前任的职权，履行前任的义务。 </w:t>
      </w:r>
    </w:p>
    <w:p w14:paraId="350E7ED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发包人可以与承包人协商，建议更换其认为不称职的</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 xml:space="preserve">负责人。 </w:t>
      </w:r>
    </w:p>
    <w:p w14:paraId="6EC7F34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8、发包人工作 </w:t>
      </w:r>
    </w:p>
    <w:p w14:paraId="4F8D89E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8.1 发包人按专用条款约定的内容和时间完成以下工作: </w:t>
      </w:r>
    </w:p>
    <w:p w14:paraId="05CDC6C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办理土地征用、拆迁补偿、平整施工场地等工作，使施工场地具备施工条件，在开工后继续负责解决以上事项遗留问题； </w:t>
      </w:r>
    </w:p>
    <w:p w14:paraId="571A490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将施工所需水、电、电讯线路从施工场地外部接至专用条款约定地点，保证施工期间的需要； </w:t>
      </w:r>
    </w:p>
    <w:p w14:paraId="05DA1F8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开通施工场地与城乡公共道路的通道，以及专用条款约定的施工场地内的主要道路，满足施工运输的需要，保证施工期间的畅通。 </w:t>
      </w:r>
    </w:p>
    <w:p w14:paraId="6DA49AF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向承包人提供施工场地的工程地质和地下管线资料，对资料的真实准确性负责； </w:t>
      </w:r>
    </w:p>
    <w:p w14:paraId="1524F26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 办理施工许可证及其他施工所需证件、批件和临时用地、停水、停电、中断道路交通、爆破作业等的申请批准文件（证明承包人自身资质的证件除外）；</w:t>
      </w:r>
    </w:p>
    <w:p w14:paraId="24CE99A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 确定水准点与坐标控制点，以书面形式交给承包人，进行现场交验；</w:t>
      </w:r>
    </w:p>
    <w:p w14:paraId="5A85029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 组织承包人和设计单位进行图纸会审和设计交底；</w:t>
      </w:r>
    </w:p>
    <w:p w14:paraId="4497F61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(8) 协调管理施工场地周围地下管线和邻近建筑物、构筑物（包括文物保护建筑）、古树名木的保护工作，承担有关费用； </w:t>
      </w:r>
    </w:p>
    <w:p w14:paraId="769AFD4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(9) 发包人应做的其他工作，双方在专用条款内约定。 </w:t>
      </w:r>
    </w:p>
    <w:p w14:paraId="2F75043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8.2 发包人未履行8.1款各项义务，导致工期延误或给承包人造成损失的，发包人赔偿承包人有关损失，顺延延误的工期。 </w:t>
      </w:r>
    </w:p>
    <w:p w14:paraId="0A7C77F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9、承包人工作 </w:t>
      </w:r>
    </w:p>
    <w:p w14:paraId="423396D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9.1 承包人按专用条款约定的内容和时间完成以下工作： </w:t>
      </w:r>
    </w:p>
    <w:p w14:paraId="10082F4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(1)根据发包人委托，在其设计资质等级和业务允许的范围内，完成施工图设计或与工程配套的设计，经工程师确认后使用，发包人承担由此发生的费用；</w:t>
      </w:r>
    </w:p>
    <w:p w14:paraId="6D7B5D6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(2)向工程师提供年、季、月度工程进度计划及相应进度统计报表； </w:t>
      </w:r>
    </w:p>
    <w:p w14:paraId="0DE1FFF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(3)根据工程需要，提供和维修非夜间施工使用的照明、围栏设施，并负责安全保卫；</w:t>
      </w:r>
    </w:p>
    <w:p w14:paraId="09F97FF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(4)按专用条款约定的数量和要求，向发包人提供施工场地办公和生活的房屋及设施，发包人承担由此发生的费用； </w:t>
      </w:r>
    </w:p>
    <w:p w14:paraId="3229C35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14:paraId="64F0B88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14:paraId="2CC0965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(7)按专用条款约定做好施工场地地下管线和邻近建筑物、构筑物（包括文物保护建筑）、古树名木的保护工作；</w:t>
      </w:r>
    </w:p>
    <w:p w14:paraId="324A576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(8)保证施工场地清洁符合环境卫生管理的有关规定，交工前清理现场达到专用条款约定的要求，承担因自身原因违反有关规定造成的损失和罚款；</w:t>
      </w:r>
    </w:p>
    <w:p w14:paraId="58A8A25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w:t>
      </w:r>
      <w:r>
        <w:rPr>
          <w:rFonts w:hint="eastAsia" w:ascii="宋体" w:hAnsi="宋体" w:cs="宋体"/>
          <w:color w:val="auto"/>
          <w:spacing w:val="-6"/>
          <w:sz w:val="24"/>
          <w:szCs w:val="24"/>
          <w:highlight w:val="none"/>
        </w:rPr>
        <w:t>办理施工许可证及施工所需证件、批件和临时用地、停水、停电、中断</w:t>
      </w:r>
      <w:r>
        <w:rPr>
          <w:rFonts w:hint="eastAsia" w:ascii="宋体" w:hAnsi="宋体" w:cs="宋体"/>
          <w:color w:val="auto"/>
          <w:sz w:val="24"/>
          <w:szCs w:val="24"/>
          <w:highlight w:val="none"/>
        </w:rPr>
        <w:t>道路交通、爆破作业等的申请批准手续（证明承包人自身资质的证件除外）；</w:t>
      </w:r>
    </w:p>
    <w:p w14:paraId="3C0FEFF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(10)承包人应做的其他工作，双方在专用条款内约定。</w:t>
      </w:r>
    </w:p>
    <w:p w14:paraId="1D3313D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9.2承包人未能履行9.1款各项义务，造成发包人损失的，承包人赔偿发包人有关损失。</w:t>
      </w:r>
    </w:p>
    <w:p w14:paraId="4FE6DDB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三、施工组织设计和工期 </w:t>
      </w:r>
    </w:p>
    <w:p w14:paraId="3B049AE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10、进度计划 </w:t>
      </w:r>
    </w:p>
    <w:p w14:paraId="6A8E85B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14:paraId="05A334C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10.2群体工程中单位工程分期进行施工的，承包人应按照发包人提供图纸及有关资料的时间，按单位工程编制进度计划，其具体内容双方在专用条款中约定。 </w:t>
      </w:r>
    </w:p>
    <w:p w14:paraId="016D2133">
      <w:pPr>
        <w:spacing w:line="44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并且应当承担工程逾期给发包人带来的损失</w:t>
      </w:r>
      <w:r>
        <w:rPr>
          <w:rFonts w:hint="eastAsia" w:ascii="宋体" w:hAnsi="宋体" w:cs="宋体"/>
          <w:color w:val="auto"/>
          <w:sz w:val="24"/>
          <w:szCs w:val="24"/>
          <w:highlight w:val="none"/>
        </w:rPr>
        <w:t>。</w:t>
      </w:r>
    </w:p>
    <w:p w14:paraId="42311D6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11、开工及延期开工 </w:t>
      </w:r>
    </w:p>
    <w:p w14:paraId="3B1473C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14:paraId="492963D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11.2因发包人原因不能按照协议书约定的开工日期开工，工程师应以书面形式通知承包人，推迟开工日期。发包人赔偿承包人因延期开工造成的损失，并相应顺延工期。 </w:t>
      </w:r>
    </w:p>
    <w:p w14:paraId="0975868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12、暂停施工 </w:t>
      </w:r>
    </w:p>
    <w:p w14:paraId="26603BB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14:paraId="645EBB1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13、工期延误 </w:t>
      </w:r>
    </w:p>
    <w:p w14:paraId="7F1E551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13.1因以下原因造成工期延误，经工程师确认工期相应顺延； </w:t>
      </w:r>
    </w:p>
    <w:p w14:paraId="719CF64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发包人未能按专用条款的约定提供图纸及开工条件； </w:t>
      </w:r>
    </w:p>
    <w:p w14:paraId="5834748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 发包人未能按约定日期支付工程预付款、进度款，致使施工不能正常进行；</w:t>
      </w:r>
    </w:p>
    <w:p w14:paraId="723450A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 工程师未按合同约定提供所需指令、批准等，致使施工不能正常进行；</w:t>
      </w:r>
    </w:p>
    <w:p w14:paraId="37D4BF6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设计变更和工程量增加； </w:t>
      </w:r>
    </w:p>
    <w:p w14:paraId="0EEB1AE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 一周内非承包人原因停水、停电、停气造成停工累计超过8小时；</w:t>
      </w:r>
    </w:p>
    <w:p w14:paraId="0EC552A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 不可抗力；</w:t>
      </w:r>
    </w:p>
    <w:p w14:paraId="2DCD8D0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 专用条款中约定或工程师同意工期顺延的其他情况。</w:t>
      </w:r>
    </w:p>
    <w:p w14:paraId="11FCB75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13.2承包人在13.1款情况发生后14天内，就延误的工期以书面形式向工程师提出报告。工程师在收到报告后14天内予以确认，逾期不予确认也不提出修改意见，视为同意顺延工期。 </w:t>
      </w:r>
    </w:p>
    <w:p w14:paraId="0724DFD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14、工程竣工 </w:t>
      </w:r>
    </w:p>
    <w:p w14:paraId="4C16801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14.1 承包人必须按照协议书约定的竣工日期或工程师同意顺延的工期竣工。 </w:t>
      </w:r>
    </w:p>
    <w:p w14:paraId="6463B31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14.2 因承包人原因不能按照协议书约定的竣工日期或工程师同意顺延的工期竣工的，承包人承担违约责任。 </w:t>
      </w:r>
    </w:p>
    <w:p w14:paraId="51AAB4D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14:paraId="0E88B51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四、质量与检验 </w:t>
      </w:r>
    </w:p>
    <w:p w14:paraId="6C22C2E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15、工程质量 </w:t>
      </w:r>
    </w:p>
    <w:p w14:paraId="6148CC7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pacing w:val="6"/>
          <w:sz w:val="24"/>
          <w:szCs w:val="24"/>
          <w:highlight w:val="none"/>
        </w:rPr>
        <w:t>5.1 工程质量应当达到协议书约定的质量标准，质量标准的评定以国家或</w:t>
      </w:r>
      <w:r>
        <w:rPr>
          <w:rFonts w:hint="eastAsia" w:ascii="宋体" w:hAnsi="宋体" w:cs="宋体"/>
          <w:color w:val="auto"/>
          <w:sz w:val="24"/>
          <w:szCs w:val="24"/>
          <w:highlight w:val="none"/>
        </w:rPr>
        <w:t xml:space="preserve">行业的质量检验评定标准为依据。因承包人原因工程质量达不到约定的质量标准，承包人承担违约责任。 </w:t>
      </w:r>
    </w:p>
    <w:p w14:paraId="1B949AA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15.2 双方对工程质量有争议，由双方同意的工程质量检测机构鉴定，所需费用及因此造成的损失，由责任方承担。双方均有责任，由双方根据其责任分别承担。 </w:t>
      </w:r>
    </w:p>
    <w:p w14:paraId="6EE5DC9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16、检查和返工 </w:t>
      </w:r>
    </w:p>
    <w:p w14:paraId="30848D5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16.1 承包人应认真按照标准、规范和设计图纸要求以及工程师依据合同发出的指令施工，随时接受工程师的检查检验，为检查检验提供便利条件。 </w:t>
      </w:r>
    </w:p>
    <w:p w14:paraId="42794DF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14:paraId="1FAA9B1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14:paraId="4D68B15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16.4 因工程师指令失误或其他非承包人原因发生的追加合同价款，由发包人承担。 </w:t>
      </w:r>
    </w:p>
    <w:p w14:paraId="6C91E65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17、隐蔽工程和中间验收 </w:t>
      </w:r>
    </w:p>
    <w:p w14:paraId="4119935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s="宋体"/>
          <w:color w:val="auto"/>
          <w:spacing w:val="4"/>
          <w:sz w:val="24"/>
          <w:szCs w:val="24"/>
          <w:highlight w:val="none"/>
        </w:rPr>
        <w:t>工程师在验收记录上签字后，承包人可进行隐蔽和继续施工。验收不合格</w:t>
      </w:r>
      <w:r>
        <w:rPr>
          <w:rFonts w:hint="eastAsia" w:ascii="宋体" w:hAnsi="宋体" w:cs="宋体"/>
          <w:color w:val="auto"/>
          <w:sz w:val="24"/>
          <w:szCs w:val="24"/>
          <w:highlight w:val="none"/>
        </w:rPr>
        <w:t xml:space="preserve">，承包人在工程师限定的时间内修改后重新验收。 </w:t>
      </w:r>
    </w:p>
    <w:p w14:paraId="4F5CDB0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14:paraId="487F55A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17.3 经工程师验收，工程质量符合标准、规范和设计图纸等要求，验收24</w:t>
      </w:r>
      <w:r>
        <w:rPr>
          <w:rFonts w:hint="eastAsia" w:ascii="宋体" w:hAnsi="宋体" w:cs="宋体"/>
          <w:color w:val="auto"/>
          <w:spacing w:val="4"/>
          <w:sz w:val="24"/>
          <w:szCs w:val="24"/>
          <w:highlight w:val="none"/>
        </w:rPr>
        <w:t>小时后，工程师不在验收记录上签字，视为工程师已经认可验收记录，承包</w:t>
      </w:r>
      <w:r>
        <w:rPr>
          <w:rFonts w:hint="eastAsia" w:ascii="宋体" w:hAnsi="宋体" w:cs="宋体"/>
          <w:color w:val="auto"/>
          <w:sz w:val="24"/>
          <w:szCs w:val="24"/>
          <w:highlight w:val="none"/>
        </w:rPr>
        <w:t xml:space="preserve">人可进行隐蔽或继续施工。 </w:t>
      </w:r>
    </w:p>
    <w:p w14:paraId="60F60AE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18、重新检验 </w:t>
      </w:r>
    </w:p>
    <w:p w14:paraId="33723E4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110976E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19、工程试车 </w:t>
      </w:r>
    </w:p>
    <w:p w14:paraId="640A1C3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19.1 双方约定需要试车的，试车内容应与承包人承包的安装范围相一致。 </w:t>
      </w:r>
    </w:p>
    <w:p w14:paraId="0E235D2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14:paraId="6EED37A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14:paraId="19D1A76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14:paraId="2006D92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19.5双方责任 </w:t>
      </w:r>
    </w:p>
    <w:p w14:paraId="20FAD3A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14:paraId="5486E8C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14:paraId="0CCD1B2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由于承包人施工原因试车达不到验收要求，承包人按工程师要求重新安装和试车，并承担重新安装和试车的费用，工期不予顺延。 </w:t>
      </w:r>
    </w:p>
    <w:p w14:paraId="3EE0469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 试车费用除已包括在合同价款之内或专用条款另有约定外，均由发包人承担。</w:t>
      </w:r>
    </w:p>
    <w:p w14:paraId="7371C10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 工程师在试车合格后不在试车记录上签字，试车结束24小时后，视为工程师已经认可试车记录，承包人可继续施工或办理竣工手续。 </w:t>
      </w:r>
    </w:p>
    <w:p w14:paraId="6FBD1DD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19.6 投料试车应在工程竣工验收后由发包人负责，如发包人要求在工程竣工验收前进行或需要承包人配合时，应征得承包人同意，另行签订补充协议。 </w:t>
      </w:r>
    </w:p>
    <w:p w14:paraId="59C1C30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五、安全施工 </w:t>
      </w:r>
    </w:p>
    <w:p w14:paraId="1E510B0E">
      <w:pPr>
        <w:spacing w:line="440" w:lineRule="exact"/>
        <w:ind w:firstLine="424" w:firstLineChars="177"/>
        <w:rPr>
          <w:rFonts w:ascii="宋体" w:hAnsi="宋体" w:cs="宋体"/>
          <w:b/>
          <w:bCs/>
          <w:color w:val="auto"/>
          <w:sz w:val="24"/>
          <w:szCs w:val="24"/>
          <w:highlight w:val="none"/>
        </w:rPr>
      </w:pPr>
      <w:r>
        <w:rPr>
          <w:rFonts w:hint="eastAsia" w:ascii="宋体" w:hAnsi="宋体" w:cs="宋体"/>
          <w:color w:val="auto"/>
          <w:sz w:val="24"/>
          <w:szCs w:val="24"/>
          <w:highlight w:val="none"/>
        </w:rPr>
        <w:t xml:space="preserve">20、安全施工与检查 </w:t>
      </w:r>
    </w:p>
    <w:p w14:paraId="41D6FD5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14:paraId="785019D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14:paraId="453FFA1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21、安全防护 </w:t>
      </w:r>
    </w:p>
    <w:p w14:paraId="27DA8B7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14:paraId="7AA2612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21.2实施爆破作业，在放射、毒害性环境中施工（含储存、运输、使用）及使用毒害性、腐蚀性物品施工时，承包人应在施工前14天以书面形式通知工</w:t>
      </w:r>
      <w:r>
        <w:rPr>
          <w:rFonts w:hint="eastAsia" w:ascii="宋体" w:hAnsi="宋体" w:cs="宋体"/>
          <w:color w:val="auto"/>
          <w:spacing w:val="2"/>
          <w:sz w:val="24"/>
          <w:szCs w:val="24"/>
          <w:highlight w:val="none"/>
        </w:rPr>
        <w:t>程师，并提出相应的安全防护措施，经工程师认可后实施,由发包人承担安全</w:t>
      </w:r>
      <w:r>
        <w:rPr>
          <w:rFonts w:hint="eastAsia" w:ascii="宋体" w:hAnsi="宋体" w:cs="宋体"/>
          <w:color w:val="auto"/>
          <w:sz w:val="24"/>
          <w:szCs w:val="24"/>
          <w:highlight w:val="none"/>
        </w:rPr>
        <w:t xml:space="preserve">防护措施费用。 </w:t>
      </w:r>
    </w:p>
    <w:p w14:paraId="1D97E22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22、事故处理 </w:t>
      </w:r>
    </w:p>
    <w:p w14:paraId="4B5E831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22.1发生重大伤亡及其他安全事故，承包人应按有关规定立即上报有关部门并通知工程师，同时按政府有关部门要求处理，由事故责任方承担发生的费用。</w:t>
      </w:r>
    </w:p>
    <w:p w14:paraId="22A5F6E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22.2发包人承包人对事故责任有争议时，应按政府有关部门的认定处理。 </w:t>
      </w:r>
    </w:p>
    <w:p w14:paraId="6679AE1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六、合同价款与支付 </w:t>
      </w:r>
    </w:p>
    <w:p w14:paraId="2DB842E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23、合同价款及调整 </w:t>
      </w:r>
    </w:p>
    <w:p w14:paraId="2D0DF92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23.1招标工程的合同价款由发包人承包人依据中标通知书中的中标价格在协议书内约定。非招标工程的合同价款由发包人承包人依据工程预算书在协议书内约定。 </w:t>
      </w:r>
    </w:p>
    <w:p w14:paraId="79DE4EA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23.2合同价款在协议书内约定后，任何一方不得擅自改变。下列三种确定合同价款的方式，双方可在专用条款内约定采用其中一种： </w:t>
      </w:r>
    </w:p>
    <w:p w14:paraId="4A2A39A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14:paraId="0DAE645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可调价格合同。合同价款可根据双方的约定而调整，双方在专用条款内约定合同价款调整方法。 </w:t>
      </w:r>
    </w:p>
    <w:p w14:paraId="77C51F3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成本加酬金合同。合同价款包括成本和酬金两部分，双方在专用条款内约定成本构成和酬金的计算方法。 </w:t>
      </w:r>
    </w:p>
    <w:p w14:paraId="0748C54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23.3可调价格合同中合同价款的调整因素包括：</w:t>
      </w:r>
    </w:p>
    <w:p w14:paraId="3C6D6B6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法律、行政法规和国家有关政策变化影响合同价款； </w:t>
      </w:r>
    </w:p>
    <w:p w14:paraId="13FF722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工程造价管理部门公布的价格调整； </w:t>
      </w:r>
    </w:p>
    <w:p w14:paraId="2A357A7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一周内非承包人原因停水、停电、停气造成的停工累计超过8小时； </w:t>
      </w:r>
    </w:p>
    <w:p w14:paraId="49CBF28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双方约定的其他因素。 </w:t>
      </w:r>
    </w:p>
    <w:p w14:paraId="1B2C573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14:paraId="2D57FB1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24、工程预付款 </w:t>
      </w:r>
    </w:p>
    <w:p w14:paraId="76A4FCA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14:paraId="1A158C9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25、工程量的确认 </w:t>
      </w:r>
    </w:p>
    <w:p w14:paraId="59A4B4C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14:paraId="3505BCB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14:paraId="0B558C6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25.3对承包人超出设计图纸范围和因承包人原因造成返工的工程量，工程师不予计量。 </w:t>
      </w:r>
    </w:p>
    <w:p w14:paraId="46748EF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26、工程款（进度款）支付。 </w:t>
      </w:r>
    </w:p>
    <w:p w14:paraId="56C0B9D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26.1 在确认计量结果后14天内，发包人应向承包人支付工程款（进度款）。按约定时间发包人应扣回的预付款，与工程款（进度款）同期结算。 </w:t>
      </w:r>
    </w:p>
    <w:p w14:paraId="6BE8C84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26.2 本通用条款第23条确定调整的合同价款，第31条工程变更调整的合同价款及其他条款中约定的追加合同价款，应与工程款（进度款）同期调整支付。 </w:t>
      </w:r>
    </w:p>
    <w:p w14:paraId="72AAC3E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14:paraId="6008D4A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26.4 发包人不按合同约定支付工程款（进度款），双方又未达成延期付款协议，导致施工无法进行，承包人可停止施工，由发包人承担违约责任。 </w:t>
      </w:r>
    </w:p>
    <w:p w14:paraId="13A3E54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七、材料设备供应 </w:t>
      </w:r>
    </w:p>
    <w:p w14:paraId="02731BC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27、发包人供应材料设备 </w:t>
      </w:r>
    </w:p>
    <w:p w14:paraId="6F43B11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14:paraId="1475659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14:paraId="7CC3CDC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27.3 发包人供应的材料设备，承包人派人参加清点后由承包人妥善保管，发包人支付相应保管费用。因承包人原因发生丢失损坏，由承包人负责赔偿。 </w:t>
      </w:r>
    </w:p>
    <w:p w14:paraId="65AEC72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发包人未通知承包人清点，承包人不负责材料设备的保管，丢失损坏由发包人负责。 </w:t>
      </w:r>
    </w:p>
    <w:p w14:paraId="21FBD09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27.4发包人供应的材料设备与一览表不符时，发包人承担有关责任。发包人应承担责任的具体内容，双方根据下列情况在专用条款内约定。 </w:t>
      </w:r>
    </w:p>
    <w:p w14:paraId="4FC8829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材料设备单价与一览表不符，由发包人承担所有价差； </w:t>
      </w:r>
    </w:p>
    <w:p w14:paraId="67B5173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材料设备的品种、规格、型号、质量等级与一览表不符，承包人可拒绝接收保管，由发包人运出施工场地并重新采购； </w:t>
      </w:r>
    </w:p>
    <w:p w14:paraId="22314D6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发包人供应的材料规格、型号与一览表不符，经发包人同意，承包人可代为调剂串换，由发包人承担相应费用； </w:t>
      </w:r>
    </w:p>
    <w:p w14:paraId="6A05B3E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到货地点与一览表不符，由发包人负责运至一览表指定地点： </w:t>
      </w:r>
    </w:p>
    <w:p w14:paraId="1059F4F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 供应数量少于一览表约定的数量时，由发包人补齐，多于一览表约定数量时，发包人负责将多出部分运出施工场地； </w:t>
      </w:r>
    </w:p>
    <w:p w14:paraId="4061E0F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(6) 到货时间早于一览表约定时间，由发包人承担因此发生的保管费用；到货时间迟于一览表约定的供应时间，发包人赔偿由此造成的承包人损失，造成工期延误的，相应顺延工期。 </w:t>
      </w:r>
    </w:p>
    <w:p w14:paraId="4E85D1C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27.5发包人供应的材料设备使用前，由承包人负责检验或试验，不合格的不得使用，检验或试验费用由发包人承担。 </w:t>
      </w:r>
    </w:p>
    <w:p w14:paraId="698D7B6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27.6发包人供应材料设备的结算方法，双方在专用条款内约定。 </w:t>
      </w:r>
    </w:p>
    <w:p w14:paraId="306349C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28、承包人采购材料设备 </w:t>
      </w:r>
    </w:p>
    <w:p w14:paraId="5910363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28.1 承包人负责采购材料设备的，应按照专用条款约定及设计和有关标准要求采购，并提供产品合格证明，对材料设备质量负责。承包人在材料设备到货前24小时通知工程师清点。</w:t>
      </w:r>
    </w:p>
    <w:p w14:paraId="0437699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28.2</w:t>
      </w:r>
      <w:r>
        <w:rPr>
          <w:rFonts w:hint="eastAsia" w:ascii="宋体" w:hAnsi="宋体" w:cs="宋体"/>
          <w:color w:val="auto"/>
          <w:spacing w:val="8"/>
          <w:sz w:val="24"/>
          <w:szCs w:val="24"/>
          <w:highlight w:val="none"/>
        </w:rPr>
        <w:t xml:space="preserve"> 承包人采购的材料设备与设计或标准要求不符时，承包人应按工程师要</w:t>
      </w:r>
      <w:r>
        <w:rPr>
          <w:rFonts w:hint="eastAsia" w:ascii="宋体" w:hAnsi="宋体" w:cs="宋体"/>
          <w:color w:val="auto"/>
          <w:sz w:val="24"/>
          <w:szCs w:val="24"/>
          <w:highlight w:val="none"/>
        </w:rPr>
        <w:t xml:space="preserve">求的时间运出施工场地，重新采购符合要求的产品，承担由此发生的费用，由此延误的工期不予顺延。 </w:t>
      </w:r>
    </w:p>
    <w:p w14:paraId="1F6A40E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28.3 承包人采购的材料设备在使用前，承包人应按工程师的要求进行检验或试验，不合格的不得使用，检验或试验费用由承包人承担。 </w:t>
      </w:r>
    </w:p>
    <w:p w14:paraId="280CB52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28.4 工程师发现承包人采购并使用不符合设计或标准要求的材料设备时，应要求由承包人负责修复、拆除或重新采购，并承担发生的费用，由此延误的工期不予顺延。 </w:t>
      </w:r>
    </w:p>
    <w:p w14:paraId="4469EAC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28.5 承包人需要使用代用材料时，应经工程师认可后才能使用，由此增减的合同价款双方以书面形式议定。 </w:t>
      </w:r>
    </w:p>
    <w:p w14:paraId="644B886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28.6 由承包人采购的材料设备，发包人不得指定生产厂或供应商。 </w:t>
      </w:r>
    </w:p>
    <w:p w14:paraId="4E8743C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八、工程变更 </w:t>
      </w:r>
    </w:p>
    <w:p w14:paraId="2A12DA2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29、工程设计变更 </w:t>
      </w:r>
    </w:p>
    <w:p w14:paraId="305DBA6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14:paraId="2755274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更改工程有关部分的标高、基线、位置和尺寸； </w:t>
      </w:r>
    </w:p>
    <w:p w14:paraId="61AC742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增减合同中约定的工程量； </w:t>
      </w:r>
    </w:p>
    <w:p w14:paraId="3DDDAD9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改变有关工程的施工时间和顺序； </w:t>
      </w:r>
    </w:p>
    <w:p w14:paraId="1E5A53C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其他有关工程变更需要的附加工作。 </w:t>
      </w:r>
    </w:p>
    <w:p w14:paraId="69756ED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因变更导致合同价款的增减及造成的承包人损失，由发包人承担，延误的工期相应顺延。 </w:t>
      </w:r>
    </w:p>
    <w:p w14:paraId="506F6C5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29.2施工中承包人不得对原工程设计进行变更。因承包人擅自变更设计发生的费用和由此导致发包人的直接损失，由承包人承担，延误的工期不予顺延。</w:t>
      </w:r>
    </w:p>
    <w:p w14:paraId="7094DF5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3EAA9E9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工程师同意采用承包人合理化建议，所发生的费用和获得的收益，发包人承包人另行约定分担或分享。 </w:t>
      </w:r>
    </w:p>
    <w:p w14:paraId="13F1C01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30、其他变更 </w:t>
      </w:r>
    </w:p>
    <w:p w14:paraId="3D0CD78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合同履行中发包人要求变更工程质量标准及发生其他实质性变更，由双方协商解决。 </w:t>
      </w:r>
    </w:p>
    <w:p w14:paraId="7106838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31、确定变更价款 </w:t>
      </w:r>
    </w:p>
    <w:p w14:paraId="3082B59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31.1承包人在工程变更确定后14天内，提出变更工程价款的报告，经工程师确认后调整合同价款。变更合同价款按下列方法进行： </w:t>
      </w:r>
    </w:p>
    <w:p w14:paraId="692BD79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合同中已有适用于变更工程的价格，按合同已有的价格变更合同价款； </w:t>
      </w:r>
    </w:p>
    <w:p w14:paraId="578916A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合同中只有类似于变更工程的价格，可以参照类似价格变更合同价款； </w:t>
      </w:r>
    </w:p>
    <w:p w14:paraId="4C2EF10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合同中没有适用或类似于变更工程的价格，由承包人提出适当的变更价格，经工程师确认后执行。 </w:t>
      </w:r>
    </w:p>
    <w:p w14:paraId="21F9333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31.2承包人在双方确定变更后14天内不向工程师提出变更工程价款报告时，视为该项变更不涉及合同价款的变更。 </w:t>
      </w:r>
    </w:p>
    <w:p w14:paraId="4CD4670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31.3工程师应在收到变更工程价款报告之日起14天内予以确认，工程师无正当理由不确认时，自变更工程价款报告送达之日起14天后视为变更工程价款报告已被确认。 </w:t>
      </w:r>
    </w:p>
    <w:p w14:paraId="0EB01C7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31.4工程师不同意承包人提出的变更价款，按本通用条款第37条关于争议的约定处理。 </w:t>
      </w:r>
    </w:p>
    <w:p w14:paraId="202B1FD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31.5工程师确认增加的工程变更价款作为追加合同价款，与工程款同期支付。</w:t>
      </w:r>
    </w:p>
    <w:p w14:paraId="45A9DA3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31.6因承包人自身原因导致的工程变更，承包人无权要求追加合同价款。 </w:t>
      </w:r>
    </w:p>
    <w:p w14:paraId="3B3EF70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九、竣工验收与结算 </w:t>
      </w:r>
    </w:p>
    <w:p w14:paraId="170E248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32、竣工验收 </w:t>
      </w:r>
    </w:p>
    <w:p w14:paraId="060197C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32.1 工程具备竣工验收条件，承包人按国家工程竣工验收有关规定，向发包人提供完整竣工资料及竣工验收报告。双方约定由承包人提供竣工图的，应当在专用条款内约定提供的日期和份数。 </w:t>
      </w:r>
    </w:p>
    <w:p w14:paraId="493EEFD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32.2 发包人收到竣工验收报告后28天内组织有关单位验收，并在验收后14天内给予认可或提出修改意见。承包人按要求修改，并承担由自身原因造成修改的费用。</w:t>
      </w:r>
    </w:p>
    <w:p w14:paraId="09C4216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32.3 发包人收到承包人送交的竣工验收报告后28天内不组织验收，或验收后14天内不提出修改意见，视为竣工验收报告已被认可。 </w:t>
      </w:r>
    </w:p>
    <w:p w14:paraId="4822B6B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32.4 工程竣工验收通过，承包人送交竣工验收报告的日期为实际竣工日期。工程按发包人要求修改后通过竣工验收的，实际竣工日期为承包人修改后提请发包人验收的日期。 </w:t>
      </w:r>
    </w:p>
    <w:p w14:paraId="1BC0208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32.5 发包人收到承包人竣工验收报告后28天内不组织验收，从第29天起承担工程保管及一切意外责任。 </w:t>
      </w:r>
    </w:p>
    <w:p w14:paraId="6687314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32.6 中间交工工程的范围和竣工时间，双方在专用条款内约定，其验收程序按本通用条款32.1款至32.4款办理。 </w:t>
      </w:r>
    </w:p>
    <w:p w14:paraId="601E632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32.7 因特殊原因，发包人要求部分单位工程或工程部位甩项竣工的，双方另行签订甩项竣工协议，明确双方责任和工程价款支付方法。 </w:t>
      </w:r>
    </w:p>
    <w:p w14:paraId="18C2C45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32.8 工程未经竣工验收或竣工验收未通过的，发包人不得使用。发包人强行使用时，由此发生的质量问题及其他问题，由发包人承担责任。 </w:t>
      </w:r>
    </w:p>
    <w:p w14:paraId="66228D1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33、竣工结算 </w:t>
      </w:r>
    </w:p>
    <w:p w14:paraId="3A63BD0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14:paraId="35714C7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14:paraId="26E0996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33.3 发包人收到竣工结算报告及结算资料后28天内无正当理由不支付工程竣工结算价款，从第29天起按承包人同期向银行贷款利率支付拖欠工程价款的利息，并承担违约责任。</w:t>
      </w:r>
    </w:p>
    <w:p w14:paraId="188E6DD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33.4 发包人收到竣工结算报告及结算资料后28天内不支付工程竣工结算价款，承包人可以</w:t>
      </w:r>
      <w:r>
        <w:rPr>
          <w:rFonts w:hint="eastAsia" w:ascii="宋体" w:hAnsi="宋体" w:cs="宋体"/>
          <w:color w:val="auto"/>
          <w:sz w:val="24"/>
          <w:szCs w:val="24"/>
          <w:highlight w:val="none"/>
          <w:lang w:val="en-US" w:eastAsia="zh-CN"/>
        </w:rPr>
        <w:t>书面</w:t>
      </w:r>
      <w:r>
        <w:rPr>
          <w:rFonts w:hint="eastAsia" w:ascii="宋体" w:hAnsi="宋体" w:cs="宋体"/>
          <w:color w:val="auto"/>
          <w:sz w:val="24"/>
          <w:szCs w:val="24"/>
          <w:highlight w:val="none"/>
        </w:rPr>
        <w:t>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4623BE47">
      <w:pPr>
        <w:spacing w:line="440" w:lineRule="exact"/>
        <w:ind w:firstLine="424" w:firstLineChars="177"/>
        <w:rPr>
          <w:rFonts w:hint="eastAsia" w:ascii="宋体" w:hAnsi="宋体" w:cs="宋体"/>
          <w:color w:val="auto"/>
          <w:sz w:val="24"/>
          <w:szCs w:val="24"/>
          <w:highlight w:val="none"/>
        </w:rPr>
      </w:pPr>
      <w:r>
        <w:rPr>
          <w:rFonts w:hint="eastAsia" w:ascii="宋体" w:hAnsi="宋体" w:cs="宋体"/>
          <w:color w:val="auto"/>
          <w:sz w:val="24"/>
          <w:szCs w:val="24"/>
          <w:highlight w:val="none"/>
        </w:rPr>
        <w:t>33.5 工程竣工验收报告经发包人认可后28天内，承包人未能向发包人递交竣工结算报告及完整的结算资料，造成工程竣工结算不能正常进行或工程竣工结算价款不能及时支付，</w:t>
      </w:r>
      <w:r>
        <w:rPr>
          <w:rFonts w:hint="eastAsia" w:ascii="宋体" w:hAnsi="宋体" w:cs="宋体"/>
          <w:color w:val="auto"/>
          <w:sz w:val="24"/>
          <w:szCs w:val="24"/>
          <w:highlight w:val="none"/>
          <w:lang w:val="en-US" w:eastAsia="zh-CN"/>
        </w:rPr>
        <w:t>造成的损失由承包人承担，</w:t>
      </w:r>
      <w:r>
        <w:rPr>
          <w:rFonts w:hint="eastAsia" w:ascii="宋体" w:hAnsi="宋体" w:cs="宋体"/>
          <w:color w:val="auto"/>
          <w:sz w:val="24"/>
          <w:szCs w:val="24"/>
          <w:highlight w:val="none"/>
        </w:rPr>
        <w:t>发包人要求交付工程的，承包人应当交付；发包人不要求交付工程的，承包人承担保管责任。</w:t>
      </w:r>
    </w:p>
    <w:p w14:paraId="2BB66E7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33.6 发包人承包人对工程竣工结算价款发生争议时，按本通用条款37条关于争议的约定处理。 </w:t>
      </w:r>
    </w:p>
    <w:p w14:paraId="15D232B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34、质量保修 </w:t>
      </w:r>
    </w:p>
    <w:p w14:paraId="1541D63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34.1 承包人应按法律、行政法规或国家关于工程质量保修的有关规定，对交付发包人使用的工程在质量保修期内承担质量保修责任。 </w:t>
      </w:r>
    </w:p>
    <w:p w14:paraId="12460F4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34.2 质量保修工作的实施。承包人应在工程竣工验收之前，与发包人签订质量保修书，作为本合同附件（附件3）。 </w:t>
      </w:r>
    </w:p>
    <w:p w14:paraId="04907BB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34.3 质量保修书的主要内容包括： </w:t>
      </w:r>
    </w:p>
    <w:p w14:paraId="33246A8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质量保修项目内容及范围； </w:t>
      </w:r>
    </w:p>
    <w:p w14:paraId="1EEA794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质量保修期； </w:t>
      </w:r>
    </w:p>
    <w:p w14:paraId="59F52D5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质量保修责任； </w:t>
      </w:r>
    </w:p>
    <w:p w14:paraId="6D7DEF3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质量保修金的支付方法。 </w:t>
      </w:r>
    </w:p>
    <w:p w14:paraId="6FB5A97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十、违约、索赔和争议 </w:t>
      </w:r>
    </w:p>
    <w:p w14:paraId="595DEA7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35、违约 </w:t>
      </w:r>
    </w:p>
    <w:p w14:paraId="217D7EE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35.1发包人违约。当发生下列情况时：</w:t>
      </w:r>
    </w:p>
    <w:p w14:paraId="125A2F4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本通用条款第24条提到的发包人不按时支付工程预付款； </w:t>
      </w:r>
    </w:p>
    <w:p w14:paraId="067D8C8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本通用条款第26.4款提到的发包人不按合同约定支付工程款，导致施工无法进行； </w:t>
      </w:r>
    </w:p>
    <w:p w14:paraId="225708A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 本通用条款第33.3款提到的发包人无正当理由不支付工程竣工结算价款；</w:t>
      </w:r>
    </w:p>
    <w:p w14:paraId="7FF1420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发包人不履行合同义务或不按合同约定履行义务的其他情况。 </w:t>
      </w:r>
    </w:p>
    <w:p w14:paraId="05B8058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发包人承担违约责任，赔偿因其违约给承包人造成的经济损失，顺延延误的工期。双方在专用条款内约定发包人赔偿承包人损失的计算方法或者发包人应当支付违约金的数额或计算方法。 </w:t>
      </w:r>
    </w:p>
    <w:p w14:paraId="01D49AC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35.2承包人违约。当发生下列情况时： </w:t>
      </w:r>
    </w:p>
    <w:p w14:paraId="79E5E20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本通用条款第14.2款提到的因承包人原因不能按照协议书约定的竣工日期或工程师同意顺延的工期竣工； </w:t>
      </w:r>
    </w:p>
    <w:p w14:paraId="116C549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本通用条款第15.1款提到的因承包人原因工程质量达不到协议书约定的质量标准； </w:t>
      </w:r>
    </w:p>
    <w:p w14:paraId="755DB63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承包人不履行合同义务或不按合同约定履行义务的其他情况。 </w:t>
      </w:r>
    </w:p>
    <w:p w14:paraId="7429178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承包人承担违约责任，赔偿因其违约给发包人造成的损失。双方在专用条款内约定承包人赔偿发包人损失的计算方法或者承包人应当支付违约金的数额或计算方法。 </w:t>
      </w:r>
    </w:p>
    <w:p w14:paraId="2ABAA86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35.3一方违约后，另一方要求违约方继续履行合同时，违约方承担上述违约责任后仍应继续履行合同。 </w:t>
      </w:r>
    </w:p>
    <w:p w14:paraId="0C79896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36、索赔 </w:t>
      </w:r>
    </w:p>
    <w:p w14:paraId="0974B14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36.1当一方向另一方提出索赔时，要有正当索赔理由，且有索赔事件发生时的有效证据。 </w:t>
      </w:r>
    </w:p>
    <w:p w14:paraId="5FB02C4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14:paraId="158A091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索赔事件发生后28天内，向工程师发出索赔意向通知； </w:t>
      </w:r>
    </w:p>
    <w:p w14:paraId="0A7A744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发出索赔意向通知后28天内，向工程师提出延长工期和（或）补偿经济损失的索赔报告及有关资料； </w:t>
      </w:r>
    </w:p>
    <w:p w14:paraId="51CD811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工程师在收到承包人送交的索赔报告及有关资料后，于28天内给予答复，或要求承包人进一步补充索赔理由和证据； </w:t>
      </w:r>
    </w:p>
    <w:p w14:paraId="43BA01B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工程师在收到承包人送交的索赔报告和有关资料后28天内未予答复或未对承包人作进一步要求，视为该项索赔已经认可； </w:t>
      </w:r>
    </w:p>
    <w:p w14:paraId="3BB47E9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 当该索赔事件持续进行时，承包人应当阶段性向工程师发出索赔意向，在索赔事件终了后28天内，向工程师送交索赔的有关资料和最终索赔报告。索赔答复程序与（3）、（4）规定相同。 </w:t>
      </w:r>
    </w:p>
    <w:p w14:paraId="603BCE9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36.3承包人未能按合同约定履行自己的各项义务或发生错误，给发包人造成经济损失，发包人可按36.2款确定的时限向承包人提出索赔。 </w:t>
      </w:r>
    </w:p>
    <w:p w14:paraId="5ECD97F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37、争议 </w:t>
      </w:r>
    </w:p>
    <w:p w14:paraId="437FF39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37.1发包人承包人在履行合同时发生争议，可以和解或者要求有关主管部门调解。当事人不愿和解、调解或者和解、调解不成的，双方可以在专用条款内约定以下一种方式解决争议： </w:t>
      </w:r>
    </w:p>
    <w:p w14:paraId="309D16B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第一种解决方式：双方达成仲裁协议，向约定的仲裁委员会申请仲裁； </w:t>
      </w:r>
    </w:p>
    <w:p w14:paraId="799D72C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第二种解决方式：向</w:t>
      </w:r>
      <w:r>
        <w:rPr>
          <w:rFonts w:hint="eastAsia" w:ascii="宋体" w:hAnsi="宋体" w:cs="宋体"/>
          <w:color w:val="auto"/>
          <w:sz w:val="24"/>
          <w:szCs w:val="24"/>
          <w:highlight w:val="none"/>
          <w:lang w:val="en-US" w:eastAsia="zh-CN"/>
        </w:rPr>
        <w:t>甲方所在地或者工程所在地</w:t>
      </w:r>
      <w:r>
        <w:rPr>
          <w:rFonts w:hint="eastAsia" w:ascii="宋体" w:hAnsi="宋体" w:cs="宋体"/>
          <w:color w:val="auto"/>
          <w:sz w:val="24"/>
          <w:szCs w:val="24"/>
          <w:highlight w:val="none"/>
        </w:rPr>
        <w:t xml:space="preserve">的人民法院起诉。 </w:t>
      </w:r>
    </w:p>
    <w:p w14:paraId="32BA523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37.2发生争议后，除非出现下列情况的，双方都应继续履行合同，保持施工连续，保护好已完工程： </w:t>
      </w:r>
    </w:p>
    <w:p w14:paraId="2F95FB8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单方违约导致合同确已无法履行，双方协议停止施工； </w:t>
      </w:r>
    </w:p>
    <w:p w14:paraId="6AE33EC7">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调解要求停止施工，且为双方接受； </w:t>
      </w:r>
    </w:p>
    <w:p w14:paraId="4045B5A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仲裁机构要求停止施工； </w:t>
      </w:r>
    </w:p>
    <w:p w14:paraId="395413D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法院要求停止施工。 </w:t>
      </w:r>
    </w:p>
    <w:p w14:paraId="641D70D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十一、其他 </w:t>
      </w:r>
    </w:p>
    <w:p w14:paraId="5C987AB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38、工程分包 </w:t>
      </w:r>
    </w:p>
    <w:p w14:paraId="138A5CC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38.1 承包人按专用条款的约定分包所承包的部分工程，并与分包单位签订分包合同。非经发包人同意，承包人不得将承包工程的任何部分分包。 </w:t>
      </w:r>
    </w:p>
    <w:p w14:paraId="35AB5A5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38.2 承包人不得将其承包的全部工程转包给他人，也不得将其承包的全部工程肢解以后以分包的名义分别转包给他人。 </w:t>
      </w:r>
    </w:p>
    <w:p w14:paraId="1E32FB0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14:paraId="4B74FCD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38.4分包工程价款由承包人与分包单位结算。发包人未经承包人同意不得以任何形式向分包单位支付各种工程款项。 </w:t>
      </w:r>
    </w:p>
    <w:p w14:paraId="5B0F5B4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39、不可抗力 </w:t>
      </w:r>
    </w:p>
    <w:p w14:paraId="3FD857E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39.1 不可抗力包括因战争、动乱、空中飞行物体坠落或其他非发包人承包人责任造成的爆炸、火灾，以及专用条款约定的风、雨、雪、洪、震等自然灾害。</w:t>
      </w:r>
    </w:p>
    <w:p w14:paraId="72DDC9D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14:paraId="1F1FE2C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39.3 因不可抗力事件导致的费用及延误的工期由双方按以下方法分别承担：</w:t>
      </w:r>
    </w:p>
    <w:p w14:paraId="28F6C9A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工程本身的损害、因工程损害导致第三人人员伤亡和财产损失以及运至施工场地用于施工的材料和待安装的设备的损害，由发包人承担； </w:t>
      </w:r>
    </w:p>
    <w:p w14:paraId="0BACABC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发包人承包人人员伤亡由其所在单位负责，并承担相应费用； </w:t>
      </w:r>
    </w:p>
    <w:p w14:paraId="6BD9A9F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(3) 承包人机械设备损坏及停工损失，由承包人承担； </w:t>
      </w:r>
    </w:p>
    <w:p w14:paraId="6AE2F4A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 停工期间，承包人应工程师要求留在施工场地的必要的管理人员及保卫人员的费用由发包人承担； </w:t>
      </w:r>
    </w:p>
    <w:p w14:paraId="0CF859F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(5) 工程所需清理、修复费用，由发包人承担； </w:t>
      </w:r>
    </w:p>
    <w:p w14:paraId="083C0A4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(6) 延误的工期相应顺延。 </w:t>
      </w:r>
    </w:p>
    <w:p w14:paraId="708DD5E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39.4因合同一方迟延履行合同后发生不可抗力的，不能免除迟延履行方的相应责任。</w:t>
      </w:r>
    </w:p>
    <w:p w14:paraId="07C483D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40、保险 </w:t>
      </w:r>
    </w:p>
    <w:p w14:paraId="5B5398C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40.1工程开工前，发包人为建设工程和施工场地内的自有人员及第三人人员生命财产办理保险，支付保险费用。</w:t>
      </w:r>
    </w:p>
    <w:p w14:paraId="1C445BA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40.2运至施工场内用于工程的材料和待安装设备，由发包人办理保险，并支付保险费用。 </w:t>
      </w:r>
    </w:p>
    <w:p w14:paraId="7B26166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40.3发包人可以将有关保险事项委托承包人办理，费用由发包人承担。 </w:t>
      </w:r>
    </w:p>
    <w:p w14:paraId="6F6A27FC">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40.4承包人必须为从事危险作业的职工办理意外伤害保险，并为施工场地内自有人员生命财产和施工机械设备办理保险，支付保险费用。 </w:t>
      </w:r>
    </w:p>
    <w:p w14:paraId="2B432E3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40.5保险事故发生时，发包人承包人有责任尽力采取必要的措施，防止或者减少损失。 </w:t>
      </w:r>
    </w:p>
    <w:p w14:paraId="647AE83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40.6具体投保内容和相关责任，发包人承包人在专用条款中约定。 </w:t>
      </w:r>
    </w:p>
    <w:p w14:paraId="52156D5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41、担保 </w:t>
      </w:r>
    </w:p>
    <w:p w14:paraId="09AAC78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41.1发包人、承包人为了全面履行合同，应互相提供以下担保： </w:t>
      </w:r>
    </w:p>
    <w:p w14:paraId="13FB7C0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发包人向承包人提供履约担保，按合同约定支付工程价款及履行合同约定的其他义务。 </w:t>
      </w:r>
    </w:p>
    <w:p w14:paraId="77513D1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(2) 承包人向发包人提供履约担保，按合同约定履行自己的各项义务。 </w:t>
      </w:r>
    </w:p>
    <w:p w14:paraId="36FB4C6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41.2 一方违约后，另一方可要求提供担保的第三人承担相应责任。 </w:t>
      </w:r>
    </w:p>
    <w:p w14:paraId="3D0164FE">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41.3 提供担保的内容、方式和相关责任，发包人承包人除在专用条款中约定外，被担保方与担保方还应签订担保合同，作为本合同附件。 </w:t>
      </w:r>
    </w:p>
    <w:p w14:paraId="7E68150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42、专利技术及特殊工艺 </w:t>
      </w:r>
    </w:p>
    <w:p w14:paraId="59BBE8C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14:paraId="0A227E5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42.2 擅自使用专利技术侵犯他人专利权的，责任者依法承担相应责任。 </w:t>
      </w:r>
    </w:p>
    <w:p w14:paraId="000ABFA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43、文物和地下障碍物 </w:t>
      </w:r>
    </w:p>
    <w:p w14:paraId="50CD7F7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14:paraId="11B7031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如发现后隐瞒不报，致使文物遭受破坏，责任者依法承担相应责任。 </w:t>
      </w:r>
    </w:p>
    <w:p w14:paraId="7ACBBE4B">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14:paraId="224B401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所发现的地下障碍物有归属单位时，发包人应报请有关部门协同处置。 </w:t>
      </w:r>
    </w:p>
    <w:p w14:paraId="3A7973B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44、合同解除 </w:t>
      </w:r>
    </w:p>
    <w:p w14:paraId="18E37AC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44.1 发包人承包人协商一致，可以解除合同。 </w:t>
      </w:r>
    </w:p>
    <w:p w14:paraId="0DF9E8F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44.2 发生本通用条款第26.4款情况，停止施工超过56天，发包人仍不支付工程款（进度款），承包人有权解除合同。 </w:t>
      </w:r>
    </w:p>
    <w:p w14:paraId="18F4C22A">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44.3 发生本通用条款第38.2款禁止的情况，承包人将其承包的全部工程转包给他人或者肢解以后以分包的名义分别转包给他人，发包人有权解除合同。 </w:t>
      </w:r>
    </w:p>
    <w:p w14:paraId="3E521105">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44.4 有下列情形之一的，发包人承包人可以解除合同： </w:t>
      </w:r>
    </w:p>
    <w:p w14:paraId="488AB218">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(1) 因不可抗力致使合同无法履行； </w:t>
      </w:r>
    </w:p>
    <w:p w14:paraId="5DB327B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 因一方违约（包括因发包人原因造成工程停建或缓建）致使合同无法履行。</w:t>
      </w:r>
    </w:p>
    <w:p w14:paraId="24FC4BF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14:paraId="4181CCED">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14:paraId="36A94E6F">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44.7合同解除后，不影响双方在合同中约定的结算和清理条款的效力。 </w:t>
      </w:r>
    </w:p>
    <w:p w14:paraId="424B678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45、合同生效与终止 </w:t>
      </w:r>
    </w:p>
    <w:p w14:paraId="067E9743">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45.1双方在协议书中约定合同生效方式。 </w:t>
      </w:r>
    </w:p>
    <w:p w14:paraId="7B882F9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45.2除本通用条款第34条外，发包人承包人履行合同全部义务，竣工结算价款支付完毕，承包人向发包人交付竣工工程后，本合同即告终止。 </w:t>
      </w:r>
    </w:p>
    <w:p w14:paraId="002EF8A6">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45.3合同的权利义务终止后，发包人承包人应当遵循诚实信用原则，履行通知、协助、保密等义务。 </w:t>
      </w:r>
    </w:p>
    <w:p w14:paraId="02657EE1">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46、合同份数 </w:t>
      </w:r>
    </w:p>
    <w:p w14:paraId="684AD562">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46.1本合同正本两份，具有同等效力，由发包人承包人分别保存一份。 </w:t>
      </w:r>
    </w:p>
    <w:p w14:paraId="3AA4EB94">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46.2本合同副本份数，由双方根据需要在专用条款内约定。 </w:t>
      </w:r>
    </w:p>
    <w:p w14:paraId="66E8A200">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 xml:space="preserve">47、补充条款 </w:t>
      </w:r>
    </w:p>
    <w:p w14:paraId="51B3FC99">
      <w:pPr>
        <w:spacing w:line="440" w:lineRule="exact"/>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双方根据有关法律、行政法规规定，结合工程实际，经协商一致后，可对本通用条款内容具体化，补充或修改，在专用条款内约定。</w:t>
      </w:r>
    </w:p>
    <w:p w14:paraId="403AA484">
      <w:pPr>
        <w:spacing w:line="440" w:lineRule="exact"/>
        <w:jc w:val="center"/>
        <w:rPr>
          <w:rFonts w:ascii="宋体" w:hAnsi="宋体" w:cs="宋体"/>
          <w:b/>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color w:val="auto"/>
          <w:sz w:val="24"/>
          <w:szCs w:val="24"/>
          <w:highlight w:val="none"/>
        </w:rPr>
        <w:t>二、  专用条款</w:t>
      </w:r>
    </w:p>
    <w:p w14:paraId="5CE183B8">
      <w:pPr>
        <w:snapToGrid w:val="0"/>
        <w:spacing w:line="440" w:lineRule="exact"/>
        <w:ind w:firstLine="424" w:firstLineChars="176"/>
        <w:rPr>
          <w:rFonts w:ascii="宋体" w:hAnsi="宋体" w:cs="宋体"/>
          <w:b/>
          <w:color w:val="auto"/>
          <w:sz w:val="24"/>
          <w:szCs w:val="24"/>
          <w:highlight w:val="none"/>
        </w:rPr>
      </w:pPr>
    </w:p>
    <w:p w14:paraId="036A5B6F">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一、词语定义及合同文件</w:t>
      </w:r>
    </w:p>
    <w:p w14:paraId="1F53261D">
      <w:pPr>
        <w:snapToGrid w:val="0"/>
        <w:spacing w:line="440" w:lineRule="exact"/>
        <w:ind w:firstLine="424" w:firstLineChars="176"/>
        <w:rPr>
          <w:rFonts w:ascii="宋体" w:hAnsi="宋体" w:cs="宋体"/>
          <w:color w:val="auto"/>
          <w:sz w:val="24"/>
          <w:szCs w:val="24"/>
          <w:highlight w:val="none"/>
        </w:rPr>
      </w:pPr>
      <w:r>
        <w:rPr>
          <w:rFonts w:hint="eastAsia" w:ascii="宋体" w:hAnsi="宋体" w:cs="宋体"/>
          <w:b/>
          <w:bCs/>
          <w:color w:val="auto"/>
          <w:sz w:val="24"/>
          <w:szCs w:val="24"/>
          <w:highlight w:val="none"/>
        </w:rPr>
        <w:t>1.词语定义</w:t>
      </w:r>
    </w:p>
    <w:p w14:paraId="73902EA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1.6设计单位</w:t>
      </w:r>
    </w:p>
    <w:p w14:paraId="128ABAA3">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3443421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1.7监理单位</w:t>
      </w:r>
    </w:p>
    <w:p w14:paraId="0D219E8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none"/>
        </w:rPr>
        <w:t>。</w:t>
      </w:r>
    </w:p>
    <w:p w14:paraId="5B83818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1.24建安工程费最高投标限价：</w:t>
      </w:r>
      <w:r>
        <w:rPr>
          <w:rFonts w:hint="eastAsia" w:ascii="宋体" w:hAnsi="宋体" w:cs="宋体"/>
          <w:color w:val="auto"/>
          <w:sz w:val="24"/>
          <w:szCs w:val="24"/>
          <w:highlight w:val="none"/>
          <w:u w:val="single"/>
        </w:rPr>
        <w:t>指在广州交易集团有限公司（广州公共资源交易中心）公示的最高投标限价</w:t>
      </w:r>
      <w:r>
        <w:rPr>
          <w:rFonts w:hint="eastAsia" w:ascii="宋体" w:hAnsi="宋体" w:cs="宋体"/>
          <w:color w:val="auto"/>
          <w:sz w:val="24"/>
          <w:szCs w:val="24"/>
          <w:highlight w:val="none"/>
        </w:rPr>
        <w:t>。</w:t>
      </w:r>
    </w:p>
    <w:p w14:paraId="07B826C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1.25建安工程费中标下浮率：</w:t>
      </w:r>
      <w:r>
        <w:rPr>
          <w:rFonts w:hint="eastAsia" w:ascii="宋体" w:hAnsi="宋体" w:cs="宋体"/>
          <w:color w:val="auto"/>
          <w:sz w:val="24"/>
          <w:szCs w:val="24"/>
          <w:highlight w:val="none"/>
          <w:u w:val="single"/>
        </w:rPr>
        <w:t>建安工程费中标下浮率=（1-建安工程费中标价格÷建安工程费最高投标限价）×100%。</w:t>
      </w:r>
    </w:p>
    <w:p w14:paraId="3C62A873">
      <w:pPr>
        <w:spacing w:line="440" w:lineRule="exact"/>
        <w:ind w:firstLine="422" w:firstLineChars="176"/>
        <w:rPr>
          <w:rFonts w:ascii="宋体" w:hAnsi="宋体" w:cs="宋体"/>
          <w:b/>
          <w:color w:val="auto"/>
          <w:sz w:val="24"/>
          <w:szCs w:val="24"/>
          <w:highlight w:val="none"/>
          <w:u w:val="single"/>
        </w:rPr>
      </w:pPr>
      <w:r>
        <w:rPr>
          <w:rFonts w:hint="eastAsia" w:ascii="宋体" w:hAnsi="宋体" w:cs="宋体"/>
          <w:b w:val="0"/>
          <w:bCs/>
          <w:color w:val="auto"/>
          <w:sz w:val="24"/>
          <w:szCs w:val="24"/>
          <w:highlight w:val="none"/>
          <w:u w:val="single"/>
        </w:rPr>
        <w:t>1.26</w:t>
      </w:r>
      <w:r>
        <w:rPr>
          <w:rFonts w:hint="eastAsia" w:ascii="宋体" w:hAnsi="宋体" w:cs="宋体"/>
          <w:color w:val="auto"/>
          <w:sz w:val="24"/>
          <w:szCs w:val="24"/>
          <w:highlight w:val="none"/>
          <w:u w:val="single"/>
        </w:rPr>
        <w:t>工人工资比例暂按20%，最终以</w:t>
      </w:r>
      <w:r>
        <w:rPr>
          <w:rFonts w:hint="eastAsia" w:ascii="宋体" w:hAnsi="宋体" w:cs="宋体"/>
          <w:color w:val="auto"/>
          <w:sz w:val="24"/>
          <w:szCs w:val="24"/>
          <w:highlight w:val="none"/>
          <w:u w:val="single"/>
          <w:lang w:val="en-US" w:eastAsia="zh-CN"/>
        </w:rPr>
        <w:t>园区财政评审部门或其授权委托单位审定</w:t>
      </w:r>
      <w:r>
        <w:rPr>
          <w:rFonts w:hint="eastAsia" w:ascii="宋体" w:hAnsi="宋体" w:cs="宋体"/>
          <w:color w:val="auto"/>
          <w:sz w:val="24"/>
          <w:szCs w:val="24"/>
          <w:highlight w:val="none"/>
          <w:u w:val="single"/>
        </w:rPr>
        <w:t>的</w:t>
      </w:r>
      <w:r>
        <w:rPr>
          <w:rFonts w:hint="eastAsia" w:ascii="宋体" w:hAnsi="宋体" w:cs="宋体"/>
          <w:color w:val="auto"/>
          <w:sz w:val="24"/>
          <w:szCs w:val="24"/>
          <w:highlight w:val="none"/>
          <w:u w:val="single"/>
        </w:rPr>
        <w:t>概算建安费</w:t>
      </w:r>
      <w:r>
        <w:rPr>
          <w:rFonts w:hint="eastAsia" w:ascii="宋体" w:hAnsi="宋体" w:cs="宋体"/>
          <w:color w:val="auto"/>
          <w:sz w:val="24"/>
          <w:szCs w:val="24"/>
          <w:highlight w:val="none"/>
          <w:u w:val="single"/>
        </w:rPr>
        <w:t>中的人工费/工程费的比例为准。</w:t>
      </w:r>
    </w:p>
    <w:p w14:paraId="1A7C4F23">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2、合同文件及解释顺序</w:t>
      </w:r>
    </w:p>
    <w:p w14:paraId="0D69ACAE">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2.1合同文件组成及解释顺序：</w:t>
      </w:r>
      <w:r>
        <w:rPr>
          <w:rFonts w:hint="eastAsia" w:ascii="宋体" w:hAnsi="宋体" w:cs="宋体"/>
          <w:color w:val="auto"/>
          <w:sz w:val="24"/>
          <w:szCs w:val="24"/>
          <w:highlight w:val="none"/>
          <w:u w:val="single"/>
        </w:rPr>
        <w:t>1.本合同履行期间发包人与承包人双方签订的补充合同（协议）或修正文件；2.本合同协议书；3.国家、广东省、</w:t>
      </w:r>
      <w:r>
        <w:rPr>
          <w:rFonts w:hint="eastAsia" w:ascii="宋体" w:hAnsi="宋体" w:cs="宋体"/>
          <w:color w:val="auto"/>
          <w:sz w:val="24"/>
          <w:szCs w:val="24"/>
          <w:highlight w:val="none"/>
          <w:u w:val="single"/>
          <w:lang w:val="en-US" w:eastAsia="zh-CN"/>
        </w:rPr>
        <w:t>清远市、佛冈县、园区管委会</w:t>
      </w:r>
      <w:r>
        <w:rPr>
          <w:rFonts w:hint="eastAsia" w:ascii="宋体" w:hAnsi="宋体" w:cs="宋体"/>
          <w:color w:val="auto"/>
          <w:sz w:val="24"/>
          <w:szCs w:val="24"/>
          <w:highlight w:val="none"/>
          <w:u w:val="single"/>
        </w:rPr>
        <w:t>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工程质量保修责任书、保函承诺书、</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负责人驻场承诺书、工程建设廉政协议书等）</w:t>
      </w:r>
      <w:r>
        <w:rPr>
          <w:rFonts w:hint="eastAsia" w:ascii="宋体" w:hAnsi="宋体" w:cs="宋体"/>
          <w:color w:val="auto"/>
          <w:sz w:val="24"/>
          <w:szCs w:val="24"/>
          <w:highlight w:val="none"/>
        </w:rPr>
        <w:t>。</w:t>
      </w:r>
    </w:p>
    <w:p w14:paraId="5F275DE3">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3、语言文字和适用法律、标准及规范</w:t>
      </w:r>
    </w:p>
    <w:p w14:paraId="6FC0105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3.1本合同除使用汉语外，还使用</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14:paraId="48AC34C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3.2适用法律和法规</w:t>
      </w:r>
    </w:p>
    <w:p w14:paraId="7AA61577">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14:paraId="38777BE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3.3适用标准、规范</w:t>
      </w:r>
    </w:p>
    <w:p w14:paraId="3102E6C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14:paraId="33B0D84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53E1C6C">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14:paraId="7896EA8D">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4、图纸</w:t>
      </w:r>
    </w:p>
    <w:p w14:paraId="72D32480">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4.1发包人向承包人提供图纸日期和套数：</w:t>
      </w:r>
      <w:r>
        <w:rPr>
          <w:rFonts w:hint="eastAsia" w:ascii="宋体" w:hAnsi="宋体" w:cs="宋体"/>
          <w:color w:val="auto"/>
          <w:sz w:val="24"/>
          <w:szCs w:val="24"/>
          <w:highlight w:val="none"/>
          <w:u w:val="single"/>
        </w:rPr>
        <w:t>开工前提供   套图纸</w:t>
      </w:r>
      <w:r>
        <w:rPr>
          <w:rFonts w:hint="eastAsia" w:ascii="宋体" w:hAnsi="宋体" w:cs="宋体"/>
          <w:color w:val="auto"/>
          <w:sz w:val="24"/>
          <w:szCs w:val="24"/>
          <w:highlight w:val="none"/>
        </w:rPr>
        <w:t>。</w:t>
      </w:r>
    </w:p>
    <w:p w14:paraId="269E9A65">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14:paraId="0122CF9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4AF339A">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二、双方一般权利和义务</w:t>
      </w:r>
    </w:p>
    <w:p w14:paraId="04EB271A">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5、工程师</w:t>
      </w:r>
    </w:p>
    <w:p w14:paraId="50B562C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5.2监理单位委派的工程师</w:t>
      </w:r>
    </w:p>
    <w:p w14:paraId="5B949887">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20E350B">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14:paraId="3C5F5C6E">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14:paraId="0D2C350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14:paraId="3105B592">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5.3发包人派驻的工程师</w:t>
      </w:r>
    </w:p>
    <w:p w14:paraId="603250A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295A5B5B">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14:paraId="69AF16B5">
      <w:pPr>
        <w:snapToGrid w:val="0"/>
        <w:spacing w:line="440" w:lineRule="exact"/>
        <w:ind w:firstLine="394" w:firstLineChars="176"/>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r>
        <w:rPr>
          <w:rFonts w:hint="eastAsia" w:ascii="宋体" w:hAnsi="宋体" w:cs="宋体"/>
          <w:color w:val="auto"/>
          <w:spacing w:val="-8"/>
          <w:sz w:val="24"/>
          <w:szCs w:val="24"/>
          <w:highlight w:val="none"/>
        </w:rPr>
        <w:t>。</w:t>
      </w:r>
    </w:p>
    <w:p w14:paraId="5EEE1E3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5.6不实行监理的，工程师的职权：</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574BD859">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7、</w:t>
      </w:r>
      <w:r>
        <w:rPr>
          <w:rFonts w:hint="eastAsia" w:ascii="宋体" w:hAnsi="宋体" w:cs="宋体"/>
          <w:b/>
          <w:color w:val="auto"/>
          <w:sz w:val="24"/>
          <w:szCs w:val="24"/>
          <w:highlight w:val="none"/>
          <w:lang w:val="en-US" w:eastAsia="zh-CN"/>
        </w:rPr>
        <w:t>项目</w:t>
      </w:r>
      <w:r>
        <w:rPr>
          <w:rFonts w:hint="eastAsia" w:ascii="宋体" w:hAnsi="宋体" w:cs="宋体"/>
          <w:b/>
          <w:color w:val="auto"/>
          <w:sz w:val="24"/>
          <w:szCs w:val="24"/>
          <w:highlight w:val="none"/>
        </w:rPr>
        <w:t>负责人</w:t>
      </w:r>
    </w:p>
    <w:p w14:paraId="4D8D65B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7.1（1）</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w:t>
      </w:r>
    </w:p>
    <w:p w14:paraId="7ECF8717">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代表承包人全权处理本工程的一切施工事务</w:t>
      </w:r>
      <w:r>
        <w:rPr>
          <w:rFonts w:hint="eastAsia" w:ascii="宋体" w:hAnsi="宋体" w:cs="宋体"/>
          <w:color w:val="auto"/>
          <w:sz w:val="24"/>
          <w:szCs w:val="24"/>
          <w:highlight w:val="none"/>
        </w:rPr>
        <w:t>。</w:t>
      </w:r>
    </w:p>
    <w:p w14:paraId="7682EE5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负责人驻场承诺书》中的承诺常驻现场，代表承包人履行与发包人签订的本建设工程施工合同</w:t>
      </w:r>
      <w:r>
        <w:rPr>
          <w:rFonts w:hint="eastAsia" w:ascii="宋体" w:hAnsi="宋体" w:cs="宋体"/>
          <w:color w:val="auto"/>
          <w:sz w:val="24"/>
          <w:szCs w:val="24"/>
          <w:highlight w:val="none"/>
        </w:rPr>
        <w:t>。</w:t>
      </w:r>
    </w:p>
    <w:p w14:paraId="78C6B6D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负责人或技术负责人，按有关规定执行，后任继续行使合同文件约定的前任的职权，履行前任的义务。未征得发包人书面同意，承包人不得更换</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w:t>
      </w:r>
      <w:r>
        <w:rPr>
          <w:rFonts w:hint="eastAsia" w:ascii="宋体" w:hAnsi="宋体" w:cs="宋体"/>
          <w:color w:val="auto"/>
          <w:sz w:val="24"/>
          <w:szCs w:val="24"/>
          <w:highlight w:val="none"/>
        </w:rPr>
        <w:t>。</w:t>
      </w:r>
    </w:p>
    <w:p w14:paraId="2CE1E49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负责人，承包人应及时采纳发包人的建议予以更换，新更换的</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负责人应满足招标文件及本项目相应的资质要求并能胜任本项目的</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负责人工作</w:t>
      </w:r>
      <w:r>
        <w:rPr>
          <w:rFonts w:hint="eastAsia" w:ascii="宋体" w:hAnsi="宋体" w:cs="宋体"/>
          <w:color w:val="auto"/>
          <w:sz w:val="24"/>
          <w:szCs w:val="24"/>
          <w:highlight w:val="none"/>
        </w:rPr>
        <w:t>。</w:t>
      </w:r>
    </w:p>
    <w:p w14:paraId="184B225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7.6</w:t>
      </w:r>
      <w:r>
        <w:rPr>
          <w:rFonts w:hint="eastAsia" w:ascii="宋体" w:hAnsi="宋体" w:cs="宋体"/>
          <w:color w:val="auto"/>
          <w:sz w:val="24"/>
          <w:szCs w:val="24"/>
          <w:highlight w:val="none"/>
          <w:u w:val="single"/>
        </w:rPr>
        <w:t>承包人</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负责人不得兼任其他工程</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负责人，否则发包人可按单方面终止合同处理</w:t>
      </w:r>
      <w:r>
        <w:rPr>
          <w:rFonts w:hint="eastAsia" w:ascii="宋体" w:hAnsi="宋体" w:cs="宋体"/>
          <w:color w:val="auto"/>
          <w:sz w:val="24"/>
          <w:szCs w:val="24"/>
          <w:highlight w:val="none"/>
        </w:rPr>
        <w:t>。</w:t>
      </w:r>
    </w:p>
    <w:p w14:paraId="1381F6A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7.7现场管理机构</w:t>
      </w:r>
    </w:p>
    <w:p w14:paraId="55B3F2C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14:paraId="586794C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14:paraId="5F63817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6A4486A2">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7.9合同签订后，</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14:paraId="306D66F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14:paraId="69EEFD96">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8、发包人工作</w:t>
      </w:r>
    </w:p>
    <w:p w14:paraId="45C77693">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8.1发包人应按约定的时间和要求完成以下工作：</w:t>
      </w:r>
    </w:p>
    <w:p w14:paraId="673FEF7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14:paraId="3C8534D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14:paraId="2194E07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14:paraId="4CCB6806">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（4）工程地质和地下管线资料的提供时间：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14:paraId="10087D5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（5）由发包人办理的施工所需证件、批件的名称和完成时间：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BF2054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14:paraId="536AFFF1">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（7）图纸会审和设计交底时间：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14:paraId="2C6F9F4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（8）协调处理施工场地周围地下管线和邻近建筑物、构筑物（含文物保护建筑）、古树名木的保护工作：</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F65353D">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（9）双方约定发包人应做的其他工作：</w:t>
      </w:r>
      <w:r>
        <w:rPr>
          <w:rFonts w:hint="eastAsia" w:ascii="宋体" w:hAnsi="宋体" w:cs="宋体"/>
          <w:color w:val="auto"/>
          <w:sz w:val="24"/>
          <w:szCs w:val="24"/>
          <w:highlight w:val="none"/>
          <w:u w:val="single"/>
        </w:rPr>
        <w:t xml:space="preserve">  发包人按现有场地移交给承包人，承包人应无条件接受 </w:t>
      </w:r>
      <w:r>
        <w:rPr>
          <w:rFonts w:hint="eastAsia" w:ascii="宋体" w:hAnsi="宋体" w:cs="宋体"/>
          <w:color w:val="auto"/>
          <w:sz w:val="24"/>
          <w:szCs w:val="24"/>
          <w:highlight w:val="none"/>
        </w:rPr>
        <w:t>。</w:t>
      </w:r>
    </w:p>
    <w:p w14:paraId="1D31165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8.2发包人委托承包人办理的工作：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14:paraId="0ADC0C1E">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9、承包人工作</w:t>
      </w:r>
    </w:p>
    <w:p w14:paraId="745775BD">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9.1承包人应按约定时间和要求，完成以下工作：</w:t>
      </w:r>
    </w:p>
    <w:p w14:paraId="3ECD5514">
      <w:pPr>
        <w:numPr>
          <w:ilvl w:val="0"/>
          <w:numId w:val="2"/>
        </w:numPr>
        <w:snapToGrid w:val="0"/>
        <w:spacing w:line="440" w:lineRule="exact"/>
        <w:ind w:firstLine="422"/>
        <w:rPr>
          <w:rFonts w:ascii="宋体" w:hAnsi="宋体" w:cs="宋体"/>
          <w:bCs/>
          <w:snapToGrid w:val="0"/>
          <w:color w:val="auto"/>
          <w:sz w:val="24"/>
          <w:szCs w:val="24"/>
          <w:highlight w:val="none"/>
        </w:rPr>
      </w:pPr>
      <w:r>
        <w:rPr>
          <w:rFonts w:hint="eastAsia" w:ascii="宋体" w:hAnsi="宋体" w:cs="宋体"/>
          <w:color w:val="auto"/>
          <w:sz w:val="24"/>
          <w:szCs w:val="24"/>
          <w:highlight w:val="none"/>
        </w:rPr>
        <w:t>需由设计资质等级和业务范围允许的承包人完成的设计文件提交时间：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。原则上承包人只可申报一次完整的工程预算（概算建安费），申报造价不得高于建安工程费最高投标限价。如因项目特殊情况确须分次或分段申报工程预算并进行工程款支付的，应报</w:t>
      </w:r>
      <w:r>
        <w:rPr>
          <w:rFonts w:hint="eastAsia" w:ascii="宋体" w:hAnsi="宋体" w:cs="宋体"/>
          <w:color w:val="auto"/>
          <w:sz w:val="24"/>
          <w:szCs w:val="24"/>
          <w:highlight w:val="none"/>
          <w:lang w:val="en-US" w:eastAsia="zh-CN"/>
        </w:rPr>
        <w:t>园区</w:t>
      </w:r>
      <w:r>
        <w:rPr>
          <w:rFonts w:hint="eastAsia" w:ascii="宋体" w:hAnsi="宋体" w:cs="宋体"/>
          <w:color w:val="auto"/>
          <w:sz w:val="24"/>
          <w:szCs w:val="24"/>
          <w:highlight w:val="none"/>
        </w:rPr>
        <w:t>主任办公会议研究决定具体的申报拆分原则，累次申报造价合计不得高于建安工程费最高投标限价。在图纸稳定且施工图审查完成之后，承包人需在一个月之内报送工程概算到</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审核，已经</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审核确认的部分，如发生工程内容的变化，应在</w:t>
      </w:r>
      <w:r>
        <w:rPr>
          <w:rFonts w:hint="eastAsia" w:ascii="宋体" w:hAnsi="宋体" w:cs="宋体"/>
          <w:color w:val="auto"/>
          <w:sz w:val="24"/>
          <w:szCs w:val="24"/>
          <w:highlight w:val="none"/>
          <w:lang w:val="en-US" w:eastAsia="zh-CN"/>
        </w:rPr>
        <w:t>园</w:t>
      </w:r>
      <w:r>
        <w:rPr>
          <w:rFonts w:hint="eastAsia" w:ascii="宋体" w:hAnsi="宋体" w:cs="宋体"/>
          <w:color w:val="auto"/>
          <w:sz w:val="24"/>
          <w:szCs w:val="24"/>
          <w:highlight w:val="none"/>
        </w:rPr>
        <w:t>区财政评审审定工程概算后，按合同约定的变更或签证计价原则，以变更或签证方式进行申报。</w:t>
      </w:r>
    </w:p>
    <w:p w14:paraId="7B064D5D">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14:paraId="0A2CF5C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按招标文件要求及国家、省、市、区相关规定执行，并满足本工程需要。根据工程需要，提供和维护施工使用的照明、围栏设施和警卫，并负责整个现场的安全生产和绿色施工、安全保卫。</w:t>
      </w:r>
    </w:p>
    <w:p w14:paraId="6448A4B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（4）承包人自行解决办公、交通、生活及通讯等设施，费用已包含在本工程中标总造价中；向发包人或监理工程师提供的办公、交通和生活、通讯设施的要求：</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909996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14:paraId="32F4550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14:paraId="6FDF3E3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（7）施工场地周围地下管线和邻近建筑物、构筑物（含文物保护建筑）、古树名木的保护要求及费用承担：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14:paraId="5C12691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（8）施工场地清洁卫生的要求：</w:t>
      </w:r>
      <w:r>
        <w:rPr>
          <w:rFonts w:hint="eastAsia" w:ascii="宋体" w:hAnsi="宋体" w:cs="宋体"/>
          <w:color w:val="auto"/>
          <w:sz w:val="24"/>
          <w:szCs w:val="24"/>
          <w:highlight w:val="none"/>
          <w:u w:val="single"/>
        </w:rPr>
        <w:t>满足文明施工要求。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14:paraId="61074DBE">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（9）双方约定承包人应做的其他工作：</w:t>
      </w:r>
    </w:p>
    <w:p w14:paraId="6079EC0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穗建规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14:paraId="78EAEE4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②承包人应按照《清远市建筑从业人员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14:paraId="4F5E1422">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③承包人应按照《清远市建设领域工人工资支付管理暂行办法》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14:paraId="4921F05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14:paraId="3FF9AFB3">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三、施工组织设计和工期</w:t>
      </w:r>
    </w:p>
    <w:p w14:paraId="4B60A672">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10、进度计划</w:t>
      </w:r>
    </w:p>
    <w:p w14:paraId="4A7DFFFD">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10.1承包人提供施工组织设计(施工方案)和进度计划时间：</w:t>
      </w:r>
    </w:p>
    <w:p w14:paraId="66603E4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（1）承包人应于接到中标通知书后4天内向发包人提交总体工程进度计划（网络计划），并于开工前3天内提交施工组织设计（施工方案）给发包人。</w:t>
      </w:r>
    </w:p>
    <w:p w14:paraId="0552A2C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承包人提交的施工组织设计应当按监理工程师及国家、省、市及广州开发区关于施工承包管理的要求编制。</w:t>
      </w:r>
    </w:p>
    <w:p w14:paraId="3CF0017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14:paraId="1EFFD472">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（2）总监理工程师在接到承包人提交的施工组织设计和工程进度计划后，予以确认或提出修改意见。</w:t>
      </w:r>
    </w:p>
    <w:p w14:paraId="3DA3561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工程师确认的时间：开工前。</w:t>
      </w:r>
    </w:p>
    <w:p w14:paraId="20B5327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10.2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14:paraId="7DC10D93">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10.3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14:paraId="691D6139">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11、开工及延期开工</w:t>
      </w:r>
    </w:p>
    <w:p w14:paraId="31BADFA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11.1开工日期和竣工日期</w:t>
      </w:r>
    </w:p>
    <w:p w14:paraId="70C0A8DF">
      <w:pPr>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11.1.1</w:t>
      </w:r>
      <w:r>
        <w:rPr>
          <w:rFonts w:hint="eastAsia" w:ascii="宋体" w:hAnsi="宋体"/>
          <w:color w:val="auto"/>
          <w:sz w:val="24"/>
          <w:szCs w:val="24"/>
          <w:highlight w:val="none"/>
        </w:rPr>
        <w:t>本</w:t>
      </w:r>
      <w:r>
        <w:rPr>
          <w:rFonts w:hint="eastAsia" w:ascii="宋体" w:hAnsi="宋体"/>
          <w:color w:val="auto"/>
          <w:sz w:val="24"/>
          <w:szCs w:val="24"/>
          <w:highlight w:val="none"/>
          <w:lang w:val="en-US" w:eastAsia="zh-CN"/>
        </w:rPr>
        <w:t>合同</w:t>
      </w:r>
      <w:r>
        <w:rPr>
          <w:rFonts w:hint="eastAsia" w:ascii="宋体" w:hAnsi="宋体"/>
          <w:color w:val="auto"/>
          <w:sz w:val="24"/>
          <w:szCs w:val="24"/>
          <w:highlight w:val="none"/>
        </w:rPr>
        <w:t>工期为</w:t>
      </w:r>
      <w:r>
        <w:rPr>
          <w:rFonts w:hint="eastAsia" w:ascii="宋体" w:hAnsi="宋体"/>
          <w:b/>
          <w:bCs/>
          <w:color w:val="auto"/>
          <w:sz w:val="24"/>
          <w:szCs w:val="24"/>
          <w:highlight w:val="none"/>
          <w:u w:val="single"/>
        </w:rPr>
        <w:t xml:space="preserve">    </w:t>
      </w:r>
      <w:r>
        <w:rPr>
          <w:rFonts w:hint="eastAsia" w:ascii="宋体" w:hAnsi="宋体"/>
          <w:color w:val="auto"/>
          <w:sz w:val="24"/>
          <w:szCs w:val="24"/>
          <w:highlight w:val="none"/>
        </w:rPr>
        <w:t>日历天。（具体开工日期以发包人或监理单位开工令或批准的开工报告日期为准）</w:t>
      </w:r>
      <w:r>
        <w:rPr>
          <w:rFonts w:hint="eastAsia" w:ascii="宋体" w:hAnsi="宋体" w:cs="宋体"/>
          <w:color w:val="auto"/>
          <w:sz w:val="24"/>
          <w:szCs w:val="24"/>
          <w:highlight w:val="none"/>
        </w:rPr>
        <w:t>。</w:t>
      </w:r>
    </w:p>
    <w:p w14:paraId="6CA22DC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11.1.2承包人必须采取一切有效措施保证竣工日期，不得延误。除非发生了以下情形：</w:t>
      </w:r>
    </w:p>
    <w:p w14:paraId="1A5806E6">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14:paraId="5ABEECB7">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14:paraId="78460D6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不可抗力持续影响而延误工期超过12天以上</w:t>
      </w:r>
      <w:r>
        <w:rPr>
          <w:rFonts w:hint="eastAsia" w:ascii="宋体" w:hAnsi="宋体" w:cs="宋体"/>
          <w:color w:val="auto"/>
          <w:sz w:val="24"/>
          <w:szCs w:val="24"/>
          <w:highlight w:val="none"/>
        </w:rPr>
        <w:t>；</w:t>
      </w:r>
    </w:p>
    <w:p w14:paraId="66D77666">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14:paraId="496F36D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11.2延期开工：</w:t>
      </w:r>
    </w:p>
    <w:p w14:paraId="5466163C">
      <w:pPr>
        <w:adjustRightInd w:val="0"/>
        <w:snapToGrid w:val="0"/>
        <w:spacing w:line="440" w:lineRule="exact"/>
        <w:ind w:right="11"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14:paraId="13ED2509">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14:paraId="724EDD33">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12、暂停施工</w:t>
      </w:r>
    </w:p>
    <w:p w14:paraId="40E1ABB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12.1因下列原因，总监理工程师报经发包人同意，可通知承包人暂停施工：</w:t>
      </w:r>
    </w:p>
    <w:p w14:paraId="7664DFD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14:paraId="099F37E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14:paraId="7579CB7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14:paraId="3A47A6B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14:paraId="7522205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14:paraId="4CF30A40">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14:paraId="5A837619">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14:paraId="1081F621">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因发生上述第（1）、（2）项原因而暂停施工的，工期可协商调整，因发生上述第（3）、（4）、（5）、（6）项原因而暂停施工的，工期不予顺延,承包人必须承担由此发生的费用并向发包人承担违约责任</w:t>
      </w:r>
      <w:r>
        <w:rPr>
          <w:rFonts w:hint="eastAsia" w:ascii="宋体" w:hAnsi="宋体" w:cs="宋体"/>
          <w:color w:val="auto"/>
          <w:sz w:val="24"/>
          <w:szCs w:val="24"/>
          <w:highlight w:val="none"/>
        </w:rPr>
        <w:t>。</w:t>
      </w:r>
    </w:p>
    <w:p w14:paraId="4254658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14:paraId="5267478D">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14:paraId="76964A1D">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14:paraId="61CCA95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14:paraId="3A26582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14:paraId="40C2BF55">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14:paraId="53D4ECC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14:paraId="5A2BAAF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14:paraId="5DEDACD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14:paraId="562FFCA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14:paraId="677D85D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专用条款第12.1款</w:t>
      </w:r>
      <w:r>
        <w:rPr>
          <w:rFonts w:hint="eastAsia" w:ascii="宋体" w:hAnsi="宋体" w:cs="宋体"/>
          <w:color w:val="auto"/>
          <w:sz w:val="24"/>
          <w:szCs w:val="24"/>
          <w:highlight w:val="none"/>
        </w:rPr>
        <w:t>约定执行，费用承担按以下原则：</w:t>
      </w:r>
    </w:p>
    <w:p w14:paraId="7DE74E90">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14:paraId="6E886020">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14:paraId="356DEFC0">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14:paraId="3B525DC9">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14:paraId="5AF70E43">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14:paraId="22A91958">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14:paraId="2649A8F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14:paraId="62236A89">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13、工期延误</w:t>
      </w:r>
    </w:p>
    <w:p w14:paraId="6CBFD60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14:paraId="4E6F863C">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四、质量与验收</w:t>
      </w:r>
    </w:p>
    <w:p w14:paraId="56249BD8">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15、工程质量</w:t>
      </w:r>
    </w:p>
    <w:p w14:paraId="5516ECAA">
      <w:pPr>
        <w:snapToGrid w:val="0"/>
        <w:spacing w:line="440" w:lineRule="exact"/>
        <w:ind w:firstLine="422" w:firstLineChars="176"/>
        <w:rPr>
          <w:rFonts w:ascii="宋体" w:hAnsi="宋体" w:cs="宋体"/>
          <w:bCs/>
          <w:color w:val="auto"/>
          <w:sz w:val="24"/>
          <w:szCs w:val="24"/>
          <w:highlight w:val="none"/>
        </w:rPr>
      </w:pPr>
      <w:r>
        <w:rPr>
          <w:rFonts w:hint="eastAsia" w:ascii="宋体" w:hAnsi="宋体" w:cs="宋体"/>
          <w:bCs/>
          <w:color w:val="auto"/>
          <w:sz w:val="24"/>
          <w:szCs w:val="24"/>
          <w:highlight w:val="none"/>
        </w:rPr>
        <w:t>15.3承包人必须严格按照设计施工图和国家及行业颁发的现行有关设计、施工及验收规范的要求进行施工，确保工程质量，工程的质量标准要求合格，且达到投标承诺的质量标准。承包人对图纸中存在的问题有责任和义务提前以书面形式报告工程师及发包人，以供发包人同监理人核实并及时要求设计方修改设计图纸。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14:paraId="5A89FC43">
      <w:pPr>
        <w:snapToGrid w:val="0"/>
        <w:spacing w:line="440" w:lineRule="exact"/>
        <w:ind w:firstLine="422" w:firstLineChars="176"/>
        <w:rPr>
          <w:rFonts w:ascii="宋体" w:hAnsi="宋体" w:cs="宋体"/>
          <w:bCs/>
          <w:color w:val="auto"/>
          <w:sz w:val="24"/>
          <w:szCs w:val="24"/>
          <w:highlight w:val="none"/>
        </w:rPr>
      </w:pPr>
      <w:r>
        <w:rPr>
          <w:rFonts w:hint="eastAsia"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14:paraId="1F00B104">
      <w:pPr>
        <w:snapToGrid w:val="0"/>
        <w:spacing w:line="440" w:lineRule="exact"/>
        <w:ind w:firstLine="422" w:firstLineChars="176"/>
        <w:rPr>
          <w:rFonts w:ascii="宋体" w:hAnsi="宋体" w:cs="宋体"/>
          <w:bCs/>
          <w:color w:val="auto"/>
          <w:sz w:val="24"/>
          <w:szCs w:val="24"/>
          <w:highlight w:val="none"/>
        </w:rPr>
      </w:pPr>
      <w:r>
        <w:rPr>
          <w:rFonts w:hint="eastAsia"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14:paraId="52B110F6">
      <w:pPr>
        <w:snapToGrid w:val="0"/>
        <w:spacing w:line="440" w:lineRule="exact"/>
        <w:ind w:firstLine="422" w:firstLineChars="176"/>
        <w:rPr>
          <w:rFonts w:ascii="宋体" w:hAnsi="宋体" w:cs="宋体"/>
          <w:bCs/>
          <w:color w:val="auto"/>
          <w:sz w:val="24"/>
          <w:szCs w:val="24"/>
          <w:highlight w:val="none"/>
        </w:rPr>
      </w:pPr>
      <w:r>
        <w:rPr>
          <w:rFonts w:hint="eastAsia"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hint="eastAsia" w:ascii="宋体" w:hAnsi="宋体" w:cs="宋体"/>
          <w:bCs/>
          <w:color w:val="auto"/>
          <w:sz w:val="24"/>
          <w:szCs w:val="24"/>
          <w:highlight w:val="none"/>
        </w:rPr>
        <w:t>。</w:t>
      </w:r>
    </w:p>
    <w:p w14:paraId="69E98074">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16、检查和返工</w:t>
      </w:r>
    </w:p>
    <w:p w14:paraId="6051F448">
      <w:pPr>
        <w:snapToGrid w:val="0"/>
        <w:spacing w:line="440" w:lineRule="exact"/>
        <w:ind w:firstLine="422" w:firstLineChars="176"/>
        <w:rPr>
          <w:rFonts w:ascii="宋体" w:hAnsi="宋体" w:cs="宋体"/>
          <w:bCs/>
          <w:color w:val="auto"/>
          <w:sz w:val="24"/>
          <w:szCs w:val="24"/>
          <w:highlight w:val="none"/>
        </w:rPr>
      </w:pPr>
      <w:r>
        <w:rPr>
          <w:rFonts w:hint="eastAsia"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14:paraId="623068BC">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17、隐蔽工程和中间验收</w:t>
      </w:r>
    </w:p>
    <w:p w14:paraId="239C319E">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17.1双方约定中间验收部位：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14:paraId="210E6523">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19、工程试车</w:t>
      </w:r>
    </w:p>
    <w:p w14:paraId="09E09FD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19.5试车费用的承担：</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6B47DA54">
      <w:pPr>
        <w:snapToGrid w:val="0"/>
        <w:spacing w:line="440" w:lineRule="exact"/>
        <w:ind w:firstLine="424" w:firstLineChars="176"/>
        <w:rPr>
          <w:rFonts w:ascii="宋体" w:hAnsi="宋体" w:cs="宋体"/>
          <w:color w:val="auto"/>
          <w:sz w:val="24"/>
          <w:szCs w:val="24"/>
          <w:highlight w:val="none"/>
        </w:rPr>
      </w:pPr>
      <w:r>
        <w:rPr>
          <w:rFonts w:hint="eastAsia" w:ascii="宋体" w:hAnsi="宋体" w:cs="宋体"/>
          <w:b/>
          <w:color w:val="auto"/>
          <w:sz w:val="24"/>
          <w:szCs w:val="24"/>
          <w:highlight w:val="none"/>
        </w:rPr>
        <w:t>五、安全施工</w:t>
      </w:r>
    </w:p>
    <w:p w14:paraId="4BEDE995">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20、安全施工与检查</w:t>
      </w:r>
    </w:p>
    <w:p w14:paraId="085FB469">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14:paraId="42BB99AC">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14:paraId="0DB8241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14:paraId="360326B8">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20.6</w:t>
      </w:r>
      <w:r>
        <w:rPr>
          <w:rFonts w:hint="eastAsia" w:ascii="宋体" w:hAnsi="宋体" w:cs="宋体"/>
          <w:color w:val="auto"/>
          <w:sz w:val="24"/>
          <w:szCs w:val="24"/>
          <w:highlight w:val="none"/>
          <w:u w:val="single"/>
        </w:rPr>
        <w:t>承包人在编制施工组织设计时，应当根据工程的特点编制相应的安全技术措施</w:t>
      </w:r>
      <w:r>
        <w:rPr>
          <w:rFonts w:hint="eastAsia" w:ascii="宋体" w:hAnsi="宋体" w:cs="宋体"/>
          <w:color w:val="auto"/>
          <w:sz w:val="24"/>
          <w:szCs w:val="24"/>
          <w:highlight w:val="none"/>
        </w:rPr>
        <w:t>。</w:t>
      </w:r>
    </w:p>
    <w:p w14:paraId="5921964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14:paraId="7B3970E3">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14:paraId="6844B20C">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21、安全防护</w:t>
      </w:r>
    </w:p>
    <w:p w14:paraId="64DD999B">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14:paraId="4733AD1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 xml:space="preserve"> 21.4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实施。以上文件要求不一致的，以后发布文件为准，若相关部门发布有关施工围蔽新文件规定的，按新规定执行。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14:paraId="7CC5CC6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14:paraId="28AF500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14:paraId="3AE69C0D">
      <w:pPr>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21.7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14:paraId="3626DA45">
      <w:pPr>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14:paraId="6E9DFBA4">
      <w:pPr>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14:paraId="0AFCD275">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14:paraId="0A518BA3">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14:paraId="00DD5F78">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21.12承包人必须考虑安全、环保等因素在局部施工范围进行围蔽施工，现场围蔽不符合国家有关安全措施及技术要求的，不得开展施工作业，由此造成的工期延长，由承包人自己负责，当作延误工期处理。</w:t>
      </w:r>
    </w:p>
    <w:p w14:paraId="26C6CC71">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14:paraId="7FA505E9">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14:paraId="50315552">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22、事故处理</w:t>
      </w:r>
    </w:p>
    <w:p w14:paraId="4AD579C7">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22.3如发生安全事故，除按法定程序办理有关事宜外，还必须按以下程序进行处理：</w:t>
      </w:r>
    </w:p>
    <w:p w14:paraId="0365449D">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报告安全事故：安全事故发生后，承包人应在1小时内用最快的信息传递手段，将发生事故的时间、地点、伤亡人数、事故原因等情况，报工程师和发包人</w:t>
      </w:r>
      <w:r>
        <w:rPr>
          <w:rFonts w:hint="eastAsia" w:ascii="宋体" w:hAnsi="宋体" w:cs="宋体"/>
          <w:color w:val="auto"/>
          <w:sz w:val="24"/>
          <w:szCs w:val="24"/>
          <w:highlight w:val="none"/>
        </w:rPr>
        <w:t>。</w:t>
      </w:r>
    </w:p>
    <w:p w14:paraId="1F88198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14:paraId="0194301C">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14:paraId="3C9BD881">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14:paraId="55C5B44E">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六、合同价款与支付</w:t>
      </w:r>
    </w:p>
    <w:p w14:paraId="7F4C63E4">
      <w:pPr>
        <w:snapToGrid w:val="0"/>
        <w:spacing w:line="440" w:lineRule="exact"/>
        <w:ind w:firstLine="424" w:firstLineChars="176"/>
        <w:rPr>
          <w:rFonts w:ascii="宋体" w:hAnsi="宋体" w:cs="宋体"/>
          <w:color w:val="auto"/>
          <w:sz w:val="24"/>
          <w:szCs w:val="24"/>
          <w:highlight w:val="none"/>
          <w:u w:val="single"/>
        </w:rPr>
      </w:pPr>
      <w:r>
        <w:rPr>
          <w:rFonts w:hint="eastAsia" w:ascii="宋体" w:hAnsi="宋体" w:cs="宋体"/>
          <w:b/>
          <w:color w:val="auto"/>
          <w:sz w:val="24"/>
          <w:szCs w:val="24"/>
          <w:highlight w:val="none"/>
        </w:rPr>
        <w:t>23、合同价款及调整</w:t>
      </w:r>
    </w:p>
    <w:p w14:paraId="7B72B613">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23.1合同</w:t>
      </w:r>
      <w:r>
        <w:rPr>
          <w:rFonts w:ascii="宋体" w:hAnsi="宋体" w:cs="宋体"/>
          <w:color w:val="auto"/>
          <w:sz w:val="24"/>
          <w:szCs w:val="24"/>
          <w:highlight w:val="none"/>
        </w:rPr>
        <w:t>价款</w:t>
      </w:r>
    </w:p>
    <w:p w14:paraId="5E75065C">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本工程费合同价暂定为        元；工程概算由联合体设计方编制，工程预算由联合体施工方编制。申报的工程概算、预算经项目监理、发包人确认后报园区财政评审部门审定。措施项目费除不可竟争的绿色施工安全防护措施费外，其他措施费均按园区财政部门或其授权委托单位审定的工程预算中的措施项目费执行中标下浮率。措施项目费总价以审定的工程预算中的金额为准。</w:t>
      </w:r>
    </w:p>
    <w:p w14:paraId="1395FBC5">
      <w:pPr>
        <w:snapToGrid w:val="0"/>
        <w:spacing w:line="440" w:lineRule="exact"/>
        <w:ind w:firstLine="422" w:firstLineChars="176"/>
        <w:rPr>
          <w:rFonts w:hint="eastAsia" w:ascii="宋体" w:hAnsi="宋体" w:eastAsia="宋体" w:cs="宋体"/>
          <w:b w:val="0"/>
          <w:bCs w:val="0"/>
          <w:color w:val="auto"/>
          <w:sz w:val="24"/>
          <w:szCs w:val="24"/>
          <w:highlight w:val="none"/>
          <w:u w:val="single"/>
          <w:shd w:val="clear"/>
          <w:lang w:val="en-US" w:eastAsia="zh-CN"/>
        </w:rPr>
      </w:pPr>
      <w:r>
        <w:rPr>
          <w:rFonts w:hint="eastAsia" w:ascii="宋体" w:hAnsi="宋体" w:eastAsia="宋体" w:cs="宋体"/>
          <w:b w:val="0"/>
          <w:bCs w:val="0"/>
          <w:color w:val="auto"/>
          <w:sz w:val="24"/>
          <w:szCs w:val="24"/>
          <w:highlight w:val="none"/>
          <w:u w:val="single"/>
          <w:shd w:val="clear"/>
          <w:lang w:val="en-US" w:eastAsia="zh-CN"/>
        </w:rPr>
        <w:t>本工程计价及</w:t>
      </w:r>
      <w:r>
        <w:rPr>
          <w:rFonts w:hint="eastAsia" w:ascii="宋体" w:hAnsi="宋体" w:eastAsia="宋体" w:cs="宋体"/>
          <w:b w:val="0"/>
          <w:bCs w:val="0"/>
          <w:color w:val="auto"/>
          <w:sz w:val="24"/>
          <w:szCs w:val="24"/>
          <w:highlight w:val="none"/>
          <w:u w:val="single"/>
          <w:shd w:val="clear" w:color="auto" w:fill="auto"/>
        </w:rPr>
        <w:t>编制依据</w:t>
      </w:r>
      <w:r>
        <w:rPr>
          <w:rFonts w:hint="eastAsia" w:ascii="宋体" w:hAnsi="宋体" w:eastAsia="宋体" w:cs="宋体"/>
          <w:b w:val="0"/>
          <w:bCs w:val="0"/>
          <w:color w:val="auto"/>
          <w:sz w:val="24"/>
          <w:szCs w:val="24"/>
          <w:highlight w:val="none"/>
          <w:u w:val="single"/>
          <w:shd w:val="clear" w:color="auto" w:fill="auto"/>
          <w:lang w:val="en-US" w:eastAsia="zh-CN"/>
        </w:rPr>
        <w:t>:</w:t>
      </w:r>
    </w:p>
    <w:p w14:paraId="316133DE">
      <w:pPr>
        <w:snapToGrid w:val="0"/>
        <w:spacing w:line="440" w:lineRule="exact"/>
        <w:ind w:firstLine="422" w:firstLineChars="17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水工程及其他子项目：按《建设工程工程量清单计价规范》（GB50500-2013）及广东省颁布的《广东省建设工程计价依据（2018）》、《广东省建筑与装饰工程综合定额（2018）》、《广东省市政工程综合定额（2018）》、《广东省安装工程综合定额（2018）》、《广东省园林绿化工程综合定额（2018）》等国家、广东省、清远市以及现行有关工程造价管理的文件执行，主要材料价格，套用工程造价管理机构发布的合同签订所属季度，若当季度材料价尚未公布则按最新一期发布的《佛冈县住房和城乡建设局发布的综合价通知》（商品混凝土除外，商品混凝土参照同期《清远工程造价信息》信息价为准）；《佛冈县住房和城乡建设局发布的综合价通知》没有的材料、设备单价，参考同期《清远工程造价信息》中的材料、设备单价；《清远工程造价信息》没有的材料、设备单价，合同签订所属季度《广州地区建设工程材料（设备）厂商价格信息》中的材料、设备单价。《佛冈县住房和城乡建设局发布的综合价通知》及《清远工程造价信息》及《广州地区建设工程材料（设备）厂商价格信息》均没有的相关价格的，由发包人、监理单位、施工人结合市场价共同协商确定，相关计费按此时期清远市工程造价管理机构发布的最新规定计算。</w:t>
      </w:r>
    </w:p>
    <w:p w14:paraId="4F10762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23.2本合同价款按照</w:t>
      </w:r>
      <w:r>
        <w:rPr>
          <w:rFonts w:hint="eastAsia" w:ascii="宋体" w:hAnsi="宋体" w:cs="宋体"/>
          <w:color w:val="auto"/>
          <w:sz w:val="24"/>
          <w:szCs w:val="24"/>
          <w:highlight w:val="none"/>
          <w:u w:val="single"/>
        </w:rPr>
        <w:t>协议书第五条、专用条款23.3款和专用条款23.5款</w:t>
      </w:r>
      <w:r>
        <w:rPr>
          <w:rFonts w:hint="eastAsia" w:ascii="宋体" w:hAnsi="宋体" w:cs="宋体"/>
          <w:color w:val="auto"/>
          <w:sz w:val="24"/>
          <w:szCs w:val="24"/>
          <w:highlight w:val="none"/>
        </w:rPr>
        <w:t>约定执行，最终按结算终审部门审定价结算。</w:t>
      </w:r>
    </w:p>
    <w:p w14:paraId="3BDF2D1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14:paraId="45986C2B">
      <w:pPr>
        <w:snapToGrid w:val="0"/>
        <w:spacing w:line="440" w:lineRule="exact"/>
        <w:ind w:firstLine="422" w:firstLineChars="176"/>
        <w:rPr>
          <w:rFonts w:ascii="宋体" w:hAnsi="宋体" w:cs="宋体"/>
          <w:dstrike/>
          <w:color w:val="auto"/>
          <w:sz w:val="24"/>
          <w:szCs w:val="24"/>
          <w:highlight w:val="none"/>
        </w:rPr>
      </w:pPr>
      <w:r>
        <w:rPr>
          <w:rFonts w:hint="eastAsia" w:ascii="宋体" w:hAnsi="宋体" w:cs="宋体"/>
          <w:color w:val="auto"/>
          <w:sz w:val="24"/>
          <w:szCs w:val="24"/>
          <w:highlight w:val="none"/>
        </w:rPr>
        <w:t>（1）分部分项工程量清单费：</w:t>
      </w:r>
      <w:r>
        <w:rPr>
          <w:rFonts w:hint="eastAsia" w:ascii="宋体" w:hAnsi="宋体" w:cs="宋体"/>
          <w:color w:val="auto"/>
          <w:sz w:val="24"/>
          <w:szCs w:val="24"/>
          <w:highlight w:val="none"/>
          <w:u w:val="single"/>
        </w:rPr>
        <w:t>除专用条款23.5.1及专用条款23.5.2规定情况外，分部分项工程清单综合单价以</w:t>
      </w:r>
      <w:r>
        <w:rPr>
          <w:rFonts w:hint="eastAsia" w:ascii="宋体" w:hAnsi="宋体" w:cs="宋体"/>
          <w:bCs/>
          <w:snapToGrid w:val="0"/>
          <w:color w:val="auto"/>
          <w:sz w:val="24"/>
          <w:szCs w:val="24"/>
          <w:highlight w:val="none"/>
          <w:u w:val="single"/>
          <w:lang w:val="en-US" w:eastAsia="zh-CN"/>
        </w:rPr>
        <w:t>园区</w:t>
      </w:r>
      <w:r>
        <w:rPr>
          <w:rFonts w:hint="eastAsia" w:ascii="宋体" w:hAnsi="宋体" w:cs="宋体"/>
          <w:bCs/>
          <w:snapToGrid w:val="0"/>
          <w:color w:val="auto"/>
          <w:sz w:val="24"/>
          <w:szCs w:val="24"/>
          <w:highlight w:val="none"/>
          <w:u w:val="single"/>
        </w:rPr>
        <w:t>财政评审</w:t>
      </w:r>
      <w:r>
        <w:rPr>
          <w:rFonts w:hint="eastAsia" w:ascii="宋体" w:hAnsi="宋体" w:cs="宋体"/>
          <w:bCs/>
          <w:snapToGrid w:val="0"/>
          <w:color w:val="auto"/>
          <w:sz w:val="24"/>
          <w:szCs w:val="24"/>
          <w:highlight w:val="none"/>
          <w:u w:val="single"/>
          <w:lang w:val="en-US" w:eastAsia="zh-CN"/>
        </w:rPr>
        <w:t>部门</w:t>
      </w:r>
      <w:r>
        <w:rPr>
          <w:rFonts w:hint="eastAsia" w:ascii="宋体" w:hAnsi="宋体" w:cs="宋体"/>
          <w:color w:val="auto"/>
          <w:sz w:val="24"/>
          <w:szCs w:val="24"/>
          <w:highlight w:val="none"/>
          <w:u w:val="single"/>
        </w:rPr>
        <w:t>审定的概算建安费中对应的综合单价</w:t>
      </w:r>
      <w:r>
        <w:rPr>
          <w:rFonts w:hint="eastAsia" w:ascii="宋体" w:hAnsi="宋体" w:cs="宋体"/>
          <w:color w:val="auto"/>
          <w:sz w:val="24"/>
          <w:szCs w:val="24"/>
          <w:highlight w:val="none"/>
        </w:rPr>
        <w:t>×（1-中标下浮率），固定不变，工程量按实计量。</w:t>
      </w:r>
    </w:p>
    <w:p w14:paraId="5E182B03">
      <w:pPr>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（2）措施项目费除不可竞争费用“绿色施工安全防护措施费”外，其他均执行中标下浮率。以</w:t>
      </w:r>
      <w:r>
        <w:rPr>
          <w:rFonts w:hint="eastAsia" w:ascii="宋体" w:hAnsi="宋体" w:cs="宋体"/>
          <w:color w:val="auto"/>
          <w:sz w:val="24"/>
          <w:szCs w:val="24"/>
          <w:highlight w:val="none"/>
          <w:lang w:val="en-US" w:eastAsia="zh-CN"/>
        </w:rPr>
        <w:t>园</w:t>
      </w:r>
      <w:r>
        <w:rPr>
          <w:rFonts w:hint="eastAsia" w:ascii="宋体" w:hAnsi="宋体" w:cs="宋体"/>
          <w:color w:val="auto"/>
          <w:sz w:val="24"/>
          <w:szCs w:val="24"/>
          <w:highlight w:val="none"/>
        </w:rPr>
        <w:t>区财政评审</w:t>
      </w:r>
      <w:r>
        <w:rPr>
          <w:rFonts w:hint="eastAsia" w:ascii="宋体" w:hAnsi="宋体" w:cs="宋体"/>
          <w:color w:val="auto"/>
          <w:sz w:val="24"/>
          <w:szCs w:val="24"/>
          <w:highlight w:val="none"/>
          <w:lang w:val="en-US" w:eastAsia="zh-CN"/>
        </w:rPr>
        <w:t>部门</w:t>
      </w:r>
      <w:r>
        <w:rPr>
          <w:rFonts w:hint="eastAsia" w:ascii="宋体" w:hAnsi="宋体" w:cs="宋体"/>
          <w:color w:val="auto"/>
          <w:sz w:val="24"/>
          <w:szCs w:val="24"/>
          <w:highlight w:val="none"/>
        </w:rPr>
        <w:t>审定的概算建安费中对应部分的措施项目费为基础进行调整，调整后的措施项目费（除施工围蔽外）包干，施工围蔽按实结算；</w:t>
      </w:r>
    </w:p>
    <w:p w14:paraId="78233FC7">
      <w:pPr>
        <w:snapToGrid w:val="0"/>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（3）其他项目部分：按</w:t>
      </w:r>
      <w:r>
        <w:rPr>
          <w:rFonts w:hint="eastAsia" w:ascii="宋体" w:hAnsi="宋体" w:cs="宋体"/>
          <w:color w:val="auto"/>
          <w:sz w:val="24"/>
          <w:szCs w:val="24"/>
          <w:highlight w:val="none"/>
          <w:lang w:val="en-US" w:eastAsia="zh-CN"/>
        </w:rPr>
        <w:t>园</w:t>
      </w:r>
      <w:r>
        <w:rPr>
          <w:rFonts w:hint="eastAsia" w:ascii="宋体" w:hAnsi="宋体" w:cs="宋体"/>
          <w:color w:val="auto"/>
          <w:sz w:val="24"/>
          <w:szCs w:val="24"/>
          <w:highlight w:val="none"/>
        </w:rPr>
        <w:t>区财政</w:t>
      </w:r>
      <w:r>
        <w:rPr>
          <w:rFonts w:hint="eastAsia" w:ascii="宋体" w:hAnsi="宋体" w:cs="宋体"/>
          <w:color w:val="auto"/>
          <w:sz w:val="24"/>
          <w:szCs w:val="24"/>
          <w:highlight w:val="none"/>
          <w:lang w:val="en-US" w:eastAsia="zh-CN"/>
        </w:rPr>
        <w:t>评审部门</w:t>
      </w:r>
      <w:r>
        <w:rPr>
          <w:rFonts w:hint="eastAsia" w:ascii="宋体" w:hAnsi="宋体" w:cs="宋体"/>
          <w:color w:val="auto"/>
          <w:sz w:val="24"/>
          <w:szCs w:val="24"/>
          <w:highlight w:val="none"/>
        </w:rPr>
        <w:t>审定的概算建安费中相应项目费率执行。</w:t>
      </w:r>
    </w:p>
    <w:p w14:paraId="4EBA9CE1">
      <w:pPr>
        <w:snapToGrid w:val="0"/>
        <w:spacing w:line="440" w:lineRule="exact"/>
        <w:ind w:firstLine="420" w:firstLineChars="175"/>
        <w:rPr>
          <w:rFonts w:ascii="宋体" w:hAnsi="宋体" w:cs="宋体"/>
          <w:color w:val="auto"/>
          <w:sz w:val="24"/>
          <w:szCs w:val="24"/>
          <w:highlight w:val="none"/>
        </w:rPr>
      </w:pPr>
      <w:r>
        <w:rPr>
          <w:rFonts w:hint="eastAsia" w:ascii="宋体" w:hAnsi="宋体" w:cs="宋体"/>
          <w:color w:val="auto"/>
          <w:sz w:val="24"/>
          <w:szCs w:val="24"/>
          <w:highlight w:val="none"/>
        </w:rPr>
        <w:t xml:space="preserve"> （4）税金：税金按国家规定费率计算。</w:t>
      </w:r>
    </w:p>
    <w:p w14:paraId="28487822">
      <w:pPr>
        <w:spacing w:line="440" w:lineRule="exact"/>
        <w:ind w:firstLine="240" w:firstLineChars="100"/>
        <w:rPr>
          <w:rFonts w:ascii="宋体" w:hAnsi="宋体" w:cs="宋体"/>
          <w:color w:val="auto"/>
          <w:sz w:val="24"/>
          <w:szCs w:val="24"/>
          <w:highlight w:val="none"/>
        </w:rPr>
      </w:pPr>
      <w:r>
        <w:rPr>
          <w:rFonts w:hint="eastAsia" w:ascii="宋体" w:hAnsi="宋体" w:cs="宋体"/>
          <w:color w:val="auto"/>
          <w:sz w:val="24"/>
          <w:szCs w:val="24"/>
          <w:highlight w:val="none"/>
        </w:rPr>
        <w:t xml:space="preserve">  （5）工程概算经有关部门审定后需相应调整合同暂定价的建安费部分。 </w:t>
      </w:r>
    </w:p>
    <w:p w14:paraId="181C1281">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23.3双方约定合同价款的调整因素：</w:t>
      </w:r>
    </w:p>
    <w:p w14:paraId="4D0E9F59">
      <w:pPr>
        <w:numPr>
          <w:ilvl w:val="0"/>
          <w:numId w:val="3"/>
        </w:numPr>
        <w:snapToGrid w:val="0"/>
        <w:spacing w:line="440" w:lineRule="exact"/>
        <w:ind w:left="0"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14:paraId="71AC58D6">
      <w:pPr>
        <w:numPr>
          <w:ilvl w:val="0"/>
          <w:numId w:val="3"/>
        </w:numPr>
        <w:snapToGrid w:val="0"/>
        <w:spacing w:line="440" w:lineRule="exact"/>
        <w:ind w:left="0"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14:paraId="53443433">
      <w:pPr>
        <w:numPr>
          <w:ilvl w:val="0"/>
          <w:numId w:val="3"/>
        </w:numPr>
        <w:snapToGrid w:val="0"/>
        <w:spacing w:line="440" w:lineRule="exact"/>
        <w:ind w:left="0"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14:paraId="6311867D">
      <w:pPr>
        <w:numPr>
          <w:ilvl w:val="0"/>
          <w:numId w:val="3"/>
        </w:numPr>
        <w:snapToGrid w:val="0"/>
        <w:spacing w:line="440" w:lineRule="exact"/>
        <w:ind w:left="0"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14:paraId="119394E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以上调整事项涉及的价款计价原则按专用条款23.5款约定执行。</w:t>
      </w:r>
    </w:p>
    <w:p w14:paraId="6EFAC5C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23.4承包人应在专用条款23.3款情况发生后</w:t>
      </w:r>
      <w:r>
        <w:rPr>
          <w:rFonts w:hint="eastAsia" w:ascii="宋体" w:hAnsi="宋体" w:cs="宋体"/>
          <w:color w:val="auto"/>
          <w:sz w:val="24"/>
          <w:szCs w:val="24"/>
          <w:highlight w:val="none"/>
          <w:u w:val="single"/>
        </w:rPr>
        <w:t>3天</w:t>
      </w:r>
      <w:r>
        <w:rPr>
          <w:rFonts w:hint="eastAsia" w:ascii="宋体" w:hAnsi="宋体" w:cs="宋体"/>
          <w:color w:val="auto"/>
          <w:sz w:val="24"/>
          <w:szCs w:val="24"/>
          <w:highlight w:val="none"/>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14:paraId="7DE2D82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14:paraId="30C9A4F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23.5.1变更、签证工程和新增工程：工程项目实施期间和结算时，工程项目实施期间和结算时，园区财政评审部门评审审定的施工图预算中工程量清单按专用条款</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23.2条进行调整后，作为本合同的合同工程量清单，合同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14:paraId="1D0CD551">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（1）合同工程量清单中有相同适用项目的，则采用该项目工程量清单综合单价；合同工程量清单中相同适用项目有多个的，取最有利于发包人的相同适用项目的工程量清单综合单价。</w:t>
      </w:r>
    </w:p>
    <w:p w14:paraId="5D5114D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季度《佛冈县住房和城乡建设局发布的综合价通知》（实际施工跨季度的，则按监理单位确认的各季度施工完成的工程量为基础分别进行计算），商品混凝土除外，商品混凝土参照同期《清远工程造价信息》信息价为准（实际施工跨季度的，则按监理单位确认的各季度施工完成的工程量为基础分别进行计算）；《佛冈县住房和城乡建设局发布的综合价通知》没有的材料、设备单价，参考实际施工期《清远工程造价信息》（实际施工跨季度的，则按监理单位确认的各季度施工完成的工程量为基础分别进行计算）；《清远工程造价信息》没有的材料、设备单价，参考实际施工期《广州地区建设工程材料（设备）厂商价格信息》（实际施工跨季度的，则按监理单位确认的各季度施工完成的工程量为基础分别进行计算）。《佛冈县住房和城乡建设局发布的综合价通知》及《清远工程造价信息》及《广州地区建设工程材料（设备）厂商价格信息》均没有的相关价格的，由发包人、监理单位、施工人结合市场价共同协商确定。按上述原则调整后的换算综合单价最终均应执行中标下浮率。</w:t>
      </w:r>
    </w:p>
    <w:p w14:paraId="0712012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（3）合同工程量清单报价中没有相同或类似适用项目的，按以下原则计价：</w:t>
      </w:r>
    </w:p>
    <w:p w14:paraId="4283B844">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① 由承包人依据变更工程资料，计量原则，按《广东省市政工程综合定额》（2018）、《广东省房屋建筑与装饰工程综合定额》（2018）、《广东省通用安装工程综合定额》（2018年）、《广东省园林绿化工程综合定额》（2018）、《广东省建设工程施工机具台班费用编制规则（2018）等相关定额标准及工程实施期工程造价管理机构发布的材料设备参考价格编制综合单价并执行中标下浮率。其中材料、设备价格执行工程造价管理机构发布的实际施工季度《佛冈县住房和城乡建设局发布的综合价通知》（实际施工跨季度的，则按监理单位确认的各季度施工完成的工程量为基础分别进行计算），商品混凝土除外，商品混凝土参照同期《清远工程造价信息》信息价为准（实际施工跨季度的，则按监理单位确认的各季度施工完成的工程量为基础分别进行计算）；《佛冈县住房和城乡建设局发布的综合价通知》没有的材料、设备单价，参考实际施工期《清远工程造价信息》（实际施工跨季度的，则按监理单位确认的各季度施工完成的工程量为基础分别进行计算）；《清远工程造价信息》没有的材料、设备单价，参考实际施工期《广州地区建设工程材料（设备）厂商价格信息》（实际施工跨季度的，则按监理单位确认的各季度施工完成的工程量为基础分别进行计算）。《佛冈县住房和城乡建设局发布的综合价通知》及《清远工程造价信息》及《广州地区建设工程材料（设备）厂商价格信息》均没有的相关价格的，由发包人、监理单位、施工人结合市场价共同协商确定。</w:t>
      </w:r>
    </w:p>
    <w:p w14:paraId="7CD4F1F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 xml:space="preserve"> ② 合同工程量清单没有相同或相类似且无相关定额的项目，承包人参照《广东省市政工程综合定额》（2018）、《广东省房屋建筑与装饰工程综合定额》（2018年）、《广东省通用安装工程综合定额》（2018）、《广东省园林绿化工程综合定额》（2018）、《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季度《佛冈县住房和城乡建设局发布的综合价通知》（实际施工跨季度的，则按监理单位确认的各季度施工完成的工程量为基础分别进行计算），商品混凝土除外，商品混凝土参照同期《清远工程造价信息》信息价为准（实际施工跨季度的，则按监理单位确认的各季度施工完成的工程量为基础分别进行计算）；《佛冈县住房和城乡建设局发布的综合价通知》没有的材料、设备单价，参考实际施工期《清远工程造价信息》（实际施工跨季度的，则按监理单位确认的各季度施工完成的工程量为基础分别进行计算）；《清远工程造价信息》没有的材料、设备单价，参考实际施工期《广州地区建设工程材料（设备）厂商价格信息》（实际施工跨季度的，则按监理单位确认的各季度施工完成的工程量为基础分别进行计算）。《佛冈县住房和城乡建设局发布的综合价通知》及《清远工程造价信息》及《广州地区建设工程材料（设备）厂商价格信息》均没有的相关价格的，由发包人、监理单位、施工人结合市场价共同协商确定。</w:t>
      </w:r>
    </w:p>
    <w:p w14:paraId="5E9EF73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按上述原则确定价格时，措施项目费用（除施工围蔽外）不计取,清单计价及税金的计取，应符合《广东省住房和城乡建设厅关于营业税改征增值税后调整广东省建设工程计价依据的通知》（粤建市【2016】1113号）、《广东省住房和城乡建设厅关于调整广东省建设工程计价依据增值税税率的通知》 粤建标函[2019]819号　、《广东省住房和城乡建设厅关于印发&lt;广东省建设工程计价依据（2018)&gt;的通知》（穗建市〔2020〕6号）等相关文件的规定。</w:t>
      </w:r>
    </w:p>
    <w:p w14:paraId="6556193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23.5.2物价涨跌的价格调整</w:t>
      </w:r>
    </w:p>
    <w:p w14:paraId="3F2ED29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14:paraId="000CE59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佛冈县住房和城乡建设局发布的综合价通知》（以下简称“综合价格”）包含的材料、设备；“综合价格”中没有的材料、设备均不予调整。</w:t>
      </w:r>
    </w:p>
    <w:p w14:paraId="655600C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（2）价款调整的方法</w:t>
      </w:r>
    </w:p>
    <w:p w14:paraId="4C76282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14:paraId="053F7E7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② 价款调整以各调价工料机的数量乘以单价价差，再乘以（1-中标下浮率）计算。各工料机的数量按该当期实际完成的适用投标单价项目的工程量计取，各调价工料机的单价价差以清远市佛冈县建设工程造价管理部门发布的价格信息为依据，按施工当月信息价格与招标文件规定的投标截止日期前第28天时</w:t>
      </w:r>
      <w:r>
        <w:rPr>
          <w:rFonts w:hint="eastAsia" w:ascii="宋体" w:hAnsi="宋体" w:cs="宋体"/>
          <w:color w:val="auto"/>
          <w:sz w:val="24"/>
          <w:szCs w:val="24"/>
          <w:highlight w:val="none"/>
          <w:lang w:val="en-US" w:eastAsia="zh-CN"/>
        </w:rPr>
        <w:t>清远市佛冈县</w:t>
      </w:r>
      <w:r>
        <w:rPr>
          <w:rFonts w:hint="eastAsia" w:ascii="宋体" w:hAnsi="宋体" w:cs="宋体"/>
          <w:color w:val="auto"/>
          <w:sz w:val="24"/>
          <w:szCs w:val="24"/>
          <w:highlight w:val="none"/>
        </w:rPr>
        <w:t>建设工程造价管理部门发布的人工、材料、工程设备和施工设备、机械台班信息价格差值计取。</w:t>
      </w:r>
    </w:p>
    <w:p w14:paraId="291A95F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③ 价款调整以月为单位计算，结算时一次性调整，如施工期间需调整价款的，经发包人、承包人协商一致后可签订价差补充协议，作为追加（减）合同价款和支付工程进度款的依据。</w:t>
      </w:r>
    </w:p>
    <w:p w14:paraId="3D80C27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④ 各调价材料、设备的信息价格按清远市佛冈县建设工程造价管理部门发布的当季《佛冈县住房和城乡建设局发布的综合价通知》（实际施工跨季度的，则按监理单位确认的各季度施工完成的工程量为基础分别进行计算）计取，商品混凝土除外，商品混凝土参照同期《清远工程造价信息》信息价为准（实际施工跨季度的，则按监理单位确认的各季度施工完成的工程量为基础分别进行计算），价格信息中没有的材料、设备单价，价差不予调整。</w:t>
      </w:r>
    </w:p>
    <w:p w14:paraId="0094B740">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（3）由于承包人原因导致工期延误的，所延误时段内物价上涨的风险全部由承包人承担，不予调整；如物价下跌，则仍按第（2）款约定计算及扣回相应价款。</w:t>
      </w:r>
    </w:p>
    <w:p w14:paraId="62FAE5ED">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w:t>
      </w:r>
      <w:r>
        <w:rPr>
          <w:rFonts w:hint="eastAsia" w:ascii="宋体" w:hAnsi="宋体" w:cs="宋体"/>
          <w:b/>
          <w:color w:val="auto"/>
          <w:sz w:val="24"/>
          <w:szCs w:val="24"/>
          <w:highlight w:val="none"/>
        </w:rPr>
        <w:t>、工程预付款及工人工资</w:t>
      </w:r>
    </w:p>
    <w:p w14:paraId="335C37C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24.1工程预付款</w:t>
      </w:r>
    </w:p>
    <w:p w14:paraId="36DA997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24.1.1合同签订后，承包人提供了预付款保函、履约保函且财政拨款到位后，发包人向承包人预付工程费合同价的</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0%作为预付款</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且最高不超过100万元</w:t>
      </w:r>
      <w:r>
        <w:rPr>
          <w:rFonts w:hint="eastAsia" w:ascii="宋体" w:hAnsi="宋体" w:cs="宋体"/>
          <w:color w:val="auto"/>
          <w:sz w:val="24"/>
          <w:szCs w:val="24"/>
          <w:highlight w:val="none"/>
        </w:rPr>
        <w:t>。支付工程进度款时，按每期进度款的50%逐期扣回，预付款中的工人工资比例暂按20%计算。</w:t>
      </w:r>
    </w:p>
    <w:p w14:paraId="349EDD9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24.1.2承包人收取预付款后，应优先用于按有关规定缴纳工伤保险和办理安全生</w:t>
      </w:r>
      <w:r>
        <w:rPr>
          <w:rFonts w:hint="eastAsia" w:ascii="宋体" w:hAnsi="宋体" w:cs="宋体"/>
          <w:color w:val="auto"/>
          <w:sz w:val="24"/>
          <w:szCs w:val="24"/>
          <w:highlight w:val="none"/>
        </w:rPr>
        <w:t>产责任险。</w:t>
      </w:r>
    </w:p>
    <w:p w14:paraId="153872F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24.1.3扣回预付款的时间、比例：按本合同专用条款26条约定执行。</w:t>
      </w:r>
    </w:p>
    <w:p w14:paraId="5A6EC09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24.2工人工资</w:t>
      </w:r>
    </w:p>
    <w:p w14:paraId="344589F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24.2.1承包人需按有关规定与建设行业主管部门公布目录中的商业银行另行签订清远市建设领域工人工资支付专用账户管理协议、开设专用账户并报发包人备案,工人工资支付至专用账户。</w:t>
      </w:r>
    </w:p>
    <w:p w14:paraId="4034CA7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24.2.2工人工资进度款与工程进度款同步支付，其中每期需支付的工程进度款×工人工资比例为该期工人工资进度款，支付至工人工资专用账户，施工图预算审定之前，工人工资比例暂按20%计算，最终以园区财政评审部门或其授权委托单位批复的施工图预算中的人工费/工程费的比例为准。</w:t>
      </w:r>
    </w:p>
    <w:p w14:paraId="52B2AB94">
      <w:pPr>
        <w:snapToGrid w:val="0"/>
        <w:spacing w:line="440" w:lineRule="exact"/>
        <w:ind w:firstLine="422" w:firstLineChars="176"/>
        <w:rPr>
          <w:rFonts w:ascii="宋体" w:hAnsi="宋体" w:cs="宋体"/>
          <w:color w:val="auto"/>
          <w:sz w:val="24"/>
          <w:szCs w:val="24"/>
          <w:highlight w:val="none"/>
        </w:rPr>
      </w:pPr>
    </w:p>
    <w:p w14:paraId="7B6004B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25</w:t>
      </w:r>
      <w:r>
        <w:rPr>
          <w:rFonts w:hint="eastAsia" w:ascii="宋体" w:hAnsi="宋体" w:cs="宋体"/>
          <w:b/>
          <w:color w:val="auto"/>
          <w:sz w:val="24"/>
          <w:szCs w:val="24"/>
          <w:highlight w:val="none"/>
        </w:rPr>
        <w:t>、工程量确认</w:t>
      </w:r>
    </w:p>
    <w:p w14:paraId="7FED9BF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25.1承包人向工程师提交已完工程量报告的时间：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14:paraId="250C8479">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25.2双方一致同意不适用通用条款25.2款，承包人完成工程量必须经发包人书面确认。</w:t>
      </w:r>
    </w:p>
    <w:p w14:paraId="44E3B21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26、</w:t>
      </w:r>
      <w:r>
        <w:rPr>
          <w:rFonts w:hint="eastAsia" w:ascii="宋体" w:hAnsi="宋体" w:cs="宋体"/>
          <w:b/>
          <w:color w:val="auto"/>
          <w:sz w:val="24"/>
          <w:szCs w:val="24"/>
          <w:highlight w:val="none"/>
        </w:rPr>
        <w:t>工程款（进度款）支付</w:t>
      </w:r>
    </w:p>
    <w:p w14:paraId="6B32862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26.1双方约定的工程款（进度款）支付采取如下的</w:t>
      </w:r>
      <w:r>
        <w:rPr>
          <w:rFonts w:hint="eastAsia" w:ascii="宋体" w:hAnsi="宋体" w:cs="宋体"/>
          <w:color w:val="auto"/>
          <w:sz w:val="24"/>
          <w:szCs w:val="24"/>
          <w:highlight w:val="none"/>
          <w:u w:val="single"/>
        </w:rPr>
        <w:t xml:space="preserve">  26.1.</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方式进行：</w:t>
      </w:r>
    </w:p>
    <w:p w14:paraId="737EEC6B">
      <w:pPr>
        <w:snapToGrid w:val="0"/>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26.1.1</w:t>
      </w:r>
      <w:r>
        <w:rPr>
          <w:rFonts w:hint="eastAsia" w:ascii="宋体" w:hAnsi="宋体"/>
          <w:color w:val="auto"/>
          <w:sz w:val="24"/>
          <w:szCs w:val="24"/>
          <w:highlight w:val="none"/>
        </w:rPr>
        <w:t>按累计完成工作量百分率支付工程款（进度款）方式：</w:t>
      </w:r>
    </w:p>
    <w:p w14:paraId="3D0C7ADE">
      <w:pPr>
        <w:snapToGrid w:val="0"/>
        <w:spacing w:line="44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（1）当完成工作量达到60%时，支付工程进度款   %【累计付款(含已支付的绿色施工安全防护措施费)至合同价款若有暂定金(含暂列金额和暂估价)扣除未计量部分暂定金(含暂列金额和暂估价)后的55%】；</w:t>
      </w:r>
    </w:p>
    <w:p w14:paraId="4BD11B4F">
      <w:pPr>
        <w:snapToGrid w:val="0"/>
        <w:spacing w:line="44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（2）工程完工，并通过初验后支付合同价款30%【累计付款(含绿色施工安全防护措施费）至合同价款若有暂定金(含暂列金额和暂估价)扣除未计量部分暂定金(含暂列金额和暂估价)后的85%】；</w:t>
      </w:r>
    </w:p>
    <w:p w14:paraId="64846FC2">
      <w:pPr>
        <w:snapToGrid w:val="0"/>
        <w:spacing w:line="440" w:lineRule="exact"/>
        <w:ind w:firstLine="422" w:firstLineChars="176"/>
        <w:rPr>
          <w:rFonts w:hint="eastAsia" w:ascii="宋体" w:hAnsi="宋体"/>
          <w:color w:val="auto"/>
          <w:sz w:val="24"/>
          <w:szCs w:val="24"/>
          <w:highlight w:val="none"/>
        </w:rPr>
      </w:pPr>
      <w:r>
        <w:rPr>
          <w:rFonts w:hint="eastAsia" w:ascii="宋体" w:hAnsi="宋体"/>
          <w:color w:val="auto"/>
          <w:sz w:val="24"/>
          <w:szCs w:val="24"/>
          <w:highlight w:val="none"/>
        </w:rPr>
        <w:t>（3）工程通过验收并经园区财政评审部门或其授权委托单位审定施工结算后支付工程款(含绿色施工安全防护措施费）至结算价的95%；工程结算价款额度的5%作为质量保修金，待缺陷责任期结束后结清（不计利息）。</w:t>
      </w:r>
    </w:p>
    <w:p w14:paraId="4151CE15">
      <w:pPr>
        <w:snapToGrid w:val="0"/>
        <w:spacing w:line="440" w:lineRule="exact"/>
        <w:ind w:firstLine="422" w:firstLineChars="176"/>
        <w:rPr>
          <w:rFonts w:ascii="宋体" w:hAnsi="宋体"/>
          <w:color w:val="auto"/>
          <w:sz w:val="24"/>
          <w:szCs w:val="24"/>
          <w:highlight w:val="none"/>
        </w:rPr>
      </w:pPr>
      <w:r>
        <w:rPr>
          <w:rFonts w:hint="eastAsia" w:ascii="宋体" w:hAnsi="宋体"/>
          <w:color w:val="auto"/>
          <w:sz w:val="24"/>
          <w:szCs w:val="24"/>
          <w:highlight w:val="none"/>
        </w:rPr>
        <w:t>上述所有款项均在园区财政评审部门或其授权委托单位审定该专项资金并拨款到位后支付，每期需支付的工程进度款×工人工资比例为该期工人工资进度款，支付至工人工资专用账户。办理工程款财政请款手续的时间不计入付款期限。</w:t>
      </w:r>
    </w:p>
    <w:p w14:paraId="6DF7BDCB">
      <w:pPr>
        <w:snapToGrid w:val="0"/>
        <w:spacing w:line="440" w:lineRule="exact"/>
        <w:ind w:firstLine="422" w:firstLineChars="176"/>
        <w:rPr>
          <w:rFonts w:hint="eastAsia" w:ascii="宋体" w:hAnsi="宋体" w:cs="宋体"/>
          <w:color w:val="auto"/>
          <w:sz w:val="24"/>
          <w:szCs w:val="24"/>
          <w:highlight w:val="none"/>
        </w:rPr>
      </w:pPr>
      <w:r>
        <w:rPr>
          <w:rFonts w:ascii="宋体" w:hAnsi="宋体"/>
          <w:color w:val="auto"/>
          <w:sz w:val="24"/>
          <w:szCs w:val="24"/>
          <w:highlight w:val="none"/>
        </w:rPr>
        <w:t>26.1.2</w:t>
      </w:r>
      <w:r>
        <w:rPr>
          <w:rFonts w:hint="eastAsia" w:ascii="宋体" w:hAnsi="宋体" w:cs="宋体"/>
          <w:color w:val="auto"/>
          <w:sz w:val="24"/>
          <w:szCs w:val="24"/>
          <w:highlight w:val="none"/>
        </w:rPr>
        <w:t>工程进度款：发包方根据不同阶段的审核意见支付不同比例的工程进度款，具体如下：</w:t>
      </w:r>
    </w:p>
    <w:p w14:paraId="6B40D5DD">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①在施工图预算未审定期间，按现场监理审核并经发包人确认的月度完成产值的75%并扣除应扣回的预付款（每期按审定月度完成工程量的75%中之50%扣回预付款，直至全部扣回为止）后支付工程进度款（不含绿色施工安全防护措施费及暂列金额）；</w:t>
      </w:r>
    </w:p>
    <w:p w14:paraId="7C1A499D">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②在施工图预算审定后，根据审定预算对合同暂定价及工程量清单综合单价进行调整，按调整后的工程量清单综合单价及现场监理审核并经发包人确认的月度完成产值的85%并扣除应扣回的预付款（每期按审定月度完成工程量的85%中之50%扣回预付款，直至全部扣回为止）后支付工程进度款（不含绿色施工安全防护措施费及暂列金额）。其中，在施工图预算审定后申请的第一笔工程进度款支付（仅适用于工程预算审定前已支付过进度款的情况），需根据发包方审定预算中工程量清单综合单价及累计完成工程量对本次应支付进度款进行修正，具体为：本次应支付进度款=累计应支付进度款-累计已支付进度款。同时根据审定预算调整工人工资比例。</w:t>
      </w:r>
    </w:p>
    <w:p w14:paraId="18DFA6B0">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③工程通过验收并经园区财政评审部门或其授权委托单位审定施工结算后支付工程款（含绿色施工安全防护措施费）至结算价的97%；工程结算价款额度的3%作为质量保修金，待缺陷责任期结束后结清（不计利息）。</w:t>
      </w:r>
    </w:p>
    <w:p w14:paraId="679C541A">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④工程通过验收并经园区财政评审部门审定施工结算后支付工程款至结算价（扣除安全防护、文明施工措施费）的97%；工程结算价款额度的3%作为质量保修金，待缺陷责任期结束后结清。</w:t>
      </w:r>
    </w:p>
    <w:p w14:paraId="23EAAB7E">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⑤合同结算价款以园区财政评审部门或其授权委托单位审定结算为准。工程完工后，合同双方在合同约定时间内以经核定的结算工程量及园区财政部门评审审定的工程施工图预算中的分部分项综合单价为基础，依据合同、招标文件的相关约定办理结算并报园区财政评审部门评审，结算金额以园区财政评审部门或其授权委托单位审定为准。如遇审计部门审计，本合同最终结算价款以审计部门的审计结果为准。</w:t>
      </w:r>
    </w:p>
    <w:p w14:paraId="6F84D73D">
      <w:pPr>
        <w:snapToGrid w:val="0"/>
        <w:spacing w:line="440" w:lineRule="exact"/>
        <w:ind w:firstLine="422" w:firstLineChars="176"/>
        <w:rPr>
          <w:rFonts w:ascii="宋体" w:hAnsi="宋体"/>
          <w:color w:val="auto"/>
          <w:sz w:val="24"/>
          <w:szCs w:val="24"/>
          <w:highlight w:val="none"/>
        </w:rPr>
      </w:pPr>
      <w:r>
        <w:rPr>
          <w:rFonts w:hint="eastAsia" w:ascii="宋体" w:hAnsi="宋体" w:cs="宋体"/>
          <w:color w:val="auto"/>
          <w:sz w:val="24"/>
          <w:szCs w:val="24"/>
          <w:highlight w:val="none"/>
        </w:rPr>
        <w:t>上述所有款项均在园区财政部门审定该专项资金并拨款到位后支付，每期需支付的工程进度款×工人工资比例为该期工人工资进度款，支付至工人工资专用账户，</w:t>
      </w:r>
      <w:r>
        <w:rPr>
          <w:rFonts w:hint="eastAsia" w:ascii="宋体" w:hAnsi="宋体" w:cs="宋体"/>
          <w:color w:val="auto"/>
          <w:sz w:val="24"/>
          <w:szCs w:val="24"/>
          <w:highlight w:val="none"/>
          <w:lang w:val="en-US" w:eastAsia="zh-CN"/>
        </w:rPr>
        <w:t>园</w:t>
      </w:r>
      <w:r>
        <w:rPr>
          <w:rFonts w:hint="eastAsia" w:ascii="宋体" w:hAnsi="宋体" w:cs="宋体"/>
          <w:color w:val="auto"/>
          <w:sz w:val="24"/>
          <w:szCs w:val="24"/>
          <w:highlight w:val="none"/>
        </w:rPr>
        <w:t>区财政投资</w:t>
      </w:r>
      <w:r>
        <w:rPr>
          <w:rFonts w:hint="eastAsia" w:ascii="宋体" w:hAnsi="宋体" w:cs="宋体"/>
          <w:color w:val="auto"/>
          <w:sz w:val="24"/>
          <w:szCs w:val="24"/>
          <w:highlight w:val="none"/>
          <w:lang w:val="en-US" w:eastAsia="zh-CN"/>
        </w:rPr>
        <w:t>部门</w:t>
      </w:r>
      <w:r>
        <w:rPr>
          <w:rFonts w:hint="eastAsia" w:ascii="宋体" w:hAnsi="宋体" w:cs="宋体"/>
          <w:color w:val="auto"/>
          <w:sz w:val="24"/>
          <w:szCs w:val="24"/>
          <w:highlight w:val="none"/>
        </w:rPr>
        <w:t>评审审定工程预算之前，工人工资比例暂按20%计算，最终以园区财政部门批复的施工图预算中的人工费/工程费的比例为准。办理工程款财政请款手续的时间不计入付款期限。</w:t>
      </w:r>
    </w:p>
    <w:p w14:paraId="185CF615">
      <w:pPr>
        <w:adjustRightInd w:val="0"/>
        <w:snapToGrid w:val="0"/>
        <w:spacing w:line="440" w:lineRule="exact"/>
        <w:ind w:right="11" w:firstLine="422" w:firstLineChars="176"/>
        <w:rPr>
          <w:rFonts w:ascii="宋体" w:hAnsi="宋体"/>
          <w:color w:val="auto"/>
          <w:sz w:val="24"/>
          <w:szCs w:val="24"/>
          <w:highlight w:val="none"/>
        </w:rPr>
      </w:pPr>
      <w:r>
        <w:rPr>
          <w:rFonts w:ascii="宋体" w:hAnsi="宋体"/>
          <w:color w:val="auto"/>
          <w:sz w:val="24"/>
          <w:szCs w:val="24"/>
          <w:highlight w:val="none"/>
        </w:rPr>
        <w:t>26.2所有因变更、签证及价格调整等原因所调整增加的工程价款均应由承包人按</w:t>
      </w:r>
      <w:r>
        <w:rPr>
          <w:rFonts w:hint="eastAsia" w:ascii="宋体" w:hAnsi="宋体"/>
          <w:color w:val="auto"/>
          <w:sz w:val="24"/>
          <w:szCs w:val="24"/>
          <w:highlight w:val="none"/>
          <w:lang w:val="en-US" w:eastAsia="zh-CN"/>
        </w:rPr>
        <w:t>清远市、佛冈县、园区管委会</w:t>
      </w:r>
      <w:r>
        <w:rPr>
          <w:rFonts w:ascii="宋体" w:hAnsi="宋体"/>
          <w:color w:val="auto"/>
          <w:sz w:val="24"/>
          <w:szCs w:val="24"/>
          <w:highlight w:val="none"/>
        </w:rPr>
        <w:t>及发包人相关规定程序，报监理初审，并经发包人审批同意后，按审定金额另行签订补充协议支付，或在工程结算中一并支付。</w:t>
      </w:r>
    </w:p>
    <w:p w14:paraId="66AD9057">
      <w:pPr>
        <w:snapToGrid w:val="0"/>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26.4</w:t>
      </w:r>
      <w:r>
        <w:rPr>
          <w:rFonts w:hint="eastAsia" w:ascii="宋体" w:hAnsi="宋体"/>
          <w:color w:val="auto"/>
          <w:sz w:val="24"/>
          <w:szCs w:val="24"/>
          <w:highlight w:val="none"/>
        </w:rPr>
        <w:t>工程价款的支付条件：</w:t>
      </w:r>
    </w:p>
    <w:p w14:paraId="7050381A">
      <w:pPr>
        <w:snapToGrid w:val="0"/>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1）支付</w:t>
      </w:r>
      <w:r>
        <w:rPr>
          <w:rFonts w:hint="eastAsia" w:ascii="宋体" w:hAnsi="宋体"/>
          <w:color w:val="auto"/>
          <w:sz w:val="24"/>
          <w:szCs w:val="24"/>
          <w:highlight w:val="none"/>
        </w:rPr>
        <w:t>预付</w:t>
      </w:r>
      <w:r>
        <w:rPr>
          <w:rFonts w:ascii="宋体" w:hAnsi="宋体"/>
          <w:color w:val="auto"/>
          <w:sz w:val="24"/>
          <w:szCs w:val="24"/>
          <w:highlight w:val="none"/>
        </w:rPr>
        <w:t>款：</w:t>
      </w:r>
      <w:r>
        <w:rPr>
          <w:rFonts w:hint="eastAsia" w:ascii="宋体" w:hAnsi="宋体"/>
          <w:color w:val="auto"/>
          <w:sz w:val="24"/>
          <w:szCs w:val="24"/>
          <w:highlight w:val="none"/>
          <w:u w:val="single"/>
        </w:rPr>
        <w:t>合同签订后，承包人提供了预付款保函、履约保函且财政拨款到位后。</w:t>
      </w:r>
    </w:p>
    <w:p w14:paraId="4CC9F9B2">
      <w:pPr>
        <w:snapToGrid w:val="0"/>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2）支付工程款（进度款）：</w:t>
      </w:r>
      <w:r>
        <w:rPr>
          <w:rFonts w:hint="eastAsia" w:ascii="宋体" w:hAnsi="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olor w:val="auto"/>
          <w:sz w:val="24"/>
          <w:szCs w:val="24"/>
          <w:highlight w:val="none"/>
        </w:rPr>
        <w:t>。</w:t>
      </w:r>
    </w:p>
    <w:p w14:paraId="62D3669F">
      <w:pPr>
        <w:snapToGrid w:val="0"/>
        <w:spacing w:line="440" w:lineRule="exact"/>
        <w:ind w:firstLine="422" w:firstLineChars="176"/>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26.5</w:t>
      </w:r>
      <w:r>
        <w:rPr>
          <w:rFonts w:hint="eastAsia" w:ascii="宋体" w:hAnsi="宋体"/>
          <w:color w:val="auto"/>
          <w:sz w:val="24"/>
          <w:szCs w:val="24"/>
          <w:highlight w:val="none"/>
          <w:u w:val="single"/>
        </w:rPr>
        <w:t>绿色施工安全防护措施费</w:t>
      </w:r>
      <w:r>
        <w:rPr>
          <w:rFonts w:hint="eastAsia" w:ascii="宋体" w:hAnsi="宋体" w:cs="宋体"/>
          <w:color w:val="auto"/>
          <w:sz w:val="24"/>
          <w:szCs w:val="24"/>
          <w:highlight w:val="none"/>
        </w:rPr>
        <w:t>支付的支付条件：</w:t>
      </w:r>
      <w:r>
        <w:rPr>
          <w:rFonts w:hint="eastAsia" w:ascii="宋体" w:hAnsi="宋体" w:cs="宋体"/>
          <w:color w:val="auto"/>
          <w:sz w:val="24"/>
          <w:szCs w:val="24"/>
          <w:highlight w:val="none"/>
          <w:u w:val="single"/>
        </w:rPr>
        <w:t>绿色施工安全防护措施费支付：绿色施工安全防护措施费实行专款专用，预算审定前，绿色施工安全防护措施费暂按建安工程费合同价的3%计取，预算审定后，绿色施工安全防护措施费按本工程预算价的绿色施工安全防护措施费用计取，根据《关于加强安全文明施工管理及措施费支付管理的通知》（穗开建管〔2015〕7号）及“穗建筑【2008】967号及“穗建筑【2018】981号”文规定，分阶段支付绿色施工安全防护措施费：</w:t>
      </w:r>
    </w:p>
    <w:p w14:paraId="0DA2444D">
      <w:pPr>
        <w:snapToGrid w:val="0"/>
        <w:spacing w:line="440" w:lineRule="exact"/>
        <w:ind w:firstLine="422" w:firstLineChars="17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施工单位进场完成工地围墙、大门、临时设施、洗车槽、水枪、场内道路硬化、绿化、钢筋堆放点及加工场、垃圾收集点等部位的建设或布置后，由园区管委会相关、发包人、监理单位根据《广州市建设工程文明施工管理规定》、《广州市建设工程文明施工标准》等有关规定，对施工现场进行现场验收并拍照留存，《建设工程项目申办施工许可证安全文明施工现场查勘表》评为合格或以上且财政拨款到位后，支付绿色施工安全防护措施费的50%（预算审定前，绿色施工安全防护措施费暂按建安工程费合同价的3%计取）。</w:t>
      </w:r>
    </w:p>
    <w:p w14:paraId="2AAE6840">
      <w:pPr>
        <w:snapToGrid w:val="0"/>
        <w:spacing w:line="440" w:lineRule="exact"/>
        <w:ind w:firstLine="422" w:firstLineChars="17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房建工程完成主体结构封顶、市政工程完成路基工作、其它工程完成合同约定工程量的60%后，再次按上述要求进行现场验收并拍照留存，《建筑工程安全中间检查评价表》评为合格或以上且财政拨款到位后，在施工图预算审定后累计支付至审定预算中绿色施工安全防护措施费的90%。</w:t>
      </w:r>
    </w:p>
    <w:p w14:paraId="037E24C0">
      <w:pPr>
        <w:snapToGrid w:val="0"/>
        <w:spacing w:line="440" w:lineRule="exact"/>
        <w:ind w:firstLine="422" w:firstLineChars="176"/>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3、工程完工，《建设工程施工安全评价书》评为合格或以上后，累计支付至审定预算中绿色施工安全防护措施费的100%。</w:t>
      </w:r>
    </w:p>
    <w:p w14:paraId="2D95A13F">
      <w:pPr>
        <w:snapToGrid w:val="0"/>
        <w:spacing w:line="440" w:lineRule="exact"/>
        <w:ind w:firstLine="422" w:firstLineChars="176"/>
        <w:rPr>
          <w:rFonts w:ascii="宋体" w:hAnsi="宋体"/>
          <w:color w:val="auto"/>
          <w:sz w:val="24"/>
          <w:szCs w:val="24"/>
          <w:highlight w:val="none"/>
          <w:u w:val="single"/>
        </w:rPr>
      </w:pPr>
      <w:r>
        <w:rPr>
          <w:rFonts w:hint="eastAsia" w:ascii="宋体" w:hAnsi="宋体" w:cs="宋体"/>
          <w:color w:val="auto"/>
          <w:sz w:val="24"/>
          <w:szCs w:val="24"/>
          <w:highlight w:val="none"/>
          <w:u w:val="single"/>
        </w:rPr>
        <w:t>4、园区财政评审部门或其授权委托单位审定本工程预算之前，绿色施工安全防护措施费暂按建安工程费合同价的3%计取及支付。审定预算后，按审定预算中绿色施工安全防护措施费计取及支付，并对已支付绿色施工安全防护措施费实行多还少补，如已支付的绿色施工安全防护措施费超出本工程应付的绿色施工安全防护措施费时，则在最近一次的本工程应付工程款中扣除相应超付的绿色施工安全防护措施费。</w:t>
      </w:r>
      <w:bookmarkStart w:id="0" w:name="_Toc19151"/>
      <w:bookmarkStart w:id="1" w:name="_Toc20111"/>
      <w:bookmarkStart w:id="2" w:name="_Toc12556"/>
    </w:p>
    <w:p w14:paraId="19B1CAD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26.6扬尘污染防治费用及污水排放污染防治费按《2023年清远市房屋建筑和市政工程污染防治工作方案》相关规定执行。。</w:t>
      </w:r>
      <w:bookmarkEnd w:id="0"/>
      <w:bookmarkEnd w:id="1"/>
      <w:bookmarkEnd w:id="2"/>
    </w:p>
    <w:p w14:paraId="24F86F0D">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七、材料设备供应</w:t>
      </w:r>
    </w:p>
    <w:p w14:paraId="72DF4A51">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27、发包人供应材料设备</w:t>
      </w:r>
    </w:p>
    <w:p w14:paraId="65C0A30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27.4发包人供应的材料设备与一览表不符时，双方约定发包人承担责任如下：</w:t>
      </w:r>
    </w:p>
    <w:p w14:paraId="0330395E">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（1）材料设备单价与一览表不符：</w:t>
      </w:r>
      <w:r>
        <w:rPr>
          <w:color w:val="auto"/>
          <w:highlight w:val="none"/>
        </w:rPr>
        <mc:AlternateContent>
          <mc:Choice Requires="wps">
            <w:drawing>
              <wp:anchor distT="0" distB="0" distL="114300" distR="114300" simplePos="0" relativeHeight="251660288"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0pt;margin-top:0pt;height:0pt;width:0.05pt;z-index:251660288;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5eQQ&#10;0wAAAAUBAAAPAAAAAAAAAAEAIAAAACIAAABkcnMvZG93bnJldi54bWxQSwECFAAUAAAACACHTuJA&#10;dfu++u0BAADiAwAADgAAAAAAAAABACAAAAAiAQAAZHJzL2Uyb0RvYy54bWxQSwUGAAAAAAYABgBZ&#10;AQAAgQUAAAAA&#10;">
                <v:fill on="f" focussize="0,0"/>
                <v:stroke color="#000000" joinstyle="round"/>
                <v:imagedata o:title=""/>
                <o:lock v:ext="edit" aspectratio="f"/>
              </v:line>
            </w:pict>
          </mc:Fallback>
        </mc:AlternateConten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4848A2C">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（2）材料设备的品种、规格、型号、质量等级与一览表不符：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4E763A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（3）承包人可代为调剂串换的材料：</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A922B8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（4）到货地点与一览表不符：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7C7CCF2">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（5）供应数量与一览表不符：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47BE6068">
      <w:pPr>
        <w:tabs>
          <w:tab w:val="left" w:pos="700"/>
        </w:tabs>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（6）到货时间与一览表不符；</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0E6A36DA">
      <w:pPr>
        <w:tabs>
          <w:tab w:val="left" w:pos="700"/>
        </w:tabs>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27.6发包人供应材料设备的结算方法：</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F31AD8A">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28、承包人采购材料设备</w:t>
      </w:r>
    </w:p>
    <w:p w14:paraId="6DB76092">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28.1承包人采购材料设备的约定：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14:paraId="1BFB8D3D">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14:paraId="17DEACDF">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28.3所有材料、设备报价必须报监理、业主同意后方可使用。</w:t>
      </w:r>
    </w:p>
    <w:p w14:paraId="0225E370">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八、工程变更</w:t>
      </w:r>
    </w:p>
    <w:p w14:paraId="2735A361">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29、工程设计变更</w:t>
      </w:r>
    </w:p>
    <w:p w14:paraId="76B45306">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如需实施工程变更签证，承包人需在实施相应变更签证2个月前向发包人提出（确属不可预见因素除外）。否则工程实施过程中每实施一项变更签证，承包人须按该变更签证工程价款的3%向发包人支付违约金，引起的工期延误不予顺延。  同时，如实施工程变更，承包人应以书面形式通知发包人和监理工程师，经监理工程师审查并报发包人同意后，由发包人与设计单位商定修改或变更设计方案进行实施。</w:t>
      </w:r>
    </w:p>
    <w:p w14:paraId="4F9B907D">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14:paraId="3A6DB01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14:paraId="010DFF95">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14:paraId="003810A0">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14:paraId="602E61E1">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工程变更申报程序按清远市、佛冈县、园区管委会以及建设业主的有关规定执行</w:t>
      </w:r>
      <w:r>
        <w:rPr>
          <w:rFonts w:hint="eastAsia" w:ascii="宋体" w:hAnsi="宋体" w:cs="宋体"/>
          <w:color w:val="auto"/>
          <w:sz w:val="24"/>
          <w:szCs w:val="24"/>
          <w:highlight w:val="none"/>
        </w:rPr>
        <w:t>。</w:t>
      </w:r>
    </w:p>
    <w:p w14:paraId="4B070388">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29.10</w:t>
      </w:r>
      <w:r>
        <w:rPr>
          <w:rFonts w:hint="eastAsia"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14:paraId="385AA06C">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30、其它变更</w:t>
      </w:r>
    </w:p>
    <w:p w14:paraId="570DDD06">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30.1</w:t>
      </w:r>
      <w:r>
        <w:rPr>
          <w:rFonts w:hint="eastAsia" w:ascii="宋体" w:hAnsi="宋体" w:cs="宋体"/>
          <w:color w:val="auto"/>
          <w:sz w:val="24"/>
          <w:szCs w:val="24"/>
          <w:highlight w:val="none"/>
          <w:u w:val="single"/>
        </w:rPr>
        <w:t>工程现场签证：工程现场签证是指施工生产活动中用以证实在施工中遇到的某些特殊情况的一种书面证明资料，一般指按承发包合同约定，由承发包双方代表就施工过程中涉及合同价款之外的责任事件所作的签认证明。</w:t>
      </w:r>
    </w:p>
    <w:p w14:paraId="588B3DDC">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6个月内向发包人提出，并按《广州开发区财政投资建设项目管理中心工程量清单错漏申报管理办法（2021年）》（穗开建管〔2021〕78号）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14:paraId="20D167FC">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30.2</w:t>
      </w:r>
      <w:r>
        <w:rPr>
          <w:rFonts w:hint="eastAsia" w:ascii="宋体" w:hAnsi="宋体" w:cs="宋体"/>
          <w:color w:val="auto"/>
          <w:sz w:val="24"/>
          <w:szCs w:val="24"/>
          <w:highlight w:val="none"/>
          <w:u w:val="single"/>
        </w:rPr>
        <w:t>签证的计价：按招标文件及合同中关于工程变更的计价有关规定执行。</w:t>
      </w:r>
    </w:p>
    <w:p w14:paraId="6AC8FA6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30.3</w:t>
      </w:r>
      <w:r>
        <w:rPr>
          <w:rFonts w:hint="eastAsia" w:ascii="宋体" w:hAnsi="宋体" w:cs="宋体"/>
          <w:color w:val="auto"/>
          <w:sz w:val="24"/>
          <w:szCs w:val="24"/>
          <w:highlight w:val="none"/>
          <w:u w:val="single"/>
        </w:rPr>
        <w:t>签证实施前所需的施工方案：若签证事件发生时，需使用没有被监理工程师批准过的施工方案，则必须将该施工方案提前报监理工程师和发包人批准，经批准后才能实施，否则发包人将按最经济的施工方案对该签证进行计价。</w:t>
      </w:r>
    </w:p>
    <w:p w14:paraId="728A0A14">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工程现场签证申报程序按清远市、佛冈县、园区管委会以及建设业的有关规定执行。</w:t>
      </w:r>
    </w:p>
    <w:p w14:paraId="62A056D2">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31、确定变更价款</w:t>
      </w:r>
    </w:p>
    <w:p w14:paraId="3398F80F">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31.1</w:t>
      </w:r>
      <w:r>
        <w:rPr>
          <w:rFonts w:hint="eastAsia" w:ascii="宋体" w:hAnsi="宋体" w:cs="宋体"/>
          <w:color w:val="auto"/>
          <w:sz w:val="24"/>
          <w:szCs w:val="24"/>
          <w:highlight w:val="none"/>
          <w:u w:val="single"/>
        </w:rPr>
        <w:t>承包人在工程变更确定后14天内，提出变更工程价款的报告，经工程师确认后调整合同价款。变更合同价款确定原则按本合同相关约定执行</w:t>
      </w:r>
      <w:r>
        <w:rPr>
          <w:rFonts w:hint="eastAsia" w:ascii="宋体" w:hAnsi="宋体" w:cs="宋体"/>
          <w:color w:val="auto"/>
          <w:sz w:val="24"/>
          <w:szCs w:val="24"/>
          <w:highlight w:val="none"/>
        </w:rPr>
        <w:t>。</w:t>
      </w:r>
    </w:p>
    <w:p w14:paraId="43EED0D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31.3</w:t>
      </w:r>
      <w:r>
        <w:rPr>
          <w:rFonts w:hint="eastAsia" w:ascii="宋体" w:hAnsi="宋体" w:cs="宋体"/>
          <w:color w:val="auto"/>
          <w:sz w:val="24"/>
          <w:szCs w:val="24"/>
          <w:highlight w:val="none"/>
          <w:u w:val="single"/>
        </w:rPr>
        <w:t>所有变更工程价款的报告必须按规定程序报发包人审核确认</w:t>
      </w:r>
      <w:r>
        <w:rPr>
          <w:rFonts w:hint="eastAsia" w:ascii="宋体" w:hAnsi="宋体" w:cs="宋体"/>
          <w:color w:val="auto"/>
          <w:sz w:val="24"/>
          <w:szCs w:val="24"/>
          <w:highlight w:val="none"/>
        </w:rPr>
        <w:t>。</w:t>
      </w:r>
    </w:p>
    <w:p w14:paraId="22F65AD3">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31.5</w:t>
      </w:r>
      <w:r>
        <w:rPr>
          <w:rFonts w:hint="eastAsia" w:ascii="宋体" w:hAnsi="宋体" w:cs="宋体"/>
          <w:color w:val="auto"/>
          <w:sz w:val="24"/>
          <w:szCs w:val="24"/>
          <w:highlight w:val="none"/>
          <w:u w:val="single"/>
        </w:rPr>
        <w:t>工程变更价款的支付按本合同相关约定支付</w:t>
      </w:r>
      <w:r>
        <w:rPr>
          <w:rFonts w:hint="eastAsia" w:ascii="宋体" w:hAnsi="宋体" w:cs="宋体"/>
          <w:color w:val="auto"/>
          <w:sz w:val="24"/>
          <w:szCs w:val="24"/>
          <w:highlight w:val="none"/>
        </w:rPr>
        <w:t>。</w:t>
      </w:r>
    </w:p>
    <w:p w14:paraId="44F98136">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发生上述规定的变更后，承包人在收到发包人变更通知的7天内按合同文件规定的计价方式内容编出变更工程建议送交监理单位</w:t>
      </w:r>
      <w:r>
        <w:rPr>
          <w:rFonts w:hint="eastAsia" w:ascii="宋体" w:hAnsi="宋体" w:cs="宋体"/>
          <w:color w:val="auto"/>
          <w:sz w:val="24"/>
          <w:szCs w:val="24"/>
          <w:highlight w:val="none"/>
        </w:rPr>
        <w:t>。</w:t>
      </w:r>
    </w:p>
    <w:p w14:paraId="62BF7903">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14:paraId="700305BE">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工程变更、签证申报程序按清远市、佛冈县、园区管委会以及建设业的有关规定执行</w:t>
      </w:r>
      <w:r>
        <w:rPr>
          <w:rFonts w:hint="eastAsia" w:ascii="宋体" w:hAnsi="宋体" w:cs="宋体"/>
          <w:color w:val="auto"/>
          <w:sz w:val="24"/>
          <w:szCs w:val="24"/>
          <w:highlight w:val="none"/>
        </w:rPr>
        <w:t>。</w:t>
      </w:r>
    </w:p>
    <w:p w14:paraId="379BB720">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九、竣工验收与结算</w:t>
      </w:r>
    </w:p>
    <w:p w14:paraId="7BB3C729">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32、竣工验收</w:t>
      </w:r>
    </w:p>
    <w:p w14:paraId="06C20ABA">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32.1承包人提供竣工图纸的约定：</w:t>
      </w:r>
      <w:r>
        <w:rPr>
          <w:rFonts w:hint="eastAsia" w:ascii="宋体" w:hAnsi="宋体" w:cs="宋体"/>
          <w:color w:val="auto"/>
          <w:sz w:val="24"/>
          <w:szCs w:val="24"/>
          <w:highlight w:val="none"/>
          <w:u w:val="single"/>
        </w:rPr>
        <w:t>承包人工程竣工资料必须按照国家及清远市、佛冈县、园区管委会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14:paraId="405CBC8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32.6中间交工工程的范围和竣工时间：</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3BEF1B5">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33、竣工结算</w:t>
      </w:r>
    </w:p>
    <w:p w14:paraId="30A8EEA1">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（1）承发包双方一致同意不适用</w:t>
      </w:r>
      <w:r>
        <w:rPr>
          <w:rFonts w:hint="eastAsia" w:ascii="宋体" w:hAnsi="宋体" w:cs="宋体"/>
          <w:color w:val="auto"/>
          <w:sz w:val="24"/>
          <w:szCs w:val="24"/>
          <w:highlight w:val="none"/>
          <w:u w:val="single"/>
        </w:rPr>
        <w:t>通用条款33.2款、33.3款、33.4款</w:t>
      </w:r>
      <w:r>
        <w:rPr>
          <w:rFonts w:hint="eastAsia" w:ascii="宋体" w:hAnsi="宋体" w:cs="宋体"/>
          <w:color w:val="auto"/>
          <w:sz w:val="24"/>
          <w:szCs w:val="24"/>
          <w:highlight w:val="none"/>
        </w:rPr>
        <w:t>。</w:t>
      </w:r>
    </w:p>
    <w:p w14:paraId="2FAA83B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（2）竣工结算办法：</w:t>
      </w:r>
      <w:r>
        <w:rPr>
          <w:rFonts w:hint="eastAsia" w:ascii="宋体" w:hAnsi="宋体" w:cs="宋体"/>
          <w:color w:val="auto"/>
          <w:sz w:val="24"/>
          <w:szCs w:val="24"/>
          <w:highlight w:val="none"/>
          <w:u w:val="single"/>
        </w:rPr>
        <w:t>所有工程量（含暂定工程量的结算）的结算均以</w:t>
      </w:r>
      <w:r>
        <w:rPr>
          <w:rFonts w:hint="eastAsia" w:ascii="宋体" w:hAnsi="宋体" w:cs="宋体"/>
          <w:color w:val="auto"/>
          <w:sz w:val="24"/>
          <w:highlight w:val="none"/>
          <w:lang w:val="en-US" w:eastAsia="zh-CN"/>
        </w:rPr>
        <w:t>园区财政评审部门或其授权委托单位</w:t>
      </w:r>
      <w:r>
        <w:rPr>
          <w:rFonts w:hint="eastAsia" w:ascii="宋体" w:hAnsi="宋体" w:cs="宋体"/>
          <w:color w:val="auto"/>
          <w:sz w:val="24"/>
          <w:szCs w:val="24"/>
          <w:highlight w:val="none"/>
          <w:u w:val="single"/>
        </w:rPr>
        <w:t>审定的金额为准。工程竣工后，承包人编制本工程的结算书送监理单位审核，经监理单位审核后送发包人复审，按规定送园区财政评审部门审核，并以园区财政评审部门或其授权委托单位审定本工程的结算为准，如遇审计部门审计，本合同最终结算价款以审计部门的审计结果为准。</w:t>
      </w:r>
      <w:r>
        <w:rPr>
          <w:rFonts w:hint="eastAsia" w:ascii="宋体" w:hAnsi="宋体" w:cs="宋体"/>
          <w:color w:val="auto"/>
          <w:sz w:val="24"/>
          <w:szCs w:val="24"/>
          <w:highlight w:val="none"/>
        </w:rPr>
        <w:t>。</w:t>
      </w:r>
    </w:p>
    <w:p w14:paraId="0C4C25D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eastAsia="宋体" w:cs="宋体"/>
          <w:color w:val="auto"/>
          <w:sz w:val="24"/>
          <w:szCs w:val="24"/>
          <w:highlight w:val="none"/>
        </w:rPr>
        <w:t>竣工结算提交时间：承包人须按</w:t>
      </w:r>
      <w:r>
        <w:rPr>
          <w:rFonts w:hint="eastAsia" w:ascii="宋体" w:hAnsi="宋体" w:eastAsia="宋体" w:cs="宋体"/>
          <w:color w:val="auto"/>
          <w:sz w:val="24"/>
          <w:szCs w:val="24"/>
          <w:highlight w:val="none"/>
          <w:lang w:val="en-US" w:eastAsia="zh-CN"/>
        </w:rPr>
        <w:t>清远市、佛冈县、园区管委会</w:t>
      </w:r>
      <w:r>
        <w:rPr>
          <w:rFonts w:hint="eastAsia" w:ascii="宋体" w:hAnsi="宋体" w:eastAsia="宋体" w:cs="宋体"/>
          <w:color w:val="auto"/>
          <w:sz w:val="24"/>
          <w:szCs w:val="24"/>
          <w:highlight w:val="none"/>
        </w:rPr>
        <w:t>有关规定编制及办理建设项目工程结算。</w:t>
      </w:r>
    </w:p>
    <w:p w14:paraId="74AF3232">
      <w:pPr>
        <w:spacing w:line="440" w:lineRule="exact"/>
        <w:ind w:firstLine="480" w:firstLineChars="200"/>
        <w:rPr>
          <w:rFonts w:hint="eastAsia" w:ascii="宋体" w:hAnsi="宋体" w:cs="宋体"/>
          <w:bCs/>
          <w:snapToGrid w:val="0"/>
          <w:color w:val="auto"/>
          <w:kern w:val="0"/>
          <w:sz w:val="24"/>
          <w:szCs w:val="24"/>
          <w:highlight w:val="none"/>
        </w:rPr>
      </w:pPr>
      <w:r>
        <w:rPr>
          <w:rFonts w:hint="eastAsia" w:ascii="宋体" w:hAnsi="宋体" w:cs="宋体"/>
          <w:bCs/>
          <w:snapToGrid w:val="0"/>
          <w:color w:val="auto"/>
          <w:kern w:val="0"/>
          <w:sz w:val="24"/>
          <w:szCs w:val="24"/>
          <w:highlight w:val="none"/>
          <w:u w:val="none"/>
        </w:rPr>
        <w:t>合同结算价款以</w:t>
      </w:r>
      <w:r>
        <w:rPr>
          <w:rFonts w:hint="eastAsia" w:ascii="宋体" w:hAnsi="宋体" w:cs="宋体"/>
          <w:bCs/>
          <w:snapToGrid w:val="0"/>
          <w:color w:val="auto"/>
          <w:kern w:val="0"/>
          <w:sz w:val="24"/>
          <w:szCs w:val="24"/>
          <w:highlight w:val="none"/>
          <w:lang w:val="en-US" w:eastAsia="zh-CN"/>
        </w:rPr>
        <w:t>园区</w:t>
      </w:r>
      <w:r>
        <w:rPr>
          <w:rFonts w:hint="eastAsia" w:ascii="宋体" w:hAnsi="宋体" w:eastAsia="宋体" w:cs="宋体"/>
          <w:bCs/>
          <w:snapToGrid w:val="0"/>
          <w:color w:val="auto"/>
          <w:kern w:val="0"/>
          <w:sz w:val="24"/>
          <w:szCs w:val="24"/>
          <w:highlight w:val="none"/>
        </w:rPr>
        <w:t>财政</w:t>
      </w:r>
      <w:r>
        <w:rPr>
          <w:rFonts w:hint="eastAsia" w:ascii="宋体" w:hAnsi="宋体" w:cs="宋体"/>
          <w:bCs/>
          <w:snapToGrid w:val="0"/>
          <w:color w:val="auto"/>
          <w:kern w:val="0"/>
          <w:sz w:val="24"/>
          <w:szCs w:val="24"/>
          <w:highlight w:val="none"/>
          <w:lang w:val="en-US" w:eastAsia="zh-CN"/>
        </w:rPr>
        <w:t>部门或其授权委托单位</w:t>
      </w:r>
      <w:r>
        <w:rPr>
          <w:rFonts w:hint="eastAsia" w:ascii="宋体" w:hAnsi="宋体" w:cs="宋体"/>
          <w:bCs/>
          <w:snapToGrid w:val="0"/>
          <w:color w:val="auto"/>
          <w:kern w:val="0"/>
          <w:sz w:val="24"/>
          <w:szCs w:val="24"/>
          <w:highlight w:val="none"/>
          <w:u w:val="none"/>
        </w:rPr>
        <w:t>审定结算为准。工程完工后，合同双方在合同约定时间内以经核定的结算工程量及</w:t>
      </w:r>
      <w:r>
        <w:rPr>
          <w:rFonts w:hint="eastAsia" w:ascii="宋体" w:hAnsi="宋体" w:cs="宋体"/>
          <w:bCs/>
          <w:snapToGrid w:val="0"/>
          <w:color w:val="auto"/>
          <w:kern w:val="0"/>
          <w:sz w:val="24"/>
          <w:szCs w:val="24"/>
          <w:highlight w:val="none"/>
          <w:lang w:val="en-US" w:eastAsia="zh-CN"/>
        </w:rPr>
        <w:t>园区</w:t>
      </w:r>
      <w:r>
        <w:rPr>
          <w:rFonts w:hint="eastAsia" w:ascii="宋体" w:hAnsi="宋体" w:eastAsia="宋体" w:cs="宋体"/>
          <w:bCs/>
          <w:snapToGrid w:val="0"/>
          <w:color w:val="auto"/>
          <w:kern w:val="0"/>
          <w:sz w:val="24"/>
          <w:szCs w:val="24"/>
          <w:highlight w:val="none"/>
        </w:rPr>
        <w:t>财政</w:t>
      </w:r>
      <w:r>
        <w:rPr>
          <w:rFonts w:hint="eastAsia" w:ascii="宋体" w:hAnsi="宋体" w:cs="宋体"/>
          <w:bCs/>
          <w:snapToGrid w:val="0"/>
          <w:color w:val="auto"/>
          <w:kern w:val="0"/>
          <w:sz w:val="24"/>
          <w:szCs w:val="24"/>
          <w:highlight w:val="none"/>
          <w:lang w:val="en-US" w:eastAsia="zh-CN"/>
        </w:rPr>
        <w:t>部门或其授权委托单位</w:t>
      </w:r>
      <w:r>
        <w:rPr>
          <w:rFonts w:hint="eastAsia" w:ascii="宋体" w:hAnsi="宋体" w:cs="宋体"/>
          <w:bCs/>
          <w:snapToGrid w:val="0"/>
          <w:color w:val="auto"/>
          <w:kern w:val="0"/>
          <w:sz w:val="24"/>
          <w:szCs w:val="24"/>
          <w:highlight w:val="none"/>
          <w:u w:val="none"/>
        </w:rPr>
        <w:t>审定的工程</w:t>
      </w:r>
      <w:r>
        <w:rPr>
          <w:rFonts w:hint="eastAsia" w:ascii="宋体" w:hAnsi="宋体" w:cs="宋体"/>
          <w:bCs/>
          <w:snapToGrid w:val="0"/>
          <w:color w:val="auto"/>
          <w:kern w:val="0"/>
          <w:sz w:val="24"/>
          <w:szCs w:val="24"/>
          <w:highlight w:val="none"/>
          <w:u w:val="none"/>
          <w:lang w:val="en-US" w:eastAsia="zh-CN"/>
        </w:rPr>
        <w:t>预算</w:t>
      </w:r>
      <w:r>
        <w:rPr>
          <w:rFonts w:hint="eastAsia" w:ascii="宋体" w:hAnsi="宋体" w:cs="宋体"/>
          <w:bCs/>
          <w:snapToGrid w:val="0"/>
          <w:color w:val="auto"/>
          <w:kern w:val="0"/>
          <w:sz w:val="24"/>
          <w:szCs w:val="24"/>
          <w:highlight w:val="none"/>
          <w:u w:val="none"/>
        </w:rPr>
        <w:t>中的分部分项综合单价为基础，依据合同、招标文件的相关约定办理结算并报</w:t>
      </w:r>
      <w:r>
        <w:rPr>
          <w:rFonts w:hint="eastAsia" w:ascii="宋体" w:hAnsi="宋体" w:cs="宋体"/>
          <w:bCs/>
          <w:snapToGrid w:val="0"/>
          <w:color w:val="auto"/>
          <w:kern w:val="0"/>
          <w:sz w:val="24"/>
          <w:szCs w:val="24"/>
          <w:highlight w:val="none"/>
          <w:lang w:val="en-US" w:eastAsia="zh-CN"/>
        </w:rPr>
        <w:t>园区</w:t>
      </w:r>
      <w:r>
        <w:rPr>
          <w:rFonts w:hint="eastAsia" w:ascii="宋体" w:hAnsi="宋体" w:eastAsia="宋体" w:cs="宋体"/>
          <w:bCs/>
          <w:snapToGrid w:val="0"/>
          <w:color w:val="auto"/>
          <w:kern w:val="0"/>
          <w:sz w:val="24"/>
          <w:szCs w:val="24"/>
          <w:highlight w:val="none"/>
        </w:rPr>
        <w:t>财政</w:t>
      </w:r>
      <w:r>
        <w:rPr>
          <w:rFonts w:hint="eastAsia" w:ascii="宋体" w:hAnsi="宋体" w:cs="宋体"/>
          <w:bCs/>
          <w:snapToGrid w:val="0"/>
          <w:color w:val="auto"/>
          <w:kern w:val="0"/>
          <w:sz w:val="24"/>
          <w:szCs w:val="24"/>
          <w:highlight w:val="none"/>
          <w:lang w:val="en-US" w:eastAsia="zh-CN"/>
        </w:rPr>
        <w:t>部门或其授权委托单位</w:t>
      </w:r>
      <w:r>
        <w:rPr>
          <w:rFonts w:hint="eastAsia" w:ascii="宋体" w:hAnsi="宋体" w:cs="宋体"/>
          <w:bCs/>
          <w:snapToGrid w:val="0"/>
          <w:color w:val="auto"/>
          <w:kern w:val="0"/>
          <w:sz w:val="24"/>
          <w:szCs w:val="24"/>
          <w:highlight w:val="none"/>
          <w:u w:val="none"/>
        </w:rPr>
        <w:t>评审，结算金额以</w:t>
      </w:r>
      <w:r>
        <w:rPr>
          <w:rFonts w:hint="eastAsia" w:ascii="宋体" w:hAnsi="宋体" w:cs="宋体"/>
          <w:bCs/>
          <w:snapToGrid w:val="0"/>
          <w:color w:val="auto"/>
          <w:kern w:val="0"/>
          <w:sz w:val="24"/>
          <w:szCs w:val="24"/>
          <w:highlight w:val="none"/>
          <w:lang w:val="en-US" w:eastAsia="zh-CN"/>
        </w:rPr>
        <w:t>园区</w:t>
      </w:r>
      <w:r>
        <w:rPr>
          <w:rFonts w:hint="eastAsia" w:ascii="宋体" w:hAnsi="宋体" w:eastAsia="宋体" w:cs="宋体"/>
          <w:bCs/>
          <w:snapToGrid w:val="0"/>
          <w:color w:val="auto"/>
          <w:kern w:val="0"/>
          <w:sz w:val="24"/>
          <w:szCs w:val="24"/>
          <w:highlight w:val="none"/>
        </w:rPr>
        <w:t>财政</w:t>
      </w:r>
      <w:r>
        <w:rPr>
          <w:rFonts w:hint="eastAsia" w:ascii="宋体" w:hAnsi="宋体" w:cs="宋体"/>
          <w:bCs/>
          <w:snapToGrid w:val="0"/>
          <w:color w:val="auto"/>
          <w:kern w:val="0"/>
          <w:sz w:val="24"/>
          <w:szCs w:val="24"/>
          <w:highlight w:val="none"/>
          <w:lang w:val="en-US" w:eastAsia="zh-CN"/>
        </w:rPr>
        <w:t>部门或其授权委托单位</w:t>
      </w:r>
      <w:r>
        <w:rPr>
          <w:rFonts w:hint="eastAsia" w:ascii="宋体" w:hAnsi="宋体" w:cs="宋体"/>
          <w:bCs/>
          <w:snapToGrid w:val="0"/>
          <w:color w:val="auto"/>
          <w:kern w:val="0"/>
          <w:sz w:val="24"/>
          <w:szCs w:val="24"/>
          <w:highlight w:val="none"/>
          <w:u w:val="none"/>
        </w:rPr>
        <w:t>审定为准。如遇审计部门审计，本合同最终结算价款以审计部门的审计结果为准</w:t>
      </w:r>
      <w:r>
        <w:rPr>
          <w:rFonts w:hint="eastAsia" w:ascii="宋体" w:hAnsi="宋体" w:cs="宋体"/>
          <w:bCs/>
          <w:snapToGrid w:val="0"/>
          <w:color w:val="auto"/>
          <w:kern w:val="0"/>
          <w:sz w:val="24"/>
          <w:szCs w:val="24"/>
          <w:highlight w:val="none"/>
        </w:rPr>
        <w:t>。</w:t>
      </w:r>
    </w:p>
    <w:p w14:paraId="33D0A669">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十、违约、索赔和争议</w:t>
      </w:r>
    </w:p>
    <w:p w14:paraId="1BAB3046">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35、违约</w:t>
      </w:r>
    </w:p>
    <w:p w14:paraId="51BCA31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35.1本合同中关于发包人违约的具体责任如下：</w:t>
      </w:r>
    </w:p>
    <w:p w14:paraId="1E2DF293">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14:paraId="27F5246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2A7ECED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35.2本合同中关于承包人违约的具体责任如下：</w:t>
      </w:r>
    </w:p>
    <w:p w14:paraId="20ED3F9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35.2.1工期延误的违约责任：</w:t>
      </w:r>
    </w:p>
    <w:p w14:paraId="5538337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承包人未按发包人或监理单位开工令要求时间开工的，每迟延开工1天，应向发包人支付违约金</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000元；迟延开工超过20天的，发包人有权根据实际情况单方面解除合同</w:t>
      </w:r>
      <w:r>
        <w:rPr>
          <w:rFonts w:hint="eastAsia" w:ascii="宋体" w:hAnsi="宋体" w:cs="宋体"/>
          <w:color w:val="auto"/>
          <w:sz w:val="24"/>
          <w:szCs w:val="24"/>
          <w:highlight w:val="none"/>
        </w:rPr>
        <w:t>。</w:t>
      </w:r>
    </w:p>
    <w:p w14:paraId="63500AC3">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000元，如在下一个节点赶回工期，可免除上述违约金。属总工期延误，从总工期延误的第一天起，每天支付违约金20</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延误工期超过20天的，发包人可视情况终止合同。</w:t>
      </w:r>
    </w:p>
    <w:p w14:paraId="46BD1BB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承包人必须按期完成主要工序的施工任务，若属承包人原因逾期达10天未完成主要节点的施工任务时，除按第（2）项约定承担违约责任外，发包人可要求撤换</w:t>
      </w:r>
      <w:r>
        <w:rPr>
          <w:rFonts w:hint="eastAsia" w:ascii="宋体" w:hAnsi="宋体" w:cs="宋体"/>
          <w:color w:val="auto"/>
          <w:sz w:val="24"/>
          <w:szCs w:val="24"/>
          <w:highlight w:val="none"/>
          <w:u w:val="single"/>
          <w:lang w:val="en-US" w:eastAsia="zh-CN"/>
        </w:rPr>
        <w:t>项目</w:t>
      </w:r>
      <w:r>
        <w:rPr>
          <w:rFonts w:hint="eastAsia" w:ascii="宋体" w:hAnsi="宋体" w:cs="宋体"/>
          <w:color w:val="auto"/>
          <w:sz w:val="24"/>
          <w:szCs w:val="24"/>
          <w:highlight w:val="none"/>
          <w:u w:val="single"/>
        </w:rPr>
        <w:t>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14:paraId="79DFCA0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14:paraId="4029DC62">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000元违约金</w:t>
      </w:r>
      <w:r>
        <w:rPr>
          <w:rFonts w:hint="eastAsia" w:ascii="宋体" w:hAnsi="宋体" w:cs="宋体"/>
          <w:color w:val="auto"/>
          <w:sz w:val="24"/>
          <w:szCs w:val="24"/>
          <w:highlight w:val="none"/>
        </w:rPr>
        <w:t>。</w:t>
      </w:r>
    </w:p>
    <w:p w14:paraId="2EF9D9D8">
      <w:pPr>
        <w:snapToGrid w:val="0"/>
        <w:spacing w:line="440" w:lineRule="exact"/>
        <w:ind w:firstLine="422" w:firstLineChars="176"/>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rPr>
        <w:t>（6）</w:t>
      </w:r>
      <w:r>
        <w:rPr>
          <w:rFonts w:hint="eastAsia" w:ascii="宋体" w:hAnsi="宋体" w:cs="宋体"/>
          <w:snapToGrid w:val="0"/>
          <w:color w:val="auto"/>
          <w:sz w:val="24"/>
          <w:szCs w:val="24"/>
          <w:highlight w:val="none"/>
          <w:u w:val="single"/>
        </w:rPr>
        <w:t>承包人违反合同专用条款的约定和发包人的规定，逾期完成竣工档案的整理、移交、送审备案工作的，每逾期1天，承包人支付违约金</w:t>
      </w:r>
      <w:r>
        <w:rPr>
          <w:rFonts w:hint="eastAsia" w:ascii="宋体" w:hAnsi="宋体" w:cs="宋体"/>
          <w:snapToGrid w:val="0"/>
          <w:color w:val="auto"/>
          <w:sz w:val="24"/>
          <w:szCs w:val="24"/>
          <w:highlight w:val="none"/>
          <w:u w:val="single"/>
          <w:lang w:val="en-US" w:eastAsia="zh-CN"/>
        </w:rPr>
        <w:t>5</w:t>
      </w:r>
      <w:r>
        <w:rPr>
          <w:rFonts w:hint="eastAsia" w:ascii="宋体" w:hAnsi="宋体" w:cs="宋体"/>
          <w:snapToGrid w:val="0"/>
          <w:color w:val="auto"/>
          <w:sz w:val="24"/>
          <w:szCs w:val="24"/>
          <w:highlight w:val="none"/>
          <w:u w:val="single"/>
        </w:rPr>
        <w:t>000元</w:t>
      </w:r>
      <w:r>
        <w:rPr>
          <w:rFonts w:hint="eastAsia" w:ascii="宋体" w:hAnsi="宋体" w:cs="宋体"/>
          <w:snapToGrid w:val="0"/>
          <w:color w:val="auto"/>
          <w:sz w:val="24"/>
          <w:szCs w:val="24"/>
          <w:highlight w:val="none"/>
        </w:rPr>
        <w:t>。</w:t>
      </w:r>
    </w:p>
    <w:p w14:paraId="52CF18D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35.2.2安全、文明施工要求及违约处理：</w:t>
      </w:r>
    </w:p>
    <w:p w14:paraId="7C6B735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r>
        <w:rPr>
          <w:rFonts w:hint="eastAsia" w:ascii="宋体" w:hAnsi="宋体" w:cs="宋体"/>
          <w:color w:val="auto"/>
          <w:sz w:val="24"/>
          <w:szCs w:val="24"/>
          <w:highlight w:val="none"/>
        </w:rPr>
        <w:t>。</w:t>
      </w:r>
    </w:p>
    <w:p w14:paraId="2C651CE0">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r>
        <w:rPr>
          <w:rFonts w:hint="eastAsia" w:ascii="宋体" w:hAnsi="宋体" w:cs="宋体"/>
          <w:color w:val="auto"/>
          <w:sz w:val="24"/>
          <w:szCs w:val="24"/>
          <w:highlight w:val="none"/>
        </w:rPr>
        <w:t>。</w:t>
      </w:r>
    </w:p>
    <w:p w14:paraId="7AC472E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500元违约金，并按发包人或监理单位要求限期整改，未在限期内完成整改的，每延期一天，承包人支付10</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00元违约金</w:t>
      </w:r>
      <w:r>
        <w:rPr>
          <w:rFonts w:hint="eastAsia" w:ascii="宋体" w:hAnsi="宋体" w:cs="宋体"/>
          <w:color w:val="auto"/>
          <w:sz w:val="24"/>
          <w:szCs w:val="24"/>
          <w:highlight w:val="none"/>
        </w:rPr>
        <w:t>。</w:t>
      </w:r>
    </w:p>
    <w:p w14:paraId="13052345">
      <w:pPr>
        <w:snapToGrid w:val="0"/>
        <w:spacing w:line="440" w:lineRule="exact"/>
        <w:ind w:firstLine="422" w:firstLineChars="176"/>
        <w:rPr>
          <w:rFonts w:ascii="宋体" w:hAnsi="宋体" w:cs="宋体"/>
          <w:snapToGrid w:val="0"/>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Pr>
          <w:rFonts w:hint="eastAsia" w:ascii="宋体" w:hAnsi="宋体" w:cs="宋体"/>
          <w:color w:val="auto"/>
          <w:sz w:val="24"/>
          <w:szCs w:val="24"/>
          <w:highlight w:val="none"/>
        </w:rPr>
        <w:t>。</w:t>
      </w:r>
    </w:p>
    <w:p w14:paraId="7D097799">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2015年修正本）》、《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Pr>
          <w:rFonts w:hint="eastAsia" w:ascii="宋体" w:hAnsi="宋体" w:cs="宋体"/>
          <w:color w:val="auto"/>
          <w:sz w:val="24"/>
          <w:szCs w:val="24"/>
          <w:highlight w:val="none"/>
        </w:rPr>
        <w:t>。</w:t>
      </w:r>
    </w:p>
    <w:p w14:paraId="394203FA">
      <w:pPr>
        <w:snapToGrid w:val="0"/>
        <w:spacing w:line="440" w:lineRule="exact"/>
        <w:ind w:firstLine="422" w:firstLineChars="1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shd w:val="clear" w:color="auto" w:fill="auto"/>
        </w:rPr>
        <w:t>（6）经发包人或监理单位抽查发现承包人违反合同专用条款的约定，其技术管理人员或施工作业人员没有佩带平安卡的，承包人按每人次1000元的标准向发包人支付违约金并立即改正。</w:t>
      </w:r>
    </w:p>
    <w:p w14:paraId="3B47FCF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35.2.3工程质量方面的违约责任：</w:t>
      </w:r>
    </w:p>
    <w:p w14:paraId="5B0A4FD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14:paraId="28370792">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14:paraId="75123672">
      <w:pPr>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（3）对施工质量问题存在争议，应请国家认可的第三方机构出具检测报告，检测费用由责任方承担。</w:t>
      </w:r>
    </w:p>
    <w:p w14:paraId="20D13AD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35.2.5关于农民工工资支付的违约责任：</w:t>
      </w:r>
    </w:p>
    <w:p w14:paraId="724FB7A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承包人拖欠农民工工资（含代发的分包单位工人工资），被农民工投诉属实的，承包人必须在3天内发放拖欠的款项。若继续拖延被投诉2次及以上，经查实，承包人除应立即支付拖欠款项外，还应支付</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000违约金给发包人。因承包人拖欠农民工工资，导致农民工采取停工、集聚围阻发包人办公地点甚至政府办公部门等过激行动的，承包人应支付</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14:paraId="513BC90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35.2.6项目管理机构人员、机械设备、劳动力到位方面的违约责任：</w:t>
      </w:r>
    </w:p>
    <w:p w14:paraId="3B352E1A">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1）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14:paraId="7A651821">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（2）如果承包人未按投标文件中的机械设备投入计划投入机械设备，经监理工程师或发包人代表检查发现的，将书面告知限期整改，未在限期内完成整改的，每延期一天，承包人需支付10000元违约金给发包人。</w:t>
      </w:r>
    </w:p>
    <w:p w14:paraId="5056EBDB">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（3）如果承包人未投标文件中的人力投入计划投入人力，经监理工程师和发包人代表检查发现的，每发现一次，承包人支付10000元违约金给发包人。</w:t>
      </w:r>
    </w:p>
    <w:p w14:paraId="4C75D8C1">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14:paraId="54BAAE1B">
      <w:pPr>
        <w:snapToGrid w:val="0"/>
        <w:spacing w:line="440" w:lineRule="exact"/>
        <w:ind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14:paraId="3AD9017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35.2.7工程转包违约责任：</w:t>
      </w:r>
    </w:p>
    <w:p w14:paraId="446E40FB">
      <w:pPr>
        <w:snapToGrid w:val="0"/>
        <w:spacing w:line="440" w:lineRule="exact"/>
        <w:ind w:firstLine="422" w:firstLineChars="176"/>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合同约定的工程项目承包人不得转包，否则，发包人有权单方面终止合同，并令其立即退场，工程项目另行处理，承包人还应按履约担保金额支付违约金，发包人的损失超过履约担保金额的部分，承包人还应承担赔偿责任。</w:t>
      </w:r>
    </w:p>
    <w:p w14:paraId="703C843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14:paraId="504E53E5">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35.2.8解除合同的违约责任：</w:t>
      </w:r>
    </w:p>
    <w:p w14:paraId="35D1FB88">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35.2.8.1因承包人严重违约导致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14:paraId="4243B2F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35.2.8.2不适用通用条款44.6条的约定。</w:t>
      </w:r>
    </w:p>
    <w:p w14:paraId="528ED7E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35.2.9办理结算的违约责任：</w:t>
      </w:r>
    </w:p>
    <w:p w14:paraId="0206957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承包人不执行清远市、佛冈县及园区管委会有关规定的，须按该指引有关规定承担违约责任。</w:t>
      </w:r>
    </w:p>
    <w:p w14:paraId="6332E644">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35.2.10除上述违约责任外，因承包人履行本合同不符合约定或相关规定，发包人可根据实际情况，给予承包人通报批评及作不良记录等处罚措施；情节严重的，可报请上级行政主管部门给予相应处罚。</w:t>
      </w:r>
    </w:p>
    <w:p w14:paraId="3EFCD3D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35.2.11承包人违约责任的认定方式、送达程序及违约金的处理</w:t>
      </w:r>
    </w:p>
    <w:p w14:paraId="2E01414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（1）认定方式：以发包人发出的通知、通报、会议纪要等书面文件确定的内容为准。</w:t>
      </w:r>
    </w:p>
    <w:p w14:paraId="0FC8B3E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（2）送达程序：发包人以下列方式之一将书面违约处理决定送达承包人：</w:t>
      </w:r>
    </w:p>
    <w:p w14:paraId="3217826B">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1）承包人现场管理机构工作人员签收。</w:t>
      </w:r>
    </w:p>
    <w:p w14:paraId="31AD058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2）承包人其他工作人员签收。</w:t>
      </w:r>
    </w:p>
    <w:p w14:paraId="7312BC8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3）发包人邮寄送达。</w:t>
      </w:r>
    </w:p>
    <w:p w14:paraId="3FACF5C2">
      <w:pPr>
        <w:snapToGrid w:val="0"/>
        <w:spacing w:line="420" w:lineRule="exact"/>
        <w:ind w:right="-218" w:rightChars="-104" w:firstLine="422" w:firstLineChars="176"/>
        <w:rPr>
          <w:rFonts w:hint="eastAsia" w:ascii="宋体" w:hAnsi="宋体" w:cs="宋体"/>
          <w:color w:val="auto"/>
          <w:sz w:val="24"/>
          <w:szCs w:val="24"/>
          <w:highlight w:val="none"/>
        </w:rPr>
      </w:pPr>
      <w:r>
        <w:rPr>
          <w:rFonts w:hint="eastAsia" w:ascii="宋体" w:hAnsi="宋体" w:cs="宋体"/>
          <w:color w:val="auto"/>
          <w:sz w:val="24"/>
          <w:szCs w:val="24"/>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547C95BF">
      <w:pPr>
        <w:snapToGrid w:val="0"/>
        <w:spacing w:line="420" w:lineRule="exact"/>
        <w:ind w:right="-218" w:rightChars="-104" w:firstLine="422" w:firstLineChars="176"/>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35.3</w:t>
      </w: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color w:val="auto"/>
          <w:sz w:val="24"/>
          <w:szCs w:val="24"/>
          <w:highlight w:val="none"/>
          <w:u w:val="none"/>
          <w:lang w:val="en-US" w:eastAsia="zh-CN"/>
        </w:rPr>
        <w:t>若承包人违反发包人或监理单位现场有关管理规定的，承包人需支付500至2000元的违约金给发包人，金额具体以发包人或监理单位出具的书面处理决定为准。</w:t>
      </w:r>
    </w:p>
    <w:p w14:paraId="47B79297">
      <w:pPr>
        <w:snapToGrid w:val="0"/>
        <w:spacing w:line="440" w:lineRule="exact"/>
        <w:ind w:firstLine="422" w:firstLineChars="176"/>
        <w:rPr>
          <w:rFonts w:ascii="宋体" w:hAnsi="宋体" w:cs="宋体"/>
          <w:color w:val="auto"/>
          <w:sz w:val="24"/>
          <w:szCs w:val="24"/>
          <w:highlight w:val="none"/>
        </w:rPr>
      </w:pPr>
    </w:p>
    <w:p w14:paraId="62F7FC28">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37、争议</w:t>
      </w:r>
    </w:p>
    <w:p w14:paraId="557648B1">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37.1双方约定，在履行合同过程中产生争议时：</w:t>
      </w:r>
    </w:p>
    <w:p w14:paraId="754C00D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（1）由双方协商解决；</w:t>
      </w:r>
    </w:p>
    <w:p w14:paraId="3EA9194C">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14:paraId="7D27967B">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十一、其他</w:t>
      </w:r>
    </w:p>
    <w:p w14:paraId="7CB7C66C">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38、工程分包</w:t>
      </w:r>
    </w:p>
    <w:p w14:paraId="4CA1CDAC">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38.1（1）本工程发包人同意承包人分包的工程：非主体非关键工程。</w:t>
      </w:r>
      <w:r>
        <w:rPr>
          <w:rFonts w:hint="eastAsia" w:ascii="宋体" w:hAnsi="宋体" w:cs="宋体"/>
          <w:color w:val="auto"/>
          <w:sz w:val="24"/>
          <w:szCs w:val="24"/>
          <w:highlight w:val="none"/>
        </w:rPr>
        <w:t>非主体非关键工程。承包人分包工程的，需先报发包人同意，分包合同签订后必须报发包人备案。承包人与分包单位签订的分包合同中应明确工人工资比例及支付期限。</w:t>
      </w:r>
      <w:r>
        <w:rPr>
          <w:rFonts w:hint="eastAsia" w:ascii="宋体" w:hAnsi="宋体" w:cs="宋体"/>
          <w:color w:val="auto"/>
          <w:sz w:val="24"/>
          <w:szCs w:val="24"/>
          <w:highlight w:val="none"/>
        </w:rPr>
        <w:t>。</w:t>
      </w:r>
    </w:p>
    <w:p w14:paraId="56DD2229">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劳务分包必须严格执行</w:t>
      </w:r>
      <w:r>
        <w:rPr>
          <w:rFonts w:hint="eastAsia" w:ascii="宋体" w:hAnsi="宋体" w:cs="宋体"/>
          <w:color w:val="auto"/>
          <w:sz w:val="24"/>
          <w:szCs w:val="24"/>
          <w:highlight w:val="none"/>
          <w:lang w:val="en-US" w:eastAsia="zh-CN"/>
        </w:rPr>
        <w:t>清远</w:t>
      </w:r>
      <w:r>
        <w:rPr>
          <w:rFonts w:hint="eastAsia" w:ascii="宋体" w:hAnsi="宋体" w:cs="宋体"/>
          <w:color w:val="auto"/>
          <w:sz w:val="24"/>
          <w:szCs w:val="24"/>
          <w:highlight w:val="none"/>
        </w:rPr>
        <w:t>市相关规定，禁止分包劳务给无资质单位或个人。劳务分包单位须与向政府相关部门备案的劳务分包的单位一致，不得私自变更劳务分包单位。</w:t>
      </w:r>
    </w:p>
    <w:p w14:paraId="5B2D7A91">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39、不可抗力</w:t>
      </w:r>
    </w:p>
    <w:p w14:paraId="1BFDD60A">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39.1双方关于不可抗力的约定：按本合同通用条款执行，自然灾害的范围及其认定方式，按下述约定执行：</w:t>
      </w:r>
    </w:p>
    <w:p w14:paraId="04271689">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14:paraId="221E05E7">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u w:val="single"/>
        </w:rPr>
        <w:t>里氏5级（含本数）以上地震</w:t>
      </w:r>
      <w:r>
        <w:rPr>
          <w:rFonts w:hint="eastAsia" w:ascii="宋体" w:hAnsi="宋体" w:cs="宋体"/>
          <w:color w:val="auto"/>
          <w:sz w:val="24"/>
          <w:szCs w:val="24"/>
          <w:highlight w:val="none"/>
        </w:rPr>
        <w:t>。</w:t>
      </w:r>
    </w:p>
    <w:p w14:paraId="5E17B6D3">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39.3双方关于不可抗力事件导致的费用承担</w:t>
      </w:r>
      <w:r>
        <w:rPr>
          <w:rFonts w:hint="eastAsia" w:ascii="宋体" w:hAnsi="宋体" w:cs="宋体"/>
          <w:color w:val="auto"/>
          <w:sz w:val="24"/>
          <w:szCs w:val="24"/>
          <w:highlight w:val="none"/>
          <w:u w:val="single"/>
        </w:rPr>
        <w:t>按本专用条款12.3款约定</w:t>
      </w:r>
      <w:r>
        <w:rPr>
          <w:rFonts w:hint="eastAsia" w:ascii="宋体" w:hAnsi="宋体" w:cs="宋体"/>
          <w:color w:val="auto"/>
          <w:sz w:val="24"/>
          <w:szCs w:val="24"/>
          <w:highlight w:val="none"/>
        </w:rPr>
        <w:t>执行。</w:t>
      </w:r>
    </w:p>
    <w:p w14:paraId="3DC8A671">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40、保险</w:t>
      </w:r>
    </w:p>
    <w:p w14:paraId="7ED205C1">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40.2承包人对其运至施工场地内用于工程的材料和待安装设备办理保险并支付保险费用。</w:t>
      </w:r>
    </w:p>
    <w:p w14:paraId="1A7B2C0F">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40.6本工程双方约定投保内容如下：</w:t>
      </w:r>
    </w:p>
    <w:p w14:paraId="2E91A538">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（1）发包人投保内容：</w:t>
      </w:r>
      <w:r>
        <w:rPr>
          <w:rFonts w:hint="eastAsia" w:ascii="宋体" w:hAnsi="宋体" w:cs="宋体"/>
          <w:color w:val="auto"/>
          <w:sz w:val="24"/>
          <w:szCs w:val="24"/>
          <w:highlight w:val="none"/>
          <w:u w:val="single"/>
        </w:rPr>
        <w:t>按</w:t>
      </w:r>
      <w:r>
        <w:rPr>
          <w:rFonts w:hint="eastAsia" w:ascii="宋体" w:hAnsi="宋体" w:cs="宋体"/>
          <w:color w:val="auto"/>
          <w:sz w:val="24"/>
          <w:szCs w:val="24"/>
          <w:highlight w:val="none"/>
          <w:u w:val="single"/>
          <w:lang w:val="en-US" w:eastAsia="zh-CN"/>
        </w:rPr>
        <w:t>清远</w:t>
      </w:r>
      <w:r>
        <w:rPr>
          <w:rFonts w:hint="eastAsia" w:ascii="宋体" w:hAnsi="宋体" w:cs="宋体"/>
          <w:color w:val="auto"/>
          <w:sz w:val="24"/>
          <w:szCs w:val="24"/>
          <w:highlight w:val="none"/>
          <w:u w:val="single"/>
        </w:rPr>
        <w:t>市建设项目劳动保险相关规定投保</w:t>
      </w:r>
      <w:r>
        <w:rPr>
          <w:rFonts w:hint="eastAsia" w:ascii="宋体" w:hAnsi="宋体" w:cs="宋体"/>
          <w:color w:val="auto"/>
          <w:sz w:val="24"/>
          <w:szCs w:val="24"/>
          <w:highlight w:val="none"/>
        </w:rPr>
        <w:t>。</w:t>
      </w:r>
    </w:p>
    <w:p w14:paraId="2E8E778E">
      <w:pPr>
        <w:snapToGrid w:val="0"/>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7486A094">
      <w:pPr>
        <w:snapToGrid w:val="0"/>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承包人投保内容：</w:t>
      </w:r>
      <w:r>
        <w:rPr>
          <w:rFonts w:hint="eastAsia" w:ascii="宋体" w:hAnsi="宋体" w:cs="宋体"/>
          <w:color w:val="auto"/>
          <w:sz w:val="24"/>
          <w:szCs w:val="24"/>
          <w:highlight w:val="none"/>
          <w:u w:val="single"/>
        </w:rPr>
        <w:t>按政府规定办理，其它保险项目由承包人自定</w:t>
      </w:r>
      <w:r>
        <w:rPr>
          <w:rFonts w:hint="eastAsia" w:ascii="宋体" w:hAnsi="宋体"/>
          <w:color w:val="auto"/>
          <w:sz w:val="24"/>
          <w:szCs w:val="24"/>
          <w:highlight w:val="none"/>
        </w:rPr>
        <w:t>。</w:t>
      </w:r>
    </w:p>
    <w:p w14:paraId="61947249">
      <w:pPr>
        <w:snapToGrid w:val="0"/>
        <w:spacing w:line="440" w:lineRule="exact"/>
        <w:ind w:firstLine="424" w:firstLineChars="176"/>
        <w:rPr>
          <w:rFonts w:ascii="宋体" w:hAnsi="宋体"/>
          <w:b/>
          <w:color w:val="auto"/>
          <w:sz w:val="24"/>
          <w:szCs w:val="24"/>
          <w:highlight w:val="none"/>
        </w:rPr>
      </w:pPr>
      <w:r>
        <w:rPr>
          <w:rFonts w:ascii="宋体" w:hAnsi="宋体"/>
          <w:b/>
          <w:color w:val="auto"/>
          <w:sz w:val="24"/>
          <w:szCs w:val="24"/>
          <w:highlight w:val="none"/>
        </w:rPr>
        <w:t>41</w:t>
      </w:r>
      <w:r>
        <w:rPr>
          <w:rFonts w:hint="eastAsia" w:ascii="宋体" w:hAnsi="宋体"/>
          <w:b/>
          <w:color w:val="auto"/>
          <w:sz w:val="24"/>
          <w:szCs w:val="24"/>
          <w:highlight w:val="none"/>
        </w:rPr>
        <w:t>、担保</w:t>
      </w:r>
    </w:p>
    <w:p w14:paraId="7DD6A093">
      <w:pPr>
        <w:snapToGrid w:val="0"/>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本工程双方约定担保事项如下：</w:t>
      </w:r>
    </w:p>
    <w:p w14:paraId="270FF1FF">
      <w:pPr>
        <w:snapToGrid w:val="0"/>
        <w:spacing w:line="440" w:lineRule="exact"/>
        <w:ind w:firstLine="422" w:firstLineChars="17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发包人向承包人提供履约担保，担保方式为：</w:t>
      </w:r>
      <w:r>
        <w:rPr>
          <w:rFonts w:ascii="宋体" w:hAnsi="宋体"/>
          <w:color w:val="auto"/>
          <w:sz w:val="24"/>
          <w:szCs w:val="24"/>
          <w:highlight w:val="none"/>
          <w:u w:val="single"/>
        </w:rPr>
        <w:t xml:space="preserve">   /   </w:t>
      </w:r>
      <w:r>
        <w:rPr>
          <w:rFonts w:hint="eastAsia" w:ascii="宋体" w:hAnsi="宋体"/>
          <w:color w:val="auto"/>
          <w:sz w:val="24"/>
          <w:szCs w:val="24"/>
          <w:highlight w:val="none"/>
        </w:rPr>
        <w:t>，担保合同作为本合同附件。</w:t>
      </w:r>
    </w:p>
    <w:p w14:paraId="03135135">
      <w:pPr>
        <w:snapToGrid w:val="0"/>
        <w:spacing w:line="440" w:lineRule="exact"/>
        <w:ind w:firstLine="422" w:firstLineChars="17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承包人按如下方式向发包人提供履约担保：</w:t>
      </w:r>
    </w:p>
    <w:p w14:paraId="6F6BA6A3">
      <w:pPr>
        <w:snapToGrid w:val="0"/>
        <w:spacing w:line="440" w:lineRule="exact"/>
        <w:ind w:firstLine="422" w:firstLineChars="176"/>
        <w:rPr>
          <w:rFonts w:ascii="宋体" w:hAnsi="宋体"/>
          <w:color w:val="auto"/>
          <w:sz w:val="24"/>
          <w:szCs w:val="24"/>
          <w:highlight w:val="none"/>
        </w:rPr>
      </w:pPr>
      <w:r>
        <w:rPr>
          <w:rFonts w:hint="eastAsia" w:ascii="宋体" w:hAnsi="宋体"/>
          <w:color w:val="auto"/>
          <w:sz w:val="24"/>
          <w:szCs w:val="24"/>
          <w:highlight w:val="none"/>
        </w:rPr>
        <w:t>① 履约担</w:t>
      </w:r>
      <w:r>
        <w:rPr>
          <w:rFonts w:hint="eastAsia" w:ascii="宋体" w:hAnsi="宋体"/>
          <w:color w:val="auto"/>
          <w:sz w:val="24"/>
          <w:szCs w:val="24"/>
          <w:highlight w:val="none"/>
        </w:rPr>
        <w:t>保：</w:t>
      </w:r>
      <w:r>
        <w:rPr>
          <w:rFonts w:hint="eastAsia" w:ascii="宋体" w:hAnsi="宋体"/>
          <w:color w:val="auto"/>
          <w:sz w:val="24"/>
          <w:szCs w:val="24"/>
          <w:highlight w:val="none"/>
          <w:u w:val="single"/>
        </w:rPr>
        <w:t>承包人向发包人提交担保金额为建安工程费中标价</w:t>
      </w:r>
      <w:r>
        <w:rPr>
          <w:rFonts w:ascii="宋体" w:hAnsi="宋体"/>
          <w:color w:val="auto"/>
          <w:sz w:val="24"/>
          <w:szCs w:val="24"/>
          <w:highlight w:val="none"/>
          <w:u w:val="single"/>
        </w:rPr>
        <w:t>10%</w:t>
      </w:r>
      <w:r>
        <w:rPr>
          <w:rFonts w:hint="eastAsia" w:ascii="宋体" w:hAnsi="宋体"/>
          <w:color w:val="auto"/>
          <w:sz w:val="24"/>
          <w:szCs w:val="24"/>
          <w:highlight w:val="none"/>
          <w:u w:val="single"/>
        </w:rPr>
        <w:t>的履约担保，</w:t>
      </w:r>
      <w:r>
        <w:rPr>
          <w:rFonts w:hint="eastAsia" w:ascii="宋体" w:hAnsi="宋体"/>
          <w:color w:val="auto"/>
          <w:sz w:val="24"/>
          <w:szCs w:val="24"/>
          <w:highlight w:val="none"/>
          <w:u w:val="single"/>
        </w:rPr>
        <w:t>以银行保函形式提交。履约担保为银行保函的，</w:t>
      </w:r>
      <w:r>
        <w:rPr>
          <w:rFonts w:hint="eastAsia" w:ascii="宋体" w:hAnsi="宋体"/>
          <w:strike w:val="0"/>
          <w:dstrike w:val="0"/>
          <w:color w:val="auto"/>
          <w:sz w:val="24"/>
          <w:szCs w:val="24"/>
          <w:highlight w:val="none"/>
          <w:u w:val="single"/>
        </w:rPr>
        <w:t>须广州市内分行以上的银</w:t>
      </w:r>
      <w:r>
        <w:rPr>
          <w:rFonts w:hint="eastAsia" w:ascii="宋体" w:hAnsi="宋体"/>
          <w:color w:val="auto"/>
          <w:sz w:val="24"/>
          <w:szCs w:val="24"/>
          <w:highlight w:val="none"/>
          <w:u w:val="single"/>
        </w:rPr>
        <w:t>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olor w:val="auto"/>
          <w:sz w:val="24"/>
          <w:szCs w:val="24"/>
          <w:highlight w:val="none"/>
        </w:rPr>
        <w:t>。</w:t>
      </w:r>
    </w:p>
    <w:p w14:paraId="69865434">
      <w:pPr>
        <w:snapToGrid w:val="0"/>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② 履约担保的返还方式：</w:t>
      </w:r>
      <w:r>
        <w:rPr>
          <w:rFonts w:ascii="宋体" w:hAnsi="宋体"/>
          <w:color w:val="auto"/>
          <w:sz w:val="24"/>
          <w:szCs w:val="24"/>
          <w:highlight w:val="none"/>
          <w:u w:val="single"/>
        </w:rPr>
        <w:t>履约担保为银行保函的，在工程验收合格</w:t>
      </w:r>
      <w:r>
        <w:rPr>
          <w:rFonts w:hint="eastAsia" w:ascii="宋体" w:hAnsi="宋体"/>
          <w:color w:val="auto"/>
          <w:sz w:val="24"/>
          <w:szCs w:val="24"/>
          <w:highlight w:val="none"/>
          <w:u w:val="single"/>
        </w:rPr>
        <w:t>后返还承包人</w:t>
      </w:r>
      <w:r>
        <w:rPr>
          <w:rFonts w:hint="eastAsia" w:ascii="宋体" w:hAnsi="宋体"/>
          <w:color w:val="auto"/>
          <w:sz w:val="24"/>
          <w:szCs w:val="24"/>
          <w:highlight w:val="none"/>
        </w:rPr>
        <w:t>。</w:t>
      </w:r>
    </w:p>
    <w:p w14:paraId="1CDD6CED">
      <w:pPr>
        <w:snapToGrid w:val="0"/>
        <w:spacing w:line="440" w:lineRule="exact"/>
        <w:ind w:firstLine="422" w:firstLineChars="176"/>
        <w:rPr>
          <w:rFonts w:hint="eastAsia" w:ascii="宋体" w:hAnsi="宋体" w:cs="Times New Roman"/>
          <w:color w:val="auto"/>
          <w:sz w:val="24"/>
          <w:szCs w:val="24"/>
          <w:highlight w:val="none"/>
          <w:u w:val="single"/>
        </w:rPr>
      </w:pPr>
      <w:r>
        <w:rPr>
          <w:rFonts w:hint="eastAsia" w:ascii="宋体" w:hAnsi="宋体" w:cs="Times New Roman"/>
          <w:color w:val="auto"/>
          <w:sz w:val="24"/>
          <w:szCs w:val="24"/>
          <w:highlight w:val="none"/>
          <w:u w:val="single"/>
        </w:rPr>
        <w:t>③ 预付款担保：承包人申请工程预付款的，须提交与预付款等额的预付款担保，由</w:t>
      </w:r>
      <w:r>
        <w:rPr>
          <w:rFonts w:hint="eastAsia" w:ascii="宋体" w:hAnsi="宋体" w:cs="Times New Roman"/>
          <w:strike w:val="0"/>
          <w:color w:val="auto"/>
          <w:sz w:val="24"/>
          <w:szCs w:val="24"/>
          <w:highlight w:val="none"/>
          <w:u w:val="single"/>
        </w:rPr>
        <w:t>广州市内分行以上的</w:t>
      </w:r>
      <w:r>
        <w:rPr>
          <w:rFonts w:hint="eastAsia" w:ascii="宋体" w:hAnsi="宋体" w:cs="Times New Roman"/>
          <w:color w:val="auto"/>
          <w:sz w:val="24"/>
          <w:szCs w:val="24"/>
          <w:highlight w:val="none"/>
          <w:u w:val="single"/>
        </w:rPr>
        <w:t>银行开具的无条件、不可撤销的预付款银行保函，担保期限至预付款全部扣回之日止。预付款担保的返还：预付款全部扣回后返还预付款保函给承包人。若预付款保函过期而预付款尚未从进度款中全部扣回，承包人应自觉及时办理保函延期手续，确保担保期不出现空缺，否则发包人不予支付工程款。</w:t>
      </w:r>
    </w:p>
    <w:p w14:paraId="58EAC611">
      <w:pPr>
        <w:snapToGrid w:val="0"/>
        <w:spacing w:line="440" w:lineRule="exact"/>
        <w:ind w:firstLine="422" w:firstLineChars="176"/>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银行保函的管理和格式按</w:t>
      </w:r>
      <w:r>
        <w:rPr>
          <w:rFonts w:hint="eastAsia" w:ascii="宋体" w:hAnsi="宋体" w:eastAsia="宋体" w:cs="宋体"/>
          <w:color w:val="auto"/>
          <w:sz w:val="24"/>
          <w:szCs w:val="24"/>
          <w:highlight w:val="none"/>
          <w:u w:val="single"/>
          <w:lang w:val="en-US" w:eastAsia="zh-CN"/>
        </w:rPr>
        <w:t>清远市相关规定</w:t>
      </w:r>
      <w:r>
        <w:rPr>
          <w:rFonts w:hint="eastAsia" w:ascii="宋体" w:hAnsi="宋体" w:eastAsia="宋体" w:cs="宋体"/>
          <w:color w:val="auto"/>
          <w:sz w:val="24"/>
          <w:szCs w:val="24"/>
          <w:highlight w:val="none"/>
          <w:u w:val="single"/>
        </w:rPr>
        <w:t>执行。</w:t>
      </w:r>
    </w:p>
    <w:p w14:paraId="2D42B6B1">
      <w:pPr>
        <w:snapToGrid w:val="0"/>
        <w:spacing w:line="440" w:lineRule="exact"/>
        <w:ind w:firstLine="422" w:firstLineChars="176"/>
        <w:rPr>
          <w:rFonts w:ascii="宋体" w:hAnsi="宋体"/>
          <w:color w:val="auto"/>
          <w:sz w:val="24"/>
          <w:szCs w:val="24"/>
          <w:highlight w:val="none"/>
        </w:rPr>
      </w:pPr>
      <w:r>
        <w:rPr>
          <w:rFonts w:hint="eastAsia" w:ascii="宋体" w:hAnsi="宋体"/>
          <w:color w:val="auto"/>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14:paraId="0F068E4D">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46、合同份数</w:t>
      </w:r>
    </w:p>
    <w:p w14:paraId="4A3F7A8B">
      <w:pPr>
        <w:snapToGrid w:val="0"/>
        <w:spacing w:line="440" w:lineRule="exact"/>
        <w:ind w:firstLine="422" w:firstLineChars="176"/>
        <w:rPr>
          <w:rFonts w:ascii="宋体" w:hAnsi="宋体" w:cs="宋体"/>
          <w:color w:val="auto"/>
          <w:sz w:val="24"/>
          <w:szCs w:val="24"/>
          <w:highlight w:val="none"/>
          <w:u w:val="single"/>
        </w:rPr>
      </w:pPr>
      <w:r>
        <w:rPr>
          <w:rFonts w:hint="eastAsia" w:ascii="宋体" w:hAnsi="宋体" w:cs="宋体"/>
          <w:color w:val="auto"/>
          <w:sz w:val="24"/>
          <w:szCs w:val="24"/>
          <w:highlight w:val="none"/>
        </w:rPr>
        <w:t>46.1双方约定合同正副本份数：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p>
    <w:p w14:paraId="70477084">
      <w:pPr>
        <w:snapToGrid w:val="0"/>
        <w:spacing w:line="440" w:lineRule="exact"/>
        <w:ind w:firstLine="424" w:firstLineChars="176"/>
        <w:rPr>
          <w:rFonts w:ascii="宋体" w:hAnsi="宋体" w:cs="宋体"/>
          <w:b/>
          <w:color w:val="auto"/>
          <w:sz w:val="24"/>
          <w:szCs w:val="24"/>
          <w:highlight w:val="none"/>
        </w:rPr>
      </w:pPr>
      <w:r>
        <w:rPr>
          <w:rFonts w:hint="eastAsia" w:ascii="宋体" w:hAnsi="宋体" w:cs="宋体"/>
          <w:b/>
          <w:color w:val="auto"/>
          <w:sz w:val="24"/>
          <w:szCs w:val="24"/>
          <w:highlight w:val="none"/>
        </w:rPr>
        <w:t>47、补充条款</w:t>
      </w:r>
    </w:p>
    <w:p w14:paraId="63DF51C7">
      <w:pPr>
        <w:spacing w:line="440" w:lineRule="exact"/>
        <w:ind w:firstLine="422" w:firstLineChars="176"/>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安全、文明、科学、规范的施工要求</w:t>
      </w:r>
      <w:r>
        <w:rPr>
          <w:rFonts w:hint="eastAsia" w:ascii="宋体" w:hAnsi="宋体" w:cs="宋体"/>
          <w:color w:val="auto"/>
          <w:sz w:val="24"/>
          <w:szCs w:val="24"/>
          <w:highlight w:val="none"/>
        </w:rPr>
        <w:t>）</w:t>
      </w:r>
    </w:p>
    <w:p w14:paraId="23C6D8AB">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47.1</w:t>
      </w:r>
      <w:r>
        <w:rPr>
          <w:rFonts w:hint="eastAsia" w:ascii="宋体" w:hAnsi="宋体"/>
          <w:color w:val="auto"/>
          <w:sz w:val="24"/>
          <w:szCs w:val="24"/>
          <w:highlight w:val="none"/>
          <w:u w:val="single"/>
        </w:rPr>
        <w:t>承包人在开工前，必须按照清远市、佛冈县及园区管委会有关要求办理好相应的施工手续方可开工</w:t>
      </w:r>
      <w:r>
        <w:rPr>
          <w:rFonts w:hint="eastAsia" w:ascii="宋体" w:hAnsi="宋体"/>
          <w:color w:val="auto"/>
          <w:sz w:val="24"/>
          <w:szCs w:val="24"/>
          <w:highlight w:val="none"/>
        </w:rPr>
        <w:t>。</w:t>
      </w:r>
    </w:p>
    <w:p w14:paraId="481BED0E">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47.2</w:t>
      </w:r>
      <w:r>
        <w:rPr>
          <w:rFonts w:hint="eastAsia" w:ascii="宋体" w:hAnsi="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olor w:val="auto"/>
          <w:sz w:val="24"/>
          <w:szCs w:val="24"/>
          <w:highlight w:val="none"/>
        </w:rPr>
        <w:t>。</w:t>
      </w:r>
    </w:p>
    <w:p w14:paraId="036928C3">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47.3</w:t>
      </w:r>
      <w:r>
        <w:rPr>
          <w:rFonts w:hint="eastAsia" w:ascii="宋体" w:hAnsi="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olor w:val="auto"/>
          <w:sz w:val="24"/>
          <w:szCs w:val="24"/>
          <w:highlight w:val="none"/>
        </w:rPr>
        <w:t>。</w:t>
      </w:r>
    </w:p>
    <w:p w14:paraId="250ECCD1">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47.4</w:t>
      </w:r>
      <w:r>
        <w:rPr>
          <w:rFonts w:hint="eastAsia" w:ascii="宋体" w:hAnsi="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olor w:val="auto"/>
          <w:sz w:val="24"/>
          <w:szCs w:val="24"/>
          <w:highlight w:val="none"/>
        </w:rPr>
        <w:t>。</w:t>
      </w:r>
    </w:p>
    <w:p w14:paraId="666E1E1A">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47.5</w:t>
      </w:r>
      <w:r>
        <w:rPr>
          <w:rFonts w:hint="eastAsia" w:ascii="宋体" w:hAnsi="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olor w:val="auto"/>
          <w:sz w:val="24"/>
          <w:szCs w:val="24"/>
          <w:highlight w:val="none"/>
        </w:rPr>
        <w:t>。</w:t>
      </w:r>
    </w:p>
    <w:p w14:paraId="47EC79DE">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47.6</w:t>
      </w:r>
      <w:r>
        <w:rPr>
          <w:rFonts w:hint="eastAsia" w:ascii="宋体" w:hAnsi="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olor w:val="auto"/>
          <w:sz w:val="24"/>
          <w:szCs w:val="24"/>
          <w:highlight w:val="none"/>
        </w:rPr>
        <w:t>。</w:t>
      </w:r>
    </w:p>
    <w:p w14:paraId="4C9BD7E8">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47.7</w:t>
      </w:r>
      <w:r>
        <w:rPr>
          <w:rFonts w:hint="eastAsia" w:ascii="宋体" w:hAnsi="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olor w:val="auto"/>
          <w:sz w:val="24"/>
          <w:szCs w:val="24"/>
          <w:highlight w:val="none"/>
        </w:rPr>
        <w:t>。</w:t>
      </w:r>
    </w:p>
    <w:p w14:paraId="20796BA9">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47.8</w:t>
      </w:r>
      <w:r>
        <w:rPr>
          <w:rFonts w:hint="eastAsia" w:ascii="宋体" w:hAnsi="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olor w:val="auto"/>
          <w:sz w:val="24"/>
          <w:szCs w:val="24"/>
          <w:highlight w:val="none"/>
        </w:rPr>
        <w:t>。</w:t>
      </w:r>
    </w:p>
    <w:p w14:paraId="1C845881">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47.9</w:t>
      </w:r>
      <w:r>
        <w:rPr>
          <w:rFonts w:hint="eastAsia" w:ascii="宋体" w:hAnsi="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olor w:val="auto"/>
          <w:sz w:val="24"/>
          <w:szCs w:val="24"/>
          <w:highlight w:val="none"/>
        </w:rPr>
        <w:t>。</w:t>
      </w:r>
    </w:p>
    <w:p w14:paraId="4DBAA16F">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47.10</w:t>
      </w:r>
      <w:r>
        <w:rPr>
          <w:rFonts w:hint="eastAsia" w:ascii="宋体" w:hAnsi="宋体"/>
          <w:color w:val="auto"/>
          <w:sz w:val="24"/>
          <w:szCs w:val="24"/>
          <w:highlight w:val="none"/>
          <w:u w:val="single"/>
        </w:rPr>
        <w:t>双方根据国家有关规定，结合具体工程约定质量缺陷责任期如下</w:t>
      </w:r>
      <w:r>
        <w:rPr>
          <w:rFonts w:hint="eastAsia" w:ascii="宋体" w:hAnsi="宋体"/>
          <w:color w:val="auto"/>
          <w:sz w:val="24"/>
          <w:szCs w:val="24"/>
          <w:highlight w:val="none"/>
        </w:rPr>
        <w:t>：</w:t>
      </w:r>
    </w:p>
    <w:p w14:paraId="580B942D">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1、</w:t>
      </w:r>
      <w:r>
        <w:rPr>
          <w:rFonts w:hint="eastAsia" w:ascii="宋体" w:hAnsi="宋体"/>
          <w:color w:val="auto"/>
          <w:sz w:val="24"/>
          <w:szCs w:val="24"/>
          <w:highlight w:val="none"/>
          <w:u w:val="single"/>
        </w:rPr>
        <w:t>基础设施工程、房屋建筑的地基基础工程和主体结构工程为</w:t>
      </w:r>
      <w:r>
        <w:rPr>
          <w:rFonts w:ascii="宋体" w:hAnsi="宋体"/>
          <w:color w:val="auto"/>
          <w:sz w:val="24"/>
          <w:szCs w:val="24"/>
          <w:highlight w:val="none"/>
          <w:u w:val="single"/>
        </w:rPr>
        <w:t>2年</w:t>
      </w:r>
      <w:r>
        <w:rPr>
          <w:rFonts w:hint="eastAsia" w:ascii="宋体" w:hAnsi="宋体"/>
          <w:color w:val="auto"/>
          <w:sz w:val="24"/>
          <w:szCs w:val="24"/>
          <w:highlight w:val="none"/>
        </w:rPr>
        <w:t>；</w:t>
      </w:r>
    </w:p>
    <w:p w14:paraId="2113714A">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u w:val="single"/>
        </w:rPr>
        <w:t>屋面防水工程为</w:t>
      </w:r>
      <w:r>
        <w:rPr>
          <w:rFonts w:ascii="宋体" w:hAnsi="宋体"/>
          <w:color w:val="auto"/>
          <w:sz w:val="24"/>
          <w:szCs w:val="24"/>
          <w:highlight w:val="none"/>
          <w:u w:val="single"/>
        </w:rPr>
        <w:t xml:space="preserve"> 2 </w:t>
      </w:r>
      <w:r>
        <w:rPr>
          <w:rFonts w:hint="eastAsia" w:ascii="宋体" w:hAnsi="宋体"/>
          <w:color w:val="auto"/>
          <w:sz w:val="24"/>
          <w:szCs w:val="24"/>
          <w:highlight w:val="none"/>
          <w:u w:val="single"/>
        </w:rPr>
        <w:t>年，室外装饰工程为</w:t>
      </w:r>
      <w:r>
        <w:rPr>
          <w:rFonts w:ascii="宋体" w:hAnsi="宋体"/>
          <w:color w:val="auto"/>
          <w:sz w:val="24"/>
          <w:szCs w:val="24"/>
          <w:highlight w:val="none"/>
          <w:u w:val="single"/>
        </w:rPr>
        <w:t xml:space="preserve"> 2</w:t>
      </w:r>
      <w:r>
        <w:rPr>
          <w:rFonts w:hint="eastAsia" w:ascii="宋体" w:hAnsi="宋体"/>
          <w:color w:val="auto"/>
          <w:sz w:val="24"/>
          <w:szCs w:val="24"/>
          <w:highlight w:val="none"/>
          <w:u w:val="single"/>
        </w:rPr>
        <w:t xml:space="preserve"> 年</w:t>
      </w:r>
      <w:r>
        <w:rPr>
          <w:rFonts w:hint="eastAsia" w:ascii="宋体" w:hAnsi="宋体"/>
          <w:color w:val="auto"/>
          <w:sz w:val="24"/>
          <w:szCs w:val="24"/>
          <w:highlight w:val="none"/>
        </w:rPr>
        <w:t>；</w:t>
      </w:r>
    </w:p>
    <w:p w14:paraId="7E386950">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3、</w:t>
      </w:r>
      <w:r>
        <w:rPr>
          <w:rFonts w:hint="eastAsia" w:ascii="宋体" w:hAnsi="宋体"/>
          <w:color w:val="auto"/>
          <w:sz w:val="24"/>
          <w:szCs w:val="24"/>
          <w:highlight w:val="none"/>
          <w:u w:val="single"/>
        </w:rPr>
        <w:t>电力管线、上下水管线安装工程为</w:t>
      </w:r>
      <w:r>
        <w:rPr>
          <w:rFonts w:ascii="宋体" w:hAnsi="宋体"/>
          <w:color w:val="auto"/>
          <w:sz w:val="24"/>
          <w:szCs w:val="24"/>
          <w:highlight w:val="none"/>
          <w:u w:val="single"/>
        </w:rPr>
        <w:t xml:space="preserve"> 2 </w:t>
      </w:r>
      <w:r>
        <w:rPr>
          <w:rFonts w:hint="eastAsia" w:ascii="宋体" w:hAnsi="宋体"/>
          <w:color w:val="auto"/>
          <w:sz w:val="24"/>
          <w:szCs w:val="24"/>
          <w:highlight w:val="none"/>
          <w:u w:val="single"/>
        </w:rPr>
        <w:t>年</w:t>
      </w:r>
      <w:r>
        <w:rPr>
          <w:rFonts w:hint="eastAsia" w:ascii="宋体" w:hAnsi="宋体"/>
          <w:color w:val="auto"/>
          <w:sz w:val="24"/>
          <w:szCs w:val="24"/>
          <w:highlight w:val="none"/>
        </w:rPr>
        <w:t>；</w:t>
      </w:r>
    </w:p>
    <w:p w14:paraId="7C57AF93">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w:t>
      </w:r>
      <w:r>
        <w:rPr>
          <w:rFonts w:hint="eastAsia" w:ascii="宋体" w:hAnsi="宋体"/>
          <w:color w:val="auto"/>
          <w:sz w:val="24"/>
          <w:szCs w:val="24"/>
          <w:highlight w:val="none"/>
          <w:u w:val="single"/>
        </w:rPr>
        <w:t>供热及供冷为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个采暖期及供冷期</w:t>
      </w:r>
      <w:r>
        <w:rPr>
          <w:rFonts w:hint="eastAsia" w:ascii="宋体" w:hAnsi="宋体"/>
          <w:color w:val="auto"/>
          <w:sz w:val="24"/>
          <w:szCs w:val="24"/>
          <w:highlight w:val="none"/>
        </w:rPr>
        <w:t>；</w:t>
      </w:r>
    </w:p>
    <w:p w14:paraId="687056EC">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5、</w:t>
      </w:r>
      <w:r>
        <w:rPr>
          <w:rFonts w:hint="eastAsia" w:ascii="宋体" w:hAnsi="宋体"/>
          <w:color w:val="auto"/>
          <w:sz w:val="24"/>
          <w:szCs w:val="24"/>
          <w:highlight w:val="none"/>
          <w:u w:val="single"/>
        </w:rPr>
        <w:t>室外的上下水和小区道路等市政公用工程为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年</w:t>
      </w:r>
      <w:r>
        <w:rPr>
          <w:rFonts w:hint="eastAsia" w:ascii="宋体" w:hAnsi="宋体"/>
          <w:color w:val="auto"/>
          <w:sz w:val="24"/>
          <w:szCs w:val="24"/>
          <w:highlight w:val="none"/>
        </w:rPr>
        <w:t>；</w:t>
      </w:r>
    </w:p>
    <w:p w14:paraId="1A1B4854">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6、</w:t>
      </w:r>
      <w:r>
        <w:rPr>
          <w:rFonts w:hint="eastAsia" w:ascii="宋体" w:hAnsi="宋体"/>
          <w:color w:val="auto"/>
          <w:sz w:val="24"/>
          <w:szCs w:val="24"/>
          <w:highlight w:val="none"/>
          <w:u w:val="single"/>
        </w:rPr>
        <w:t>市政道路排水工程为</w:t>
      </w:r>
      <w:r>
        <w:rPr>
          <w:rFonts w:ascii="宋体" w:hAnsi="宋体"/>
          <w:color w:val="auto"/>
          <w:sz w:val="24"/>
          <w:szCs w:val="24"/>
          <w:highlight w:val="none"/>
          <w:u w:val="single"/>
        </w:rPr>
        <w:t xml:space="preserve"> 2 年，市政供水工程为 2 年</w:t>
      </w:r>
      <w:r>
        <w:rPr>
          <w:rFonts w:hint="eastAsia" w:ascii="宋体" w:hAnsi="宋体"/>
          <w:color w:val="auto"/>
          <w:sz w:val="24"/>
          <w:szCs w:val="24"/>
          <w:highlight w:val="none"/>
        </w:rPr>
        <w:t>；</w:t>
      </w:r>
    </w:p>
    <w:p w14:paraId="30145372">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7、</w:t>
      </w:r>
      <w:r>
        <w:rPr>
          <w:rFonts w:hint="eastAsia" w:ascii="宋体" w:hAnsi="宋体"/>
          <w:color w:val="auto"/>
          <w:sz w:val="24"/>
          <w:szCs w:val="24"/>
          <w:highlight w:val="none"/>
          <w:u w:val="single"/>
        </w:rPr>
        <w:t>市政供电工程为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年，市政道路照明工程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年，市政交通设施工程为 </w:t>
      </w:r>
      <w:r>
        <w:rPr>
          <w:rFonts w:hint="eastAsia" w:ascii="宋体" w:hAnsi="宋体"/>
          <w:color w:val="auto"/>
          <w:sz w:val="24"/>
          <w:szCs w:val="24"/>
          <w:highlight w:val="none"/>
          <w:u w:val="single"/>
        </w:rPr>
        <w:t>2</w:t>
      </w:r>
      <w:r>
        <w:rPr>
          <w:rFonts w:ascii="宋体" w:hAnsi="宋体"/>
          <w:color w:val="auto"/>
          <w:sz w:val="24"/>
          <w:szCs w:val="24"/>
          <w:highlight w:val="none"/>
          <w:u w:val="single"/>
        </w:rPr>
        <w:t xml:space="preserve"> 年</w:t>
      </w:r>
      <w:r>
        <w:rPr>
          <w:rFonts w:hint="eastAsia" w:ascii="宋体" w:hAnsi="宋体"/>
          <w:color w:val="auto"/>
          <w:sz w:val="24"/>
          <w:szCs w:val="24"/>
          <w:highlight w:val="none"/>
        </w:rPr>
        <w:t>。</w:t>
      </w:r>
    </w:p>
    <w:p w14:paraId="3A87FE52">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8、</w:t>
      </w:r>
      <w:r>
        <w:rPr>
          <w:rFonts w:hint="eastAsia" w:ascii="宋体" w:hAnsi="宋体"/>
          <w:color w:val="auto"/>
          <w:sz w:val="24"/>
          <w:szCs w:val="24"/>
          <w:highlight w:val="none"/>
          <w:u w:val="single"/>
        </w:rPr>
        <w:t>园林建筑工程为</w:t>
      </w:r>
      <w:r>
        <w:rPr>
          <w:rFonts w:ascii="宋体" w:hAnsi="宋体"/>
          <w:color w:val="auto"/>
          <w:sz w:val="24"/>
          <w:szCs w:val="24"/>
          <w:highlight w:val="none"/>
          <w:u w:val="single"/>
        </w:rPr>
        <w:t>1年，喷淋工程为2年，胸径15cm</w:t>
      </w:r>
      <w:r>
        <w:rPr>
          <w:rFonts w:hint="eastAsia" w:ascii="宋体" w:hAnsi="宋体"/>
          <w:color w:val="auto"/>
          <w:sz w:val="24"/>
          <w:szCs w:val="24"/>
          <w:highlight w:val="none"/>
          <w:u w:val="single"/>
        </w:rPr>
        <w:t>以内（含</w:t>
      </w:r>
      <w:r>
        <w:rPr>
          <w:rFonts w:ascii="宋体" w:hAnsi="宋体"/>
          <w:color w:val="auto"/>
          <w:sz w:val="24"/>
          <w:szCs w:val="24"/>
          <w:highlight w:val="none"/>
          <w:u w:val="single"/>
        </w:rPr>
        <w:t>15cm</w:t>
      </w:r>
      <w:r>
        <w:rPr>
          <w:rFonts w:hint="eastAsia" w:ascii="宋体" w:hAnsi="宋体"/>
          <w:color w:val="auto"/>
          <w:sz w:val="24"/>
          <w:szCs w:val="24"/>
          <w:highlight w:val="none"/>
          <w:u w:val="single"/>
        </w:rPr>
        <w:t>）的苗木养护期为</w:t>
      </w:r>
      <w:r>
        <w:rPr>
          <w:rFonts w:ascii="宋体" w:hAnsi="宋体"/>
          <w:color w:val="auto"/>
          <w:sz w:val="24"/>
          <w:szCs w:val="24"/>
          <w:highlight w:val="none"/>
          <w:u w:val="single"/>
        </w:rPr>
        <w:t>3个月，胸径15cm</w:t>
      </w:r>
      <w:r>
        <w:rPr>
          <w:rFonts w:hint="eastAsia" w:ascii="宋体" w:hAnsi="宋体"/>
          <w:color w:val="auto"/>
          <w:sz w:val="24"/>
          <w:szCs w:val="24"/>
          <w:highlight w:val="none"/>
          <w:u w:val="single"/>
        </w:rPr>
        <w:t>以上的苗木养护期为</w:t>
      </w:r>
      <w:r>
        <w:rPr>
          <w:rFonts w:ascii="宋体" w:hAnsi="宋体"/>
          <w:color w:val="auto"/>
          <w:sz w:val="24"/>
          <w:szCs w:val="24"/>
          <w:highlight w:val="none"/>
          <w:u w:val="single"/>
        </w:rPr>
        <w:t>1年</w:t>
      </w:r>
      <w:r>
        <w:rPr>
          <w:rFonts w:hint="eastAsia" w:ascii="宋体" w:hAnsi="宋体"/>
          <w:color w:val="auto"/>
          <w:sz w:val="24"/>
          <w:szCs w:val="24"/>
          <w:highlight w:val="none"/>
        </w:rPr>
        <w:t>。</w:t>
      </w:r>
    </w:p>
    <w:p w14:paraId="6C2EB451">
      <w:pPr>
        <w:spacing w:line="440" w:lineRule="exact"/>
        <w:ind w:firstLine="422" w:firstLineChars="176"/>
        <w:rPr>
          <w:rFonts w:hint="eastAsia" w:ascii="宋体" w:hAnsi="宋体"/>
          <w:color w:val="auto"/>
          <w:sz w:val="24"/>
          <w:szCs w:val="24"/>
          <w:highlight w:val="none"/>
          <w:u w:val="single"/>
        </w:rPr>
      </w:pPr>
      <w:r>
        <w:rPr>
          <w:rFonts w:ascii="宋体" w:hAnsi="宋体"/>
          <w:color w:val="auto"/>
          <w:sz w:val="24"/>
          <w:szCs w:val="24"/>
          <w:highlight w:val="none"/>
        </w:rPr>
        <w:t>9、</w:t>
      </w:r>
      <w:r>
        <w:rPr>
          <w:rFonts w:hint="eastAsia" w:ascii="宋体" w:hAnsi="宋体"/>
          <w:color w:val="auto"/>
          <w:sz w:val="24"/>
          <w:szCs w:val="24"/>
          <w:highlight w:val="none"/>
          <w:u w:val="single"/>
        </w:rPr>
        <w:t>本工程质量缺陷责任期从园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14:paraId="21A9EA92">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47.1</w:t>
      </w:r>
      <w:r>
        <w:rPr>
          <w:rFonts w:hint="eastAsia" w:ascii="宋体" w:hAnsi="宋体"/>
          <w:color w:val="auto"/>
          <w:sz w:val="24"/>
          <w:szCs w:val="24"/>
          <w:highlight w:val="none"/>
        </w:rPr>
        <w:t>1</w:t>
      </w:r>
      <w:r>
        <w:rPr>
          <w:rFonts w:hint="eastAsia" w:ascii="宋体" w:hAnsi="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olor w:val="auto"/>
          <w:sz w:val="24"/>
          <w:szCs w:val="24"/>
          <w:highlight w:val="none"/>
        </w:rPr>
        <w:t>。</w:t>
      </w:r>
    </w:p>
    <w:p w14:paraId="1687B143">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47.12施工现场生活区应设置信息公示栏，每月10日前将上月作业工人考勤和工资结算和支付信息在信息公示栏进行公示，公示期不少于5天。</w:t>
      </w:r>
    </w:p>
    <w:p w14:paraId="0134A6FF">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w:t>
      </w:r>
      <w:r>
        <w:rPr>
          <w:rFonts w:hint="eastAsia" w:ascii="宋体" w:hAnsi="宋体"/>
          <w:b/>
          <w:color w:val="auto"/>
          <w:sz w:val="24"/>
          <w:szCs w:val="24"/>
          <w:highlight w:val="none"/>
        </w:rPr>
        <w:t>农民工佣工要求</w:t>
      </w:r>
      <w:r>
        <w:rPr>
          <w:rFonts w:hint="eastAsia" w:ascii="宋体" w:hAnsi="宋体"/>
          <w:color w:val="auto"/>
          <w:sz w:val="24"/>
          <w:szCs w:val="24"/>
          <w:highlight w:val="none"/>
        </w:rPr>
        <w:t>）</w:t>
      </w:r>
    </w:p>
    <w:p w14:paraId="197506EF">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47.1</w:t>
      </w:r>
      <w:r>
        <w:rPr>
          <w:rFonts w:hint="eastAsia" w:ascii="宋体" w:hAnsi="宋体"/>
          <w:color w:val="auto"/>
          <w:sz w:val="24"/>
          <w:szCs w:val="24"/>
          <w:highlight w:val="none"/>
        </w:rPr>
        <w:t>3</w:t>
      </w:r>
      <w:r>
        <w:rPr>
          <w:rFonts w:hint="eastAsia" w:ascii="宋体" w:hAnsi="宋体"/>
          <w:color w:val="auto"/>
          <w:sz w:val="24"/>
          <w:szCs w:val="24"/>
          <w:highlight w:val="none"/>
          <w:u w:val="single"/>
        </w:rPr>
        <w:t>承包人必须严格执行穗开纪</w:t>
      </w:r>
      <w:r>
        <w:rPr>
          <w:rFonts w:ascii="宋体" w:hAnsi="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olor w:val="auto"/>
          <w:sz w:val="24"/>
          <w:szCs w:val="24"/>
          <w:highlight w:val="none"/>
        </w:rPr>
        <w:t>。</w:t>
      </w:r>
    </w:p>
    <w:p w14:paraId="27A2F423">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u w:val="single"/>
        </w:rPr>
        <w:t>承包人应按照《清远市建筑从业人员实名制管理办法》、《清远市建设领域工人工资支付管理暂行办法》</w:t>
      </w:r>
      <w:r>
        <w:rPr>
          <w:rFonts w:hint="eastAsia" w:ascii="宋体" w:hAnsi="宋体"/>
          <w:color w:val="auto"/>
          <w:sz w:val="24"/>
          <w:szCs w:val="24"/>
          <w:highlight w:val="none"/>
          <w:u w:val="single"/>
          <w:lang w:val="en-US" w:eastAsia="zh-CN"/>
        </w:rPr>
        <w:t>的</w:t>
      </w:r>
      <w:r>
        <w:rPr>
          <w:rFonts w:hint="eastAsia" w:ascii="宋体" w:hAnsi="宋体"/>
          <w:color w:val="auto"/>
          <w:sz w:val="24"/>
          <w:szCs w:val="24"/>
          <w:highlight w:val="none"/>
          <w:u w:val="single"/>
        </w:rPr>
        <w:t>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发包人损失（包括但不限于发包人因此而支付的赔偿款、律师费、诉讼费、保全费、公证费、鉴定费等）的，承包人须承担全部责任。</w:t>
      </w:r>
    </w:p>
    <w:p w14:paraId="4F581CA6">
      <w:pPr>
        <w:spacing w:line="440" w:lineRule="exact"/>
        <w:ind w:firstLine="422" w:firstLineChars="176"/>
        <w:rPr>
          <w:rFonts w:ascii="宋体" w:hAnsi="宋体"/>
          <w:b/>
          <w:color w:val="auto"/>
          <w:sz w:val="24"/>
          <w:szCs w:val="24"/>
          <w:highlight w:val="none"/>
        </w:rPr>
      </w:pPr>
      <w:r>
        <w:rPr>
          <w:rFonts w:ascii="宋体" w:hAnsi="宋体"/>
          <w:color w:val="auto"/>
          <w:sz w:val="24"/>
          <w:szCs w:val="24"/>
          <w:highlight w:val="none"/>
        </w:rPr>
        <w:t>47.1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u w:val="single"/>
        </w:rPr>
        <w:t>若承包人在本工程内发生无故拖欠农民工工资现象，将被作不良记录，上报</w:t>
      </w:r>
      <w:r>
        <w:rPr>
          <w:rFonts w:hint="eastAsia" w:ascii="宋体" w:hAnsi="宋体"/>
          <w:color w:val="auto"/>
          <w:sz w:val="24"/>
          <w:szCs w:val="24"/>
          <w:highlight w:val="none"/>
          <w:u w:val="single"/>
          <w:lang w:val="en-US" w:eastAsia="zh-CN"/>
        </w:rPr>
        <w:t>清远市佛冈县</w:t>
      </w:r>
      <w:r>
        <w:rPr>
          <w:rFonts w:hint="eastAsia" w:ascii="宋体" w:hAnsi="宋体"/>
          <w:color w:val="auto"/>
          <w:sz w:val="24"/>
          <w:szCs w:val="24"/>
          <w:highlight w:val="none"/>
          <w:u w:val="single"/>
        </w:rPr>
        <w:t>建设行政主管部门</w:t>
      </w:r>
      <w:r>
        <w:rPr>
          <w:rFonts w:hint="eastAsia" w:ascii="宋体" w:hAnsi="宋体"/>
          <w:color w:val="auto"/>
          <w:sz w:val="24"/>
          <w:szCs w:val="24"/>
          <w:highlight w:val="none"/>
        </w:rPr>
        <w:t>。</w:t>
      </w:r>
      <w:r>
        <w:rPr>
          <w:rFonts w:hint="eastAsia" w:ascii="宋体" w:hAnsi="宋体"/>
          <w:color w:val="auto"/>
          <w:sz w:val="24"/>
          <w:szCs w:val="24"/>
          <w:highlight w:val="none"/>
          <w:u w:val="single"/>
        </w:rPr>
        <w:t>若承包人转包或者违法分包造成拖欠工人工资的，除上报</w:t>
      </w:r>
      <w:r>
        <w:rPr>
          <w:rFonts w:hint="eastAsia" w:ascii="宋体" w:hAnsi="宋体"/>
          <w:color w:val="auto"/>
          <w:sz w:val="24"/>
          <w:szCs w:val="24"/>
          <w:highlight w:val="none"/>
          <w:u w:val="single"/>
          <w:lang w:val="en-US" w:eastAsia="zh-CN"/>
        </w:rPr>
        <w:t>清远市佛冈县</w:t>
      </w:r>
      <w:r>
        <w:rPr>
          <w:rFonts w:hint="eastAsia" w:ascii="宋体" w:hAnsi="宋体"/>
          <w:color w:val="auto"/>
          <w:sz w:val="24"/>
          <w:szCs w:val="24"/>
          <w:highlight w:val="none"/>
          <w:u w:val="single"/>
        </w:rPr>
        <w:t>建设行政主管部门外，还将提请省建设行业主管部门禁止在广东省行政区域范围内承包工程。</w:t>
      </w:r>
    </w:p>
    <w:p w14:paraId="2EB2217C">
      <w:pPr>
        <w:snapToGrid w:val="0"/>
        <w:spacing w:line="440" w:lineRule="exact"/>
        <w:ind w:firstLine="422" w:firstLineChars="176"/>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
          <w:color w:val="auto"/>
          <w:sz w:val="24"/>
          <w:szCs w:val="24"/>
          <w:highlight w:val="none"/>
        </w:rPr>
        <w:t>项目管理机构人员、机械设备、劳动力到位方面的要求</w:t>
      </w:r>
      <w:r>
        <w:rPr>
          <w:rFonts w:hint="eastAsia" w:ascii="宋体" w:hAnsi="宋体"/>
          <w:color w:val="auto"/>
          <w:sz w:val="24"/>
          <w:szCs w:val="24"/>
          <w:highlight w:val="none"/>
        </w:rPr>
        <w:t>）</w:t>
      </w:r>
    </w:p>
    <w:p w14:paraId="4790E25D">
      <w:pPr>
        <w:snapToGrid w:val="0"/>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u w:val="single"/>
        </w:rPr>
        <w:t>合同签订后，</w:t>
      </w:r>
      <w:r>
        <w:rPr>
          <w:rFonts w:hint="eastAsia" w:ascii="宋体" w:hAnsi="宋体"/>
          <w:color w:val="auto"/>
          <w:sz w:val="24"/>
          <w:szCs w:val="24"/>
          <w:highlight w:val="none"/>
          <w:u w:val="single"/>
          <w:lang w:val="en-US" w:eastAsia="zh-CN"/>
        </w:rPr>
        <w:t>项目</w:t>
      </w:r>
      <w:r>
        <w:rPr>
          <w:rFonts w:hint="eastAsia" w:ascii="宋体" w:hAnsi="宋体"/>
          <w:color w:val="auto"/>
          <w:sz w:val="24"/>
          <w:szCs w:val="24"/>
          <w:highlight w:val="none"/>
          <w:u w:val="single"/>
        </w:rPr>
        <w:t>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olor w:val="auto"/>
          <w:sz w:val="24"/>
          <w:szCs w:val="24"/>
          <w:highlight w:val="none"/>
        </w:rPr>
        <w:t>。</w:t>
      </w:r>
    </w:p>
    <w:p w14:paraId="6C69B6CE">
      <w:pPr>
        <w:snapToGrid w:val="0"/>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olor w:val="auto"/>
          <w:sz w:val="24"/>
          <w:szCs w:val="24"/>
          <w:highlight w:val="none"/>
        </w:rPr>
        <w:t>。</w:t>
      </w:r>
    </w:p>
    <w:p w14:paraId="5784E99A">
      <w:pPr>
        <w:snapToGrid w:val="0"/>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olor w:val="auto"/>
          <w:sz w:val="24"/>
          <w:szCs w:val="24"/>
          <w:highlight w:val="none"/>
        </w:rPr>
        <w:t>。</w:t>
      </w:r>
    </w:p>
    <w:p w14:paraId="512D63EE">
      <w:pPr>
        <w:snapToGrid w:val="0"/>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olor w:val="auto"/>
          <w:sz w:val="24"/>
          <w:szCs w:val="24"/>
          <w:highlight w:val="none"/>
        </w:rPr>
        <w:t>。</w:t>
      </w:r>
    </w:p>
    <w:p w14:paraId="385C1709">
      <w:pPr>
        <w:snapToGrid w:val="0"/>
        <w:spacing w:line="440" w:lineRule="exact"/>
        <w:ind w:firstLine="422" w:firstLineChars="176"/>
        <w:rPr>
          <w:rFonts w:hint="eastAsia" w:ascii="宋体" w:hAnsi="宋体"/>
          <w:strike/>
          <w:color w:val="auto"/>
          <w:sz w:val="24"/>
          <w:szCs w:val="24"/>
          <w:highlight w:val="none"/>
          <w:u w:val="single"/>
        </w:rPr>
      </w:pPr>
      <w:r>
        <w:rPr>
          <w:rFonts w:hint="eastAsia" w:ascii="宋体" w:hAnsi="宋体"/>
          <w:color w:val="auto"/>
          <w:sz w:val="24"/>
          <w:szCs w:val="24"/>
          <w:highlight w:val="none"/>
        </w:rPr>
        <w:t>（</w:t>
      </w:r>
      <w:r>
        <w:rPr>
          <w:rFonts w:hint="eastAsia" w:ascii="宋体" w:hAnsi="宋体"/>
          <w:b/>
          <w:color w:val="auto"/>
          <w:sz w:val="24"/>
          <w:szCs w:val="24"/>
          <w:highlight w:val="none"/>
        </w:rPr>
        <w:t>投标报价及造价承包和变更结算方式的要求</w:t>
      </w:r>
      <w:r>
        <w:rPr>
          <w:rFonts w:hint="eastAsia" w:ascii="宋体" w:hAnsi="宋体"/>
          <w:color w:val="auto"/>
          <w:sz w:val="24"/>
          <w:szCs w:val="24"/>
          <w:highlight w:val="none"/>
        </w:rPr>
        <w:t>）</w:t>
      </w:r>
    </w:p>
    <w:p w14:paraId="7007D8B9">
      <w:pPr>
        <w:spacing w:line="440" w:lineRule="exact"/>
        <w:ind w:firstLine="422" w:firstLineChars="176"/>
        <w:rPr>
          <w:rFonts w:hint="eastAsia" w:ascii="宋体" w:hAnsi="宋体"/>
          <w:color w:val="auto"/>
          <w:sz w:val="24"/>
          <w:szCs w:val="24"/>
          <w:highlight w:val="none"/>
        </w:rPr>
      </w:pPr>
      <w:r>
        <w:rPr>
          <w:rFonts w:ascii="宋体" w:hAnsi="宋体"/>
          <w:color w:val="auto"/>
          <w:sz w:val="24"/>
          <w:szCs w:val="24"/>
          <w:highlight w:val="none"/>
        </w:rPr>
        <w:t>47.2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olor w:val="auto"/>
          <w:sz w:val="24"/>
          <w:szCs w:val="24"/>
          <w:highlight w:val="none"/>
        </w:rPr>
        <w:t>。</w:t>
      </w:r>
    </w:p>
    <w:p w14:paraId="213A2766">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47.2</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14:paraId="7DE0C4B2">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47.2</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14:paraId="785ECC1C">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47.2</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承包人应使用绿色生产达标企业生产的混凝土，若不遵守承诺，自愿按不履行合同约定处理。</w:t>
      </w:r>
    </w:p>
    <w:p w14:paraId="2AAFACC8">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承包人人应按有关规定协助发包人完成公共排水设施竣工图纸备案工作。</w:t>
      </w:r>
    </w:p>
    <w:p w14:paraId="554ED058">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47.2</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olor w:val="auto"/>
          <w:sz w:val="24"/>
          <w:szCs w:val="24"/>
          <w:highlight w:val="none"/>
        </w:rPr>
        <w:t>。</w:t>
      </w:r>
    </w:p>
    <w:p w14:paraId="4BD219FF">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u w:val="single"/>
        </w:rPr>
        <w:t>本工程所有材料品牌选择均须报发包人、监理工程师确认，且经检验合格后方能使用。</w:t>
      </w:r>
    </w:p>
    <w:p w14:paraId="6A9F23DD">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olor w:val="auto"/>
          <w:sz w:val="24"/>
          <w:szCs w:val="24"/>
          <w:highlight w:val="none"/>
        </w:rPr>
        <w:t>。</w:t>
      </w:r>
    </w:p>
    <w:p w14:paraId="35ADEEC6">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28</w:t>
      </w:r>
      <w:r>
        <w:rPr>
          <w:rFonts w:hint="eastAsia" w:ascii="宋体" w:hAnsi="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olor w:val="auto"/>
          <w:sz w:val="24"/>
          <w:szCs w:val="24"/>
          <w:highlight w:val="none"/>
        </w:rPr>
        <w:t>。</w:t>
      </w:r>
    </w:p>
    <w:p w14:paraId="00F66182">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29</w:t>
      </w:r>
      <w:r>
        <w:rPr>
          <w:rFonts w:hint="eastAsia" w:ascii="宋体" w:hAnsi="宋体"/>
          <w:color w:val="auto"/>
          <w:sz w:val="24"/>
          <w:szCs w:val="24"/>
          <w:highlight w:val="none"/>
          <w:u w:val="single"/>
        </w:rPr>
        <w:t>承包人须按照发包人与监理人签订的委托监理合同接受监理人的全过程监理</w:t>
      </w:r>
      <w:r>
        <w:rPr>
          <w:rFonts w:hint="eastAsia" w:ascii="宋体" w:hAnsi="宋体"/>
          <w:color w:val="auto"/>
          <w:sz w:val="24"/>
          <w:szCs w:val="24"/>
          <w:highlight w:val="none"/>
        </w:rPr>
        <w:t>。</w:t>
      </w:r>
    </w:p>
    <w:p w14:paraId="04275209">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30</w:t>
      </w:r>
      <w:r>
        <w:rPr>
          <w:rFonts w:hint="eastAsia" w:ascii="宋体" w:hAnsi="宋体" w:eastAsia="宋体" w:cs="宋体"/>
          <w:color w:val="auto"/>
          <w:sz w:val="24"/>
          <w:szCs w:val="24"/>
          <w:highlight w:val="none"/>
          <w:u w:val="single"/>
        </w:rPr>
        <w:t>如</w:t>
      </w:r>
      <w:r>
        <w:rPr>
          <w:rFonts w:hint="eastAsia" w:ascii="宋体" w:hAnsi="宋体" w:eastAsia="宋体" w:cs="宋体"/>
          <w:color w:val="auto"/>
          <w:sz w:val="24"/>
          <w:szCs w:val="24"/>
          <w:highlight w:val="none"/>
          <w:u w:val="single"/>
          <w:lang w:val="en-US" w:eastAsia="zh-CN"/>
        </w:rPr>
        <w:t>清远市、佛冈县、园区管委会</w:t>
      </w:r>
      <w:r>
        <w:rPr>
          <w:rFonts w:hint="eastAsia" w:ascii="宋体" w:hAnsi="宋体" w:eastAsia="宋体" w:cs="宋体"/>
          <w:color w:val="auto"/>
          <w:sz w:val="24"/>
          <w:szCs w:val="24"/>
          <w:highlight w:val="none"/>
          <w:u w:val="single"/>
        </w:rPr>
        <w:t>对工程竣工验收及备案有相关规定，则本合同执行该规定</w:t>
      </w:r>
      <w:r>
        <w:rPr>
          <w:rFonts w:hint="eastAsia" w:ascii="宋体" w:hAnsi="宋体" w:eastAsia="宋体" w:cs="宋体"/>
          <w:color w:val="auto"/>
          <w:sz w:val="24"/>
          <w:szCs w:val="24"/>
          <w:highlight w:val="none"/>
        </w:rPr>
        <w:t>。</w:t>
      </w:r>
    </w:p>
    <w:p w14:paraId="6969146F">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31</w:t>
      </w:r>
      <w:r>
        <w:rPr>
          <w:rFonts w:hint="eastAsia" w:ascii="宋体" w:hAnsi="宋体"/>
          <w:color w:val="auto"/>
          <w:sz w:val="24"/>
          <w:szCs w:val="24"/>
          <w:highlight w:val="none"/>
          <w:u w:val="single"/>
        </w:rPr>
        <w:t>如果审计机关依法对本工程实施审计，发包人、承包人及监理单位应积极配合，审计机关对本工程结算的认定，具有法定约束力。</w:t>
      </w:r>
      <w:r>
        <w:rPr>
          <w:rFonts w:hint="eastAsia" w:ascii="宋体" w:hAnsi="宋体"/>
          <w:color w:val="auto"/>
          <w:sz w:val="24"/>
          <w:szCs w:val="24"/>
          <w:highlight w:val="none"/>
        </w:rPr>
        <w:t>。</w:t>
      </w:r>
    </w:p>
    <w:p w14:paraId="51E58E26">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32</w:t>
      </w:r>
      <w:r>
        <w:rPr>
          <w:rFonts w:hint="eastAsia" w:ascii="宋体" w:hAnsi="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olor w:val="auto"/>
          <w:sz w:val="24"/>
          <w:szCs w:val="24"/>
          <w:highlight w:val="none"/>
        </w:rPr>
        <w:t>。</w:t>
      </w:r>
    </w:p>
    <w:p w14:paraId="027C282F">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47.3</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olor w:val="auto"/>
          <w:sz w:val="24"/>
          <w:szCs w:val="24"/>
          <w:highlight w:val="none"/>
        </w:rPr>
        <w:t>。</w:t>
      </w:r>
    </w:p>
    <w:p w14:paraId="29B877DE">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47.3</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olor w:val="auto"/>
          <w:sz w:val="24"/>
          <w:szCs w:val="24"/>
          <w:highlight w:val="none"/>
        </w:rPr>
        <w:t>。</w:t>
      </w:r>
    </w:p>
    <w:p w14:paraId="7EDD6813">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w:t>
      </w:r>
      <w:r>
        <w:rPr>
          <w:rFonts w:hint="eastAsia" w:ascii="宋体" w:hAnsi="宋体"/>
          <w:color w:val="auto"/>
          <w:sz w:val="24"/>
          <w:szCs w:val="24"/>
          <w:highlight w:val="none"/>
          <w:lang w:val="en-US" w:eastAsia="zh-CN"/>
        </w:rPr>
        <w:t>35</w:t>
      </w:r>
      <w:r>
        <w:rPr>
          <w:rFonts w:hint="eastAsia" w:ascii="宋体" w:hAnsi="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olor w:val="auto"/>
          <w:sz w:val="24"/>
          <w:szCs w:val="24"/>
          <w:highlight w:val="none"/>
        </w:rPr>
        <w:t>。</w:t>
      </w:r>
    </w:p>
    <w:p w14:paraId="1CA58DA5">
      <w:pPr>
        <w:spacing w:line="440" w:lineRule="exact"/>
        <w:ind w:firstLine="422" w:firstLineChars="176"/>
        <w:rPr>
          <w:rFonts w:ascii="宋体" w:hAnsi="宋体"/>
          <w:color w:val="auto"/>
          <w:sz w:val="24"/>
          <w:szCs w:val="24"/>
          <w:highlight w:val="none"/>
          <w:u w:val="single"/>
        </w:rPr>
      </w:pPr>
      <w:r>
        <w:rPr>
          <w:rFonts w:ascii="宋体" w:hAnsi="宋体"/>
          <w:color w:val="auto"/>
          <w:sz w:val="24"/>
          <w:szCs w:val="24"/>
          <w:highlight w:val="none"/>
        </w:rPr>
        <w:t>47.3</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olor w:val="auto"/>
          <w:sz w:val="24"/>
          <w:szCs w:val="24"/>
          <w:highlight w:val="none"/>
        </w:rPr>
        <w:t>。</w:t>
      </w:r>
    </w:p>
    <w:p w14:paraId="43F3932B">
      <w:pPr>
        <w:spacing w:line="440" w:lineRule="exact"/>
        <w:ind w:firstLine="422" w:firstLineChars="176"/>
        <w:rPr>
          <w:rFonts w:ascii="宋体" w:hAnsi="宋体"/>
          <w:color w:val="auto"/>
          <w:sz w:val="24"/>
          <w:szCs w:val="24"/>
          <w:highlight w:val="none"/>
        </w:rPr>
      </w:pPr>
      <w:r>
        <w:rPr>
          <w:rFonts w:ascii="宋体" w:hAnsi="宋体"/>
          <w:color w:val="auto"/>
          <w:sz w:val="24"/>
          <w:szCs w:val="24"/>
          <w:highlight w:val="none"/>
        </w:rPr>
        <w:t>47.3</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w:t>
      </w:r>
      <w:r>
        <w:rPr>
          <w:rFonts w:hint="eastAsia" w:ascii="宋体" w:hAnsi="宋体"/>
          <w:color w:val="auto"/>
          <w:sz w:val="24"/>
          <w:szCs w:val="24"/>
          <w:highlight w:val="none"/>
          <w:u w:val="single"/>
        </w:rPr>
        <w:t>可实施</w:t>
      </w:r>
      <w:r>
        <w:rPr>
          <w:rFonts w:hint="eastAsia" w:ascii="宋体" w:hAnsi="宋体"/>
          <w:color w:val="auto"/>
          <w:sz w:val="24"/>
          <w:szCs w:val="24"/>
          <w:highlight w:val="none"/>
        </w:rPr>
        <w:t>。</w:t>
      </w:r>
    </w:p>
    <w:p w14:paraId="05ED6C8C">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47.</w:t>
      </w:r>
      <w:r>
        <w:rPr>
          <w:rFonts w:hint="eastAsia" w:ascii="宋体" w:hAnsi="宋体"/>
          <w:color w:val="auto"/>
          <w:sz w:val="24"/>
          <w:szCs w:val="24"/>
          <w:highlight w:val="none"/>
          <w:lang w:val="en-US" w:eastAsia="zh-CN"/>
        </w:rPr>
        <w:t>38</w:t>
      </w:r>
      <w:r>
        <w:rPr>
          <w:rFonts w:hint="eastAsia" w:ascii="宋体" w:hAnsi="宋体"/>
          <w:color w:val="auto"/>
          <w:sz w:val="24"/>
          <w:szCs w:val="24"/>
          <w:highlight w:val="none"/>
          <w:u w:val="single"/>
        </w:rPr>
        <w:t>工程获得国家、省级、市级所发奖项的，可给予通报表彰，但不给予任何物质奖励</w:t>
      </w:r>
      <w:r>
        <w:rPr>
          <w:rFonts w:hint="eastAsia" w:ascii="宋体" w:hAnsi="宋体"/>
          <w:color w:val="auto"/>
          <w:sz w:val="24"/>
          <w:szCs w:val="24"/>
          <w:highlight w:val="none"/>
        </w:rPr>
        <w:t>。</w:t>
      </w:r>
    </w:p>
    <w:p w14:paraId="40EEEEAD">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rPr>
        <w:t>47.</w:t>
      </w:r>
      <w:r>
        <w:rPr>
          <w:rFonts w:hint="eastAsia" w:ascii="宋体" w:hAnsi="宋体"/>
          <w:color w:val="auto"/>
          <w:sz w:val="24"/>
          <w:szCs w:val="24"/>
          <w:highlight w:val="none"/>
          <w:lang w:val="en-US" w:eastAsia="zh-CN"/>
        </w:rPr>
        <w:t>39</w:t>
      </w:r>
      <w:r>
        <w:rPr>
          <w:rFonts w:hint="eastAsia" w:ascii="宋体" w:hAnsi="宋体"/>
          <w:color w:val="auto"/>
          <w:sz w:val="24"/>
          <w:szCs w:val="24"/>
          <w:highlight w:val="none"/>
          <w:u w:val="single"/>
        </w:rPr>
        <w:t>如本合同需缴纳合同印花税，承包人需在有关税务部门规定期限及结清本合同费用前，提醒发包人按规定缴纳。承包人未按规定期限提醒发包人</w:t>
      </w:r>
      <w:r>
        <w:rPr>
          <w:rFonts w:hint="eastAsia" w:ascii="宋体" w:hAnsi="宋体"/>
          <w:color w:val="auto"/>
          <w:sz w:val="24"/>
          <w:szCs w:val="24"/>
          <w:highlight w:val="none"/>
          <w:u w:val="single"/>
          <w:lang w:val="en-US" w:eastAsia="zh-CN"/>
        </w:rPr>
        <w:t>缴纳</w:t>
      </w:r>
      <w:r>
        <w:rPr>
          <w:rFonts w:hint="eastAsia" w:ascii="宋体" w:hAnsi="宋体"/>
          <w:color w:val="auto"/>
          <w:sz w:val="24"/>
          <w:szCs w:val="24"/>
          <w:highlight w:val="none"/>
          <w:u w:val="single"/>
        </w:rPr>
        <w:t>印花税的，因此产生的滞纳金由承包人承担。</w:t>
      </w:r>
    </w:p>
    <w:p w14:paraId="2E127E1C">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47.4</w:t>
      </w:r>
      <w:r>
        <w:rPr>
          <w:rFonts w:hint="eastAsia" w:ascii="宋体" w:hAnsi="宋体"/>
          <w:color w:val="auto"/>
          <w:sz w:val="24"/>
          <w:szCs w:val="24"/>
          <w:highlight w:val="none"/>
          <w:u w:val="single"/>
          <w:lang w:val="en-US" w:eastAsia="zh-CN"/>
        </w:rPr>
        <w:t>0</w:t>
      </w:r>
      <w:r>
        <w:rPr>
          <w:rFonts w:hint="eastAsia" w:ascii="宋体" w:hAnsi="宋体"/>
          <w:color w:val="auto"/>
          <w:sz w:val="24"/>
          <w:szCs w:val="24"/>
          <w:highlight w:val="none"/>
          <w:u w:val="single"/>
        </w:rPr>
        <w:t>如承包人为联合体的，本合同由联合体承担施工任务方负责签订。并由联合体主办方（承担设计任务方）负责开具合同价款全额发票、收取合同款项，联合体主办方收取合同款项后由联合体各方自行分配相应款项，或由联合体各方负责开具其对应价款的全额发票，具体分配事宜与发包人无关。</w:t>
      </w:r>
    </w:p>
    <w:p w14:paraId="38598209">
      <w:pPr>
        <w:spacing w:line="440" w:lineRule="exact"/>
        <w:ind w:firstLine="422" w:firstLineChars="176"/>
        <w:rPr>
          <w:rFonts w:ascii="宋体" w:hAnsi="宋体"/>
          <w:color w:val="auto"/>
          <w:sz w:val="24"/>
          <w:szCs w:val="24"/>
          <w:highlight w:val="none"/>
          <w:u w:val="single"/>
        </w:rPr>
      </w:pPr>
      <w:r>
        <w:rPr>
          <w:rFonts w:hint="eastAsia" w:ascii="宋体" w:hAnsi="宋体"/>
          <w:color w:val="auto"/>
          <w:sz w:val="24"/>
          <w:szCs w:val="24"/>
          <w:highlight w:val="none"/>
          <w:u w:val="single"/>
        </w:rPr>
        <w:t>47.</w:t>
      </w:r>
      <w:r>
        <w:rPr>
          <w:rFonts w:hint="eastAsia" w:ascii="宋体" w:hAnsi="宋体"/>
          <w:color w:val="auto"/>
          <w:sz w:val="24"/>
          <w:szCs w:val="24"/>
          <w:highlight w:val="none"/>
          <w:u w:val="single"/>
          <w:lang w:val="en-US" w:eastAsia="zh-CN"/>
        </w:rPr>
        <w:t>41</w:t>
      </w:r>
      <w:r>
        <w:rPr>
          <w:rFonts w:hint="eastAsia" w:ascii="宋体" w:hAnsi="宋体"/>
          <w:color w:val="auto"/>
          <w:sz w:val="24"/>
          <w:szCs w:val="24"/>
          <w:highlight w:val="none"/>
          <w:u w:val="single"/>
        </w:rPr>
        <w:t xml:space="preserve"> 未尽事宜，经双方友好协商解决。</w:t>
      </w:r>
    </w:p>
    <w:p w14:paraId="4A2D2E26">
      <w:pPr>
        <w:widowControl/>
        <w:jc w:val="left"/>
        <w:rPr>
          <w:rFonts w:ascii="宋体" w:hAnsi="宋体"/>
          <w:color w:val="auto"/>
          <w:sz w:val="24"/>
          <w:szCs w:val="24"/>
          <w:highlight w:val="none"/>
        </w:rPr>
      </w:pPr>
      <w:r>
        <w:rPr>
          <w:rFonts w:ascii="宋体" w:hAnsi="宋体"/>
          <w:color w:val="auto"/>
          <w:sz w:val="24"/>
          <w:szCs w:val="24"/>
          <w:highlight w:val="none"/>
        </w:rPr>
        <w:br w:type="page"/>
      </w:r>
    </w:p>
    <w:p w14:paraId="27616F2D">
      <w:pPr>
        <w:spacing w:line="440" w:lineRule="exact"/>
        <w:jc w:val="center"/>
        <w:rPr>
          <w:rFonts w:ascii="宋体" w:hAnsi="宋体" w:cs="宋体"/>
          <w:b/>
          <w:color w:val="auto"/>
          <w:sz w:val="24"/>
          <w:szCs w:val="24"/>
          <w:highlight w:val="none"/>
        </w:rPr>
      </w:pPr>
      <w:r>
        <w:rPr>
          <w:rFonts w:hint="eastAsia" w:ascii="宋体" w:hAnsi="宋体" w:cs="宋体"/>
          <w:b/>
          <w:color w:val="auto"/>
          <w:sz w:val="24"/>
          <w:szCs w:val="24"/>
          <w:highlight w:val="none"/>
        </w:rPr>
        <w:t>五、  工程质量保修责任书</w:t>
      </w:r>
    </w:p>
    <w:p w14:paraId="5F19D6D3">
      <w:pPr>
        <w:snapToGrid w:val="0"/>
        <w:spacing w:line="440" w:lineRule="exact"/>
        <w:ind w:right="-210" w:rightChars="-100"/>
        <w:rPr>
          <w:rFonts w:ascii="宋体" w:hAnsi="宋体" w:cs="宋体"/>
          <w:color w:val="auto"/>
          <w:sz w:val="24"/>
          <w:szCs w:val="24"/>
          <w:highlight w:val="none"/>
          <w:u w:val="single"/>
        </w:rPr>
      </w:pPr>
      <w:r>
        <w:rPr>
          <w:rFonts w:hint="eastAsia" w:ascii="宋体" w:hAnsi="宋体" w:cs="宋体"/>
          <w:color w:val="auto"/>
          <w:sz w:val="24"/>
          <w:szCs w:val="24"/>
          <w:highlight w:val="none"/>
        </w:rPr>
        <w:t>发包人（全称）：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3B2A402C">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1FE97AE0">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为保证</w:t>
      </w:r>
      <w:r>
        <w:rPr>
          <w:rFonts w:hint="eastAsia" w:ascii="宋体" w:hAnsi="宋体"/>
          <w:color w:val="auto"/>
          <w:sz w:val="24"/>
          <w:szCs w:val="24"/>
          <w:highlight w:val="none"/>
          <w:u w:val="single"/>
        </w:rPr>
        <w:t xml:space="preserve"> </w:t>
      </w:r>
      <w:r>
        <w:rPr>
          <w:rFonts w:hint="eastAsia" w:ascii="宋体" w:hAnsi="宋体" w:cs="宋体"/>
          <w:bCs/>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s="宋体"/>
          <w:color w:val="auto"/>
          <w:sz w:val="24"/>
          <w:szCs w:val="24"/>
          <w:highlight w:val="none"/>
        </w:rPr>
        <w:t>在合理使用期限内正常使用，发包人承包人协商一致签订工程质量保修责任书。承包人在质量保修期内按照有关管理规定及双方约定承担本工程质量保修责任。</w:t>
      </w:r>
    </w:p>
    <w:p w14:paraId="7239972B">
      <w:pPr>
        <w:tabs>
          <w:tab w:val="left" w:pos="960"/>
          <w:tab w:val="left" w:pos="1120"/>
        </w:tabs>
        <w:snapToGrid w:val="0"/>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一、工程质量保修范围和内容</w:t>
      </w:r>
    </w:p>
    <w:p w14:paraId="2F0348D1">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质量保修范围包括基础工程、主体路基、路面、桥涵构造物工程、给排水、防护工程以及本建设工程施工合同中所含的其它项目。具体质量保修内容双方约定如下：</w:t>
      </w:r>
    </w:p>
    <w:p w14:paraId="21F2BCDA">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按施工合同约定的承包范围内的全部工程内容</w:t>
      </w:r>
      <w:r>
        <w:rPr>
          <w:rFonts w:hint="eastAsia" w:ascii="宋体" w:hAnsi="宋体" w:cs="宋体"/>
          <w:color w:val="auto"/>
          <w:sz w:val="24"/>
          <w:szCs w:val="24"/>
          <w:highlight w:val="none"/>
        </w:rPr>
        <w:t>。</w:t>
      </w:r>
    </w:p>
    <w:p w14:paraId="563B13FC">
      <w:pPr>
        <w:tabs>
          <w:tab w:val="left" w:pos="960"/>
          <w:tab w:val="left" w:pos="1120"/>
        </w:tabs>
        <w:snapToGrid w:val="0"/>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二、质量保修期</w:t>
      </w:r>
    </w:p>
    <w:p w14:paraId="6E5B4B6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质量保修期从广州开发区管委会或其相关职能部门批准的提前移交之日或者正式通过竣工验收之日（以先发生日期为准）算起。</w:t>
      </w:r>
    </w:p>
    <w:p w14:paraId="1602D98E">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双方根据国家有关规定，结合具体工程约定质量保修期如下：</w:t>
      </w:r>
    </w:p>
    <w:p w14:paraId="7F31D6F9">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1、基础设施工程、房屋建筑的地基基础和主体结构工程为设计文件规定的该工程合理使用年限；</w:t>
      </w:r>
    </w:p>
    <w:p w14:paraId="2E8C2C66">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2、电力管线、上下水管线安装工程为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14:paraId="53AA1560">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3、供热及供冷为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个采暖期及供冷期；</w:t>
      </w:r>
    </w:p>
    <w:p w14:paraId="3DB1DD35">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4、室外的上下水和小区道路等市政公用工程为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14:paraId="71CE7D67">
      <w:pPr>
        <w:snapToGrid w:val="0"/>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5、市政道路排水工程为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年，市政供水工程为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w:t>
      </w:r>
    </w:p>
    <w:p w14:paraId="63B201FA">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6、市政供电工程为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年，市政道路照明工程</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年，市政交通设施工程为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p>
    <w:p w14:paraId="11AD3C24">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7、园林建筑工程为</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年，喷淋工程为</w:t>
      </w:r>
      <w:r>
        <w:rPr>
          <w:rFonts w:hint="eastAsia" w:ascii="宋体" w:hAnsi="宋体" w:cs="宋体"/>
          <w:color w:val="auto"/>
          <w:sz w:val="24"/>
          <w:szCs w:val="24"/>
          <w:highlight w:val="none"/>
          <w:u w:val="single"/>
        </w:rPr>
        <w:t xml:space="preserve"> 2 </w:t>
      </w:r>
      <w:r>
        <w:rPr>
          <w:rFonts w:hint="eastAsia" w:ascii="宋体" w:hAnsi="宋体" w:cs="宋体"/>
          <w:color w:val="auto"/>
          <w:sz w:val="24"/>
          <w:szCs w:val="24"/>
          <w:highlight w:val="none"/>
        </w:rPr>
        <w:t>年，胸径15cm以内（含15cm）的苗木养护期为</w:t>
      </w:r>
      <w:r>
        <w:rPr>
          <w:rFonts w:hint="eastAsia" w:ascii="宋体" w:hAnsi="宋体" w:cs="宋体"/>
          <w:color w:val="auto"/>
          <w:sz w:val="24"/>
          <w:szCs w:val="24"/>
          <w:highlight w:val="none"/>
          <w:u w:val="single"/>
        </w:rPr>
        <w:t xml:space="preserve"> 3 </w:t>
      </w:r>
      <w:r>
        <w:rPr>
          <w:rFonts w:hint="eastAsia" w:ascii="宋体" w:hAnsi="宋体" w:cs="宋体"/>
          <w:color w:val="auto"/>
          <w:sz w:val="24"/>
          <w:szCs w:val="24"/>
          <w:highlight w:val="none"/>
        </w:rPr>
        <w:t>个月，胸径15cm以上的苗木养护期为</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年。</w:t>
      </w:r>
    </w:p>
    <w:p w14:paraId="5FA8B7FE">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8、其他约定：</w:t>
      </w:r>
      <w:r>
        <w:rPr>
          <w:rFonts w:hint="eastAsia" w:ascii="宋体" w:hAnsi="宋体" w:cs="宋体"/>
          <w:color w:val="auto"/>
          <w:sz w:val="24"/>
          <w:szCs w:val="24"/>
          <w:highlight w:val="none"/>
          <w:u w:val="single"/>
        </w:rPr>
        <w:t>按相关规定执行</w:t>
      </w:r>
      <w:r>
        <w:rPr>
          <w:rFonts w:hint="eastAsia" w:ascii="宋体" w:hAnsi="宋体" w:cs="宋体"/>
          <w:color w:val="auto"/>
          <w:sz w:val="24"/>
          <w:szCs w:val="24"/>
          <w:highlight w:val="none"/>
        </w:rPr>
        <w:t>。</w:t>
      </w:r>
    </w:p>
    <w:p w14:paraId="5D7325BC">
      <w:pPr>
        <w:tabs>
          <w:tab w:val="left" w:pos="960"/>
          <w:tab w:val="left" w:pos="1120"/>
        </w:tabs>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三、质量保修责任</w:t>
      </w:r>
    </w:p>
    <w:p w14:paraId="2462D1D8">
      <w:pPr>
        <w:tabs>
          <w:tab w:val="left" w:pos="980"/>
        </w:tabs>
        <w:snapToGrid w:val="0"/>
        <w:spacing w:line="440" w:lineRule="exact"/>
        <w:rPr>
          <w:rFonts w:ascii="宋体" w:hAnsi="宋体" w:cs="宋体"/>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color w:val="auto"/>
          <w:sz w:val="24"/>
          <w:szCs w:val="24"/>
          <w:highlight w:val="none"/>
        </w:rPr>
        <w:t>属于保修范围的内容项目，承包人应在接到修理通知之日后七天内派人员修理。承包人不在约定期内派人修理，发包人可委托其他人员修理，修理费用从质量保修金内扣除。</w:t>
      </w:r>
    </w:p>
    <w:p w14:paraId="09E83D86">
      <w:pPr>
        <w:tabs>
          <w:tab w:val="left" w:pos="980"/>
        </w:tabs>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14:paraId="132D88A1">
      <w:pPr>
        <w:tabs>
          <w:tab w:val="left" w:pos="980"/>
        </w:tabs>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14:paraId="72CCC529">
      <w:pPr>
        <w:tabs>
          <w:tab w:val="left" w:pos="960"/>
          <w:tab w:val="left" w:pos="1120"/>
        </w:tabs>
        <w:snapToGrid w:val="0"/>
        <w:spacing w:line="44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四、质量保修金的支付</w:t>
      </w:r>
    </w:p>
    <w:p w14:paraId="54AD5062">
      <w:pPr>
        <w:snapToGrid w:val="0"/>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本工程约定的工程质量保修金为施工合同结算总价款的</w:t>
      </w:r>
      <w:r>
        <w:rPr>
          <w:rFonts w:hint="eastAsia" w:ascii="宋体" w:hAnsi="宋体" w:cs="宋体"/>
          <w:b/>
          <w:bCs/>
          <w:color w:val="auto"/>
          <w:sz w:val="24"/>
          <w:szCs w:val="24"/>
          <w:highlight w:val="none"/>
          <w:u w:val="single"/>
        </w:rPr>
        <w:t>3</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w:t>
      </w:r>
    </w:p>
    <w:p w14:paraId="39E5788A">
      <w:pPr>
        <w:snapToGrid w:val="0"/>
        <w:spacing w:line="440" w:lineRule="exact"/>
        <w:rPr>
          <w:rFonts w:ascii="宋体" w:hAnsi="宋体" w:cs="宋体"/>
          <w:color w:val="auto"/>
          <w:spacing w:val="-32"/>
          <w:sz w:val="24"/>
          <w:szCs w:val="24"/>
          <w:highlight w:val="none"/>
        </w:rPr>
      </w:pPr>
      <w:r>
        <w:rPr>
          <w:rFonts w:hint="eastAsia" w:ascii="宋体" w:hAnsi="宋体" w:cs="宋体"/>
          <w:color w:val="auto"/>
          <w:spacing w:val="-16"/>
          <w:sz w:val="24"/>
          <w:szCs w:val="24"/>
          <w:highlight w:val="none"/>
        </w:rPr>
        <w:t>本工程双方约定工程质量保修金金额为</w:t>
      </w:r>
      <w:r>
        <w:rPr>
          <w:rFonts w:hint="eastAsia" w:ascii="宋体" w:hAnsi="宋体" w:cs="宋体"/>
          <w:color w:val="auto"/>
          <w:sz w:val="24"/>
          <w:szCs w:val="24"/>
          <w:highlight w:val="none"/>
          <w:u w:val="single"/>
        </w:rPr>
        <w:t xml:space="preserve">(大写)    /      </w:t>
      </w:r>
      <w:r>
        <w:rPr>
          <w:rFonts w:hint="eastAsia" w:ascii="宋体" w:hAnsi="宋体" w:cs="宋体"/>
          <w:color w:val="auto"/>
          <w:spacing w:val="-32"/>
          <w:sz w:val="24"/>
          <w:szCs w:val="24"/>
          <w:highlight w:val="none"/>
        </w:rPr>
        <w:t>。</w:t>
      </w:r>
    </w:p>
    <w:p w14:paraId="467E044B">
      <w:pPr>
        <w:snapToGrid w:val="0"/>
        <w:spacing w:line="440" w:lineRule="exact"/>
        <w:rPr>
          <w:rFonts w:ascii="宋体" w:hAnsi="宋体" w:cs="宋体"/>
          <w:bCs/>
          <w:color w:val="auto"/>
          <w:sz w:val="24"/>
          <w:szCs w:val="24"/>
          <w:highlight w:val="none"/>
        </w:rPr>
      </w:pPr>
      <w:r>
        <w:rPr>
          <w:rFonts w:hint="eastAsia" w:ascii="宋体" w:hAnsi="宋体" w:cs="宋体"/>
          <w:color w:val="auto"/>
          <w:sz w:val="24"/>
          <w:szCs w:val="24"/>
          <w:highlight w:val="none"/>
        </w:rPr>
        <w:t>质量保修金银行利率为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14:paraId="1E7F65C2">
      <w:pPr>
        <w:tabs>
          <w:tab w:val="left" w:pos="960"/>
          <w:tab w:val="left" w:pos="1120"/>
        </w:tabs>
        <w:snapToGrid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五、其他</w:t>
      </w:r>
    </w:p>
    <w:p w14:paraId="4D716627">
      <w:pPr>
        <w:tabs>
          <w:tab w:val="left" w:pos="980"/>
        </w:tabs>
        <w:spacing w:line="440" w:lineRule="exact"/>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双方约定的其他工程质量保修事项：</w:t>
      </w:r>
      <w:r>
        <w:rPr>
          <w:rFonts w:hint="eastAsia" w:ascii="宋体" w:hAnsi="宋体" w:cs="宋体"/>
          <w:color w:val="auto"/>
          <w:sz w:val="24"/>
          <w:szCs w:val="24"/>
          <w:highlight w:val="none"/>
          <w:u w:val="single"/>
        </w:rPr>
        <w:t>保留</w:t>
      </w:r>
      <w:r>
        <w:rPr>
          <w:rFonts w:hint="eastAsia" w:ascii="宋体" w:hAnsi="宋体" w:cs="宋体"/>
          <w:color w:val="auto"/>
          <w:sz w:val="24"/>
          <w:szCs w:val="24"/>
          <w:highlight w:val="none"/>
          <w:u w:val="single"/>
        </w:rPr>
        <w:t>经</w:t>
      </w:r>
      <w:r>
        <w:rPr>
          <w:rFonts w:hint="eastAsia" w:ascii="宋体" w:hAnsi="宋体" w:cs="宋体"/>
          <w:color w:val="auto"/>
          <w:sz w:val="24"/>
          <w:szCs w:val="24"/>
          <w:highlight w:val="none"/>
          <w:u w:val="single"/>
          <w:lang w:val="en-US" w:eastAsia="zh-CN"/>
        </w:rPr>
        <w:t>发包人</w:t>
      </w:r>
      <w:r>
        <w:rPr>
          <w:rFonts w:hint="eastAsia" w:ascii="宋体" w:hAnsi="宋体" w:cs="宋体"/>
          <w:color w:val="auto"/>
          <w:sz w:val="24"/>
          <w:szCs w:val="24"/>
          <w:highlight w:val="none"/>
          <w:u w:val="single"/>
        </w:rPr>
        <w:t>核</w:t>
      </w:r>
      <w:r>
        <w:rPr>
          <w:rFonts w:hint="eastAsia" w:ascii="宋体" w:hAnsi="宋体" w:cs="宋体"/>
          <w:color w:val="auto"/>
          <w:sz w:val="24"/>
          <w:szCs w:val="24"/>
          <w:highlight w:val="none"/>
          <w:u w:val="single"/>
        </w:rPr>
        <w:t>定的结算总造价的</w:t>
      </w:r>
      <w:r>
        <w:rPr>
          <w:rFonts w:hint="eastAsia" w:ascii="宋体" w:hAnsi="宋体" w:cs="宋体"/>
          <w:b/>
          <w:bCs/>
          <w:color w:val="auto"/>
          <w:sz w:val="24"/>
          <w:szCs w:val="24"/>
          <w:highlight w:val="none"/>
          <w:u w:val="single"/>
        </w:rPr>
        <w:t>3%</w:t>
      </w:r>
      <w:r>
        <w:rPr>
          <w:rFonts w:hint="eastAsia" w:ascii="宋体" w:hAnsi="宋体" w:cs="宋体"/>
          <w:color w:val="auto"/>
          <w:sz w:val="24"/>
          <w:szCs w:val="24"/>
          <w:highlight w:val="none"/>
          <w:u w:val="single"/>
        </w:rPr>
        <w:t>作为保修金，在质量缺陷责任期满后结清（不计利息）。</w:t>
      </w:r>
    </w:p>
    <w:p w14:paraId="71B718F5">
      <w:pPr>
        <w:tabs>
          <w:tab w:val="left" w:pos="980"/>
        </w:tabs>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本工程质量保修责任书作为施工合同附件，由施工合同发包人与承包人双方共同签署。</w:t>
      </w:r>
    </w:p>
    <w:p w14:paraId="282002CA">
      <w:pPr>
        <w:spacing w:line="440" w:lineRule="exact"/>
        <w:rPr>
          <w:rFonts w:ascii="宋体" w:hAnsi="宋体" w:cs="宋体"/>
          <w:color w:val="auto"/>
          <w:sz w:val="24"/>
          <w:szCs w:val="24"/>
          <w:highlight w:val="none"/>
        </w:rPr>
      </w:pPr>
    </w:p>
    <w:p w14:paraId="59E0B0EE">
      <w:pPr>
        <w:spacing w:line="440" w:lineRule="exact"/>
        <w:rPr>
          <w:rFonts w:ascii="宋体" w:hAnsi="宋体" w:cs="宋体"/>
          <w:color w:val="auto"/>
          <w:sz w:val="24"/>
          <w:szCs w:val="24"/>
          <w:highlight w:val="none"/>
        </w:rPr>
      </w:pPr>
    </w:p>
    <w:p w14:paraId="25847596">
      <w:pPr>
        <w:rPr>
          <w:rFonts w:ascii="宋体" w:hAnsi="宋体"/>
          <w:b/>
          <w:bCs/>
          <w:color w:val="auto"/>
          <w:sz w:val="32"/>
          <w:szCs w:val="32"/>
          <w:highlight w:val="none"/>
        </w:rPr>
      </w:pPr>
    </w:p>
    <w:p w14:paraId="537C3894">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发包人（公章）：                       承包人（公章）：</w:t>
      </w:r>
    </w:p>
    <w:p w14:paraId="7B5DD5AD">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p>
    <w:p w14:paraId="656F56C3">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14:paraId="44934943">
      <w:pPr>
        <w:spacing w:line="440" w:lineRule="exact"/>
        <w:rPr>
          <w:rFonts w:ascii="宋体" w:hAnsi="宋体" w:cs="宋体"/>
          <w:color w:val="auto"/>
          <w:sz w:val="24"/>
          <w:szCs w:val="24"/>
          <w:highlight w:val="none"/>
        </w:rPr>
      </w:pPr>
    </w:p>
    <w:p w14:paraId="48D68678">
      <w:pPr>
        <w:spacing w:line="440" w:lineRule="exact"/>
        <w:rPr>
          <w:rFonts w:ascii="宋体" w:hAnsi="宋体" w:cs="宋体"/>
          <w:color w:val="auto"/>
          <w:sz w:val="24"/>
          <w:szCs w:val="24"/>
          <w:highlight w:val="none"/>
        </w:rPr>
      </w:pPr>
    </w:p>
    <w:p w14:paraId="2238E43B">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14:paraId="20C5B308">
      <w:pPr>
        <w:spacing w:line="440" w:lineRule="exact"/>
        <w:rPr>
          <w:rFonts w:ascii="宋体" w:hAnsi="宋体" w:cs="宋体"/>
          <w:color w:val="auto"/>
          <w:sz w:val="24"/>
          <w:szCs w:val="24"/>
          <w:highlight w:val="none"/>
        </w:rPr>
      </w:pPr>
    </w:p>
    <w:p w14:paraId="54A32592">
      <w:pPr>
        <w:spacing w:line="440" w:lineRule="exact"/>
        <w:rPr>
          <w:rFonts w:ascii="宋体" w:hAnsi="宋体" w:cs="宋体"/>
          <w:color w:val="auto"/>
          <w:sz w:val="24"/>
          <w:szCs w:val="24"/>
          <w:highlight w:val="none"/>
        </w:rPr>
      </w:pPr>
    </w:p>
    <w:p w14:paraId="51CAF429">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签约日期：    年   月   日      </w:t>
      </w:r>
    </w:p>
    <w:p w14:paraId="439151D0">
      <w:pPr>
        <w:spacing w:line="440" w:lineRule="exact"/>
        <w:rPr>
          <w:rFonts w:hint="eastAsia" w:ascii="宋体" w:hAnsi="宋体" w:cs="宋体"/>
          <w:color w:val="auto"/>
          <w:sz w:val="24"/>
          <w:szCs w:val="24"/>
          <w:highlight w:val="none"/>
        </w:rPr>
      </w:pPr>
    </w:p>
    <w:p w14:paraId="24A17DA1">
      <w:pPr>
        <w:spacing w:line="440" w:lineRule="exact"/>
        <w:rPr>
          <w:rFonts w:ascii="宋体" w:hAnsi="宋体"/>
          <w:color w:val="auto"/>
          <w:sz w:val="24"/>
          <w:szCs w:val="24"/>
          <w:highlight w:val="none"/>
        </w:rPr>
      </w:pPr>
      <w:r>
        <w:rPr>
          <w:rFonts w:hint="eastAsia" w:ascii="宋体" w:hAnsi="宋体" w:cs="宋体"/>
          <w:color w:val="auto"/>
          <w:sz w:val="24"/>
          <w:szCs w:val="24"/>
          <w:highlight w:val="none"/>
        </w:rPr>
        <w:t xml:space="preserve">签约地点：                      </w:t>
      </w:r>
    </w:p>
    <w:p w14:paraId="78645E6A">
      <w:pPr>
        <w:adjustRightInd w:val="0"/>
        <w:snapToGrid w:val="0"/>
        <w:spacing w:line="440" w:lineRule="exact"/>
        <w:rPr>
          <w:rFonts w:ascii="宋体" w:hAnsi="宋体" w:cs="宋体"/>
          <w:b/>
          <w:bCs/>
          <w:snapToGrid w:val="0"/>
          <w:color w:val="auto"/>
          <w:sz w:val="30"/>
          <w:szCs w:val="30"/>
          <w:highlight w:val="none"/>
        </w:rPr>
      </w:pPr>
    </w:p>
    <w:p w14:paraId="1849450E">
      <w:pPr>
        <w:spacing w:line="440" w:lineRule="exact"/>
        <w:rPr>
          <w:rFonts w:ascii="宋体" w:hAnsi="宋体" w:cs="宋体"/>
          <w:b/>
          <w:bCs/>
          <w:snapToGrid w:val="0"/>
          <w:color w:val="auto"/>
          <w:sz w:val="30"/>
          <w:szCs w:val="30"/>
          <w:highlight w:val="none"/>
        </w:rPr>
      </w:pPr>
      <w:r>
        <w:rPr>
          <w:rFonts w:hint="eastAsia" w:ascii="宋体" w:hAnsi="宋体" w:cs="宋体"/>
          <w:b/>
          <w:bCs/>
          <w:snapToGrid w:val="0"/>
          <w:color w:val="auto"/>
          <w:sz w:val="30"/>
          <w:szCs w:val="30"/>
          <w:highlight w:val="none"/>
        </w:rPr>
        <w:br w:type="page"/>
      </w:r>
    </w:p>
    <w:p w14:paraId="1AF00165">
      <w:pPr>
        <w:adjustRightInd w:val="0"/>
        <w:snapToGrid w:val="0"/>
        <w:spacing w:line="380" w:lineRule="exact"/>
        <w:rPr>
          <w:rFonts w:ascii="宋体" w:hAnsi="宋体" w:cs="宋体"/>
          <w:b/>
          <w:bCs/>
          <w:snapToGrid w:val="0"/>
          <w:color w:val="auto"/>
          <w:sz w:val="30"/>
          <w:szCs w:val="30"/>
          <w:highlight w:val="none"/>
        </w:rPr>
      </w:pPr>
      <w:r>
        <w:rPr>
          <w:rFonts w:hint="eastAsia" w:ascii="宋体" w:hAnsi="宋体" w:cs="宋体"/>
          <w:b/>
          <w:bCs/>
          <w:snapToGrid w:val="0"/>
          <w:color w:val="auto"/>
          <w:sz w:val="30"/>
          <w:szCs w:val="30"/>
          <w:highlight w:val="none"/>
        </w:rPr>
        <w:t xml:space="preserve">附件：           </w:t>
      </w:r>
      <w:r>
        <w:rPr>
          <w:rFonts w:hint="eastAsia" w:ascii="宋体" w:hAnsi="宋体" w:cs="宋体"/>
          <w:b/>
          <w:bCs/>
          <w:snapToGrid w:val="0"/>
          <w:color w:val="auto"/>
          <w:sz w:val="30"/>
          <w:szCs w:val="30"/>
          <w:highlight w:val="none"/>
          <w:lang w:val="en-US" w:eastAsia="zh-CN"/>
        </w:rPr>
        <w:t xml:space="preserve">   </w:t>
      </w:r>
      <w:r>
        <w:rPr>
          <w:rFonts w:hint="eastAsia" w:ascii="宋体" w:hAnsi="宋体" w:cs="宋体"/>
          <w:b/>
          <w:bCs/>
          <w:snapToGrid w:val="0"/>
          <w:color w:val="auto"/>
          <w:sz w:val="30"/>
          <w:szCs w:val="30"/>
          <w:highlight w:val="none"/>
        </w:rPr>
        <w:t xml:space="preserve"> </w:t>
      </w:r>
      <w:r>
        <w:rPr>
          <w:rFonts w:hint="eastAsia" w:ascii="宋体" w:hAnsi="宋体" w:cs="宋体"/>
          <w:snapToGrid w:val="0"/>
          <w:color w:val="auto"/>
          <w:sz w:val="24"/>
          <w:szCs w:val="32"/>
          <w:highlight w:val="none"/>
        </w:rPr>
        <w:t xml:space="preserve">  </w:t>
      </w:r>
      <w:r>
        <w:rPr>
          <w:rFonts w:hint="eastAsia" w:ascii="宋体" w:hAnsi="宋体" w:cs="宋体"/>
          <w:b/>
          <w:bCs/>
          <w:snapToGrid w:val="0"/>
          <w:color w:val="auto"/>
          <w:sz w:val="30"/>
          <w:szCs w:val="30"/>
          <w:highlight w:val="none"/>
        </w:rPr>
        <w:t>工程建设项目廉政责任书</w:t>
      </w:r>
    </w:p>
    <w:p w14:paraId="7109FCEF">
      <w:pPr>
        <w:adjustRightInd w:val="0"/>
        <w:snapToGrid w:val="0"/>
        <w:spacing w:line="380" w:lineRule="exact"/>
        <w:rPr>
          <w:rFonts w:ascii="宋体" w:hAnsi="宋体"/>
          <w:snapToGrid w:val="0"/>
          <w:color w:val="auto"/>
          <w:sz w:val="24"/>
          <w:szCs w:val="24"/>
          <w:highlight w:val="none"/>
        </w:rPr>
      </w:pPr>
    </w:p>
    <w:p w14:paraId="14FFA62D">
      <w:pPr>
        <w:adjustRightInd w:val="0"/>
        <w:snapToGrid w:val="0"/>
        <w:spacing w:line="380" w:lineRule="exact"/>
        <w:rPr>
          <w:rFonts w:ascii="宋体" w:hAnsi="宋体" w:cs="宋体"/>
          <w:bCs/>
          <w:color w:val="auto"/>
          <w:sz w:val="24"/>
          <w:szCs w:val="24"/>
          <w:highlight w:val="none"/>
        </w:rPr>
      </w:pPr>
      <w:r>
        <w:rPr>
          <w:rFonts w:hint="eastAsia" w:ascii="宋体" w:hAnsi="宋体" w:cs="宋体"/>
          <w:snapToGrid w:val="0"/>
          <w:color w:val="auto"/>
          <w:sz w:val="24"/>
          <w:szCs w:val="32"/>
          <w:highlight w:val="none"/>
        </w:rPr>
        <w:t>工程项目名称：</w:t>
      </w:r>
      <w:r>
        <w:rPr>
          <w:rFonts w:hint="eastAsia" w:ascii="宋体" w:hAnsi="宋体" w:cs="宋体"/>
          <w:bCs/>
          <w:color w:val="auto"/>
          <w:sz w:val="24"/>
          <w:szCs w:val="24"/>
          <w:highlight w:val="none"/>
        </w:rPr>
        <w:t xml:space="preserve"> </w:t>
      </w:r>
      <w:r>
        <w:rPr>
          <w:rFonts w:hint="eastAsia" w:ascii="宋体" w:hAnsi="宋体" w:cs="宋体"/>
          <w:color w:val="auto"/>
          <w:sz w:val="24"/>
          <w:szCs w:val="24"/>
          <w:highlight w:val="none"/>
          <w:u w:val="single"/>
        </w:rPr>
        <w:t xml:space="preserve">                           </w:t>
      </w:r>
    </w:p>
    <w:p w14:paraId="52A28483">
      <w:pPr>
        <w:adjustRightInd w:val="0"/>
        <w:snapToGrid w:val="0"/>
        <w:spacing w:line="380" w:lineRule="exact"/>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工程项目地址：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p>
    <w:p w14:paraId="33789649">
      <w:pPr>
        <w:adjustRightInd w:val="0"/>
        <w:snapToGrid w:val="0"/>
        <w:spacing w:line="380" w:lineRule="exact"/>
        <w:rPr>
          <w:rFonts w:ascii="宋体" w:hAnsi="宋体" w:cs="宋体"/>
          <w:snapToGrid w:val="0"/>
          <w:color w:val="auto"/>
          <w:sz w:val="24"/>
          <w:szCs w:val="32"/>
          <w:highlight w:val="none"/>
          <w:u w:val="single"/>
        </w:rPr>
      </w:pPr>
      <w:r>
        <w:rPr>
          <w:rFonts w:hint="eastAsia" w:ascii="宋体" w:hAnsi="宋体" w:cs="宋体"/>
          <w:snapToGrid w:val="0"/>
          <w:color w:val="auto"/>
          <w:sz w:val="24"/>
          <w:szCs w:val="32"/>
          <w:highlight w:val="none"/>
        </w:rPr>
        <w:t xml:space="preserve">甲方： </w:t>
      </w:r>
      <w:r>
        <w:rPr>
          <w:rFonts w:hint="eastAsia" w:ascii="宋体" w:hAnsi="宋体" w:cs="宋体"/>
          <w:snapToGrid w:val="0"/>
          <w:color w:val="auto"/>
          <w:sz w:val="24"/>
          <w:szCs w:val="32"/>
          <w:highlight w:val="none"/>
          <w:u w:val="single"/>
          <w:lang w:val="en-US" w:eastAsia="zh-CN"/>
        </w:rPr>
        <w:t xml:space="preserve">                           </w:t>
      </w:r>
      <w:r>
        <w:rPr>
          <w:rFonts w:hint="eastAsia" w:ascii="宋体" w:hAnsi="宋体" w:cs="宋体"/>
          <w:snapToGrid w:val="0"/>
          <w:color w:val="auto"/>
          <w:sz w:val="24"/>
          <w:szCs w:val="32"/>
          <w:highlight w:val="none"/>
          <w:u w:val="single"/>
        </w:rPr>
        <w:t xml:space="preserve"> </w:t>
      </w:r>
    </w:p>
    <w:p w14:paraId="46BBA37C">
      <w:pPr>
        <w:adjustRightInd w:val="0"/>
        <w:snapToGrid w:val="0"/>
        <w:spacing w:line="380" w:lineRule="exact"/>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 xml:space="preserve">乙方： </w:t>
      </w:r>
      <w:r>
        <w:rPr>
          <w:rFonts w:hint="eastAsia" w:ascii="宋体" w:hAnsi="宋体" w:cs="宋体"/>
          <w:color w:val="auto"/>
          <w:sz w:val="24"/>
          <w:szCs w:val="24"/>
          <w:highlight w:val="none"/>
          <w:u w:val="single"/>
        </w:rPr>
        <w:t xml:space="preserve">                            </w:t>
      </w:r>
    </w:p>
    <w:p w14:paraId="2FF82B8E">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 xml:space="preserve">     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31C0373E">
      <w:pPr>
        <w:adjustRightInd w:val="0"/>
        <w:snapToGrid w:val="0"/>
        <w:spacing w:line="380" w:lineRule="exact"/>
        <w:rPr>
          <w:rFonts w:ascii="宋体" w:hAnsi="宋体" w:cs="宋体"/>
          <w:b/>
          <w:color w:val="auto"/>
          <w:sz w:val="24"/>
          <w:szCs w:val="24"/>
          <w:highlight w:val="none"/>
        </w:rPr>
      </w:pPr>
      <w:r>
        <w:rPr>
          <w:rFonts w:hint="eastAsia" w:ascii="宋体" w:hAnsi="宋体" w:cs="宋体"/>
          <w:b/>
          <w:snapToGrid w:val="0"/>
          <w:color w:val="auto"/>
          <w:sz w:val="24"/>
          <w:szCs w:val="24"/>
          <w:highlight w:val="none"/>
          <w:lang w:bidi="ar"/>
        </w:rPr>
        <w:t>第一条</w:t>
      </w:r>
      <w:r>
        <w:rPr>
          <w:rFonts w:hint="eastAsia" w:ascii="宋体" w:hAnsi="宋体" w:cs="宋体"/>
          <w:snapToGrid w:val="0"/>
          <w:color w:val="auto"/>
          <w:sz w:val="24"/>
          <w:szCs w:val="24"/>
          <w:highlight w:val="none"/>
          <w:lang w:bidi="ar"/>
        </w:rPr>
        <w:t>甲、乙双方的责任</w:t>
      </w:r>
    </w:p>
    <w:p w14:paraId="7EFD89C6">
      <w:pPr>
        <w:adjustRightInd w:val="0"/>
        <w:snapToGrid w:val="0"/>
        <w:spacing w:line="440" w:lineRule="exact"/>
        <w:rPr>
          <w:rFonts w:ascii="宋体" w:hAnsi="宋体" w:cs="宋体"/>
          <w:color w:val="auto"/>
          <w:kern w:val="0"/>
          <w:sz w:val="24"/>
          <w:highlight w:val="none"/>
        </w:rPr>
      </w:pPr>
      <w:r>
        <w:rPr>
          <w:rFonts w:hint="eastAsia" w:ascii="宋体" w:hAnsi="宋体" w:cs="宋体"/>
          <w:snapToGrid w:val="0"/>
          <w:color w:val="auto"/>
          <w:kern w:val="0"/>
          <w:sz w:val="24"/>
          <w:highlight w:val="none"/>
          <w:lang w:bidi="ar"/>
        </w:rPr>
        <w:t>（一）应严格遵守国家关于市场准入、项目招标投标、</w:t>
      </w:r>
      <w:r>
        <w:rPr>
          <w:rFonts w:hint="eastAsia" w:ascii="宋体" w:hAnsi="宋体" w:cs="宋体"/>
          <w:color w:val="auto"/>
          <w:kern w:val="0"/>
          <w:sz w:val="24"/>
          <w:highlight w:val="none"/>
          <w:lang w:bidi="ar"/>
        </w:rPr>
        <w:t>工程建设和市场活动</w:t>
      </w:r>
      <w:r>
        <w:rPr>
          <w:rFonts w:hint="eastAsia" w:ascii="宋体" w:hAnsi="宋体" w:cs="宋体"/>
          <w:snapToGrid w:val="0"/>
          <w:color w:val="auto"/>
          <w:kern w:val="0"/>
          <w:sz w:val="24"/>
          <w:highlight w:val="none"/>
          <w:lang w:bidi="ar"/>
        </w:rPr>
        <w:t>等有关法律、法规、相关政策，以及廉政建设的各项规定。</w:t>
      </w:r>
    </w:p>
    <w:p w14:paraId="1364F595">
      <w:pPr>
        <w:adjustRightInd w:val="0"/>
        <w:snapToGrid w:val="0"/>
        <w:spacing w:line="440" w:lineRule="exact"/>
        <w:rPr>
          <w:rFonts w:ascii="宋体" w:hAnsi="宋体" w:cs="宋体"/>
          <w:color w:val="auto"/>
          <w:kern w:val="0"/>
          <w:sz w:val="24"/>
          <w:highlight w:val="none"/>
        </w:rPr>
      </w:pPr>
      <w:r>
        <w:rPr>
          <w:rFonts w:hint="eastAsia" w:ascii="宋体" w:hAnsi="宋体" w:cs="宋体"/>
          <w:snapToGrid w:val="0"/>
          <w:color w:val="auto"/>
          <w:kern w:val="0"/>
          <w:sz w:val="24"/>
          <w:highlight w:val="none"/>
          <w:lang w:bidi="ar"/>
        </w:rPr>
        <w:t>（二）严格执行建设工程项目承发包合同文件，自觉按合同办事。</w:t>
      </w:r>
    </w:p>
    <w:p w14:paraId="7752293D">
      <w:pPr>
        <w:adjustRightInd w:val="0"/>
        <w:snapToGrid w:val="0"/>
        <w:spacing w:line="440" w:lineRule="exact"/>
        <w:rPr>
          <w:rFonts w:ascii="宋体" w:hAnsi="宋体" w:cs="宋体"/>
          <w:color w:val="auto"/>
          <w:kern w:val="0"/>
          <w:sz w:val="24"/>
          <w:highlight w:val="none"/>
        </w:rPr>
      </w:pPr>
      <w:r>
        <w:rPr>
          <w:rFonts w:hint="eastAsia" w:ascii="宋体" w:hAnsi="宋体" w:cs="宋体"/>
          <w:snapToGrid w:val="0"/>
          <w:color w:val="auto"/>
          <w:kern w:val="0"/>
          <w:sz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lang w:bidi="ar"/>
        </w:rPr>
        <w:t>违反工程建设过程管理的规章制度。</w:t>
      </w:r>
    </w:p>
    <w:p w14:paraId="52FD42C9">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（四）发现对方在业务活动中有违规、违纪、违法行为的，应及时提醒对方，情节严重的，应向其上级主管部门或纪检监察、司法等有关机关举报。</w:t>
      </w:r>
    </w:p>
    <w:p w14:paraId="60671A7C">
      <w:pPr>
        <w:adjustRightInd w:val="0"/>
        <w:snapToGrid w:val="0"/>
        <w:spacing w:line="380" w:lineRule="exact"/>
        <w:rPr>
          <w:rFonts w:ascii="宋体" w:hAnsi="宋体" w:cs="宋体"/>
          <w:color w:val="auto"/>
          <w:sz w:val="24"/>
          <w:szCs w:val="24"/>
          <w:highlight w:val="none"/>
        </w:rPr>
      </w:pPr>
      <w:r>
        <w:rPr>
          <w:rFonts w:hint="eastAsia" w:ascii="宋体" w:hAnsi="宋体" w:cs="宋体"/>
          <w:b/>
          <w:snapToGrid w:val="0"/>
          <w:color w:val="auto"/>
          <w:sz w:val="24"/>
          <w:szCs w:val="24"/>
          <w:highlight w:val="none"/>
          <w:lang w:bidi="ar"/>
        </w:rPr>
        <w:t>第二条</w:t>
      </w:r>
      <w:r>
        <w:rPr>
          <w:rFonts w:hint="eastAsia" w:ascii="宋体" w:hAnsi="宋体" w:cs="宋体"/>
          <w:snapToGrid w:val="0"/>
          <w:color w:val="auto"/>
          <w:sz w:val="24"/>
          <w:szCs w:val="24"/>
          <w:highlight w:val="none"/>
          <w:lang w:bidi="ar"/>
        </w:rPr>
        <w:t>甲方的责任</w:t>
      </w:r>
    </w:p>
    <w:p w14:paraId="7A68D4D9">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甲方的领导和从事本建设工程项目的工作人员，在工程建设的事前、事中、事后应遵守以下规定：</w:t>
      </w:r>
    </w:p>
    <w:p w14:paraId="2954A118">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（一）不准向乙方和相关单位索要或接受回扣、礼金、有价证券、贵重物品和好处费、感谢费等。</w:t>
      </w:r>
    </w:p>
    <w:p w14:paraId="6172AF4A">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（二）不准在乙方和相关单位报销任何应由甲方或个人支付的费用。</w:t>
      </w:r>
    </w:p>
    <w:p w14:paraId="446B40EF">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（三）不准要求、暗示或接受乙方和相关单位为个人装修住房、婚丧嫁娶、配偶子女的工作安排以及出国（境）、旅游等提供方便。</w:t>
      </w:r>
    </w:p>
    <w:p w14:paraId="430BB0ED">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（四）不准参加有可能影响公正执行公务的乙方及相关单位的宴请、健身、娱乐等活动。</w:t>
      </w:r>
    </w:p>
    <w:p w14:paraId="71B988D8">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（五）不准向乙方介绍或为配偶、子女、亲属参与同甲方项目工程合同有关的设备、材料、工程分包、劳务等经济活动。不得以任何理由向乙方和相关单位推荐分包单位。</w:t>
      </w:r>
    </w:p>
    <w:p w14:paraId="4119A3E6">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lang w:bidi="ar"/>
        </w:rPr>
        <w:t>第三条</w:t>
      </w:r>
      <w:r>
        <w:rPr>
          <w:rFonts w:hint="eastAsia" w:ascii="宋体" w:hAnsi="宋体" w:cs="宋体"/>
          <w:snapToGrid w:val="0"/>
          <w:color w:val="auto"/>
          <w:kern w:val="0"/>
          <w:sz w:val="24"/>
          <w:highlight w:val="none"/>
          <w:lang w:bidi="ar"/>
        </w:rPr>
        <w:t>乙方的责任</w:t>
      </w:r>
    </w:p>
    <w:p w14:paraId="7F7481B1">
      <w:pPr>
        <w:adjustRightInd w:val="0"/>
        <w:snapToGrid w:val="0"/>
        <w:spacing w:line="380" w:lineRule="exact"/>
        <w:rPr>
          <w:rFonts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应与甲方保持正常的业务交往，按照有关法律法规和程序开展业务工作，严格执行</w:t>
      </w:r>
      <w:r>
        <w:rPr>
          <w:rFonts w:hint="eastAsia" w:ascii="宋体" w:hAnsi="宋体" w:cs="宋体"/>
          <w:color w:val="auto"/>
          <w:kern w:val="0"/>
          <w:sz w:val="24"/>
          <w:highlight w:val="none"/>
          <w:lang w:bidi="ar"/>
        </w:rPr>
        <w:t>工程建设过程管理的有关方针、政策，尤其是强制性标准和规范</w:t>
      </w:r>
      <w:r>
        <w:rPr>
          <w:rFonts w:hint="eastAsia" w:ascii="宋体" w:hAnsi="宋体" w:cs="宋体"/>
          <w:snapToGrid w:val="0"/>
          <w:color w:val="auto"/>
          <w:kern w:val="0"/>
          <w:sz w:val="24"/>
          <w:highlight w:val="none"/>
          <w:lang w:bidi="ar"/>
        </w:rPr>
        <w:t>，并遵守以下规定：</w:t>
      </w:r>
    </w:p>
    <w:p w14:paraId="1ED496E3">
      <w:pPr>
        <w:adjustRightInd w:val="0"/>
        <w:snapToGrid w:val="0"/>
        <w:spacing w:line="380" w:lineRule="exact"/>
        <w:rPr>
          <w:rFonts w:ascii="宋体" w:hAnsi="宋体" w:cs="宋体"/>
          <w:color w:val="auto"/>
          <w:sz w:val="24"/>
          <w:szCs w:val="24"/>
          <w:highlight w:val="none"/>
        </w:rPr>
      </w:pPr>
      <w:r>
        <w:rPr>
          <w:color w:val="auto"/>
          <w:szCs w:val="24"/>
          <w:highlight w:val="none"/>
        </w:rPr>
        <w:t>（一）不准以任何理由向甲方、相关单位及其工作人员索要、接受或赠</w:t>
      </w:r>
      <w:r>
        <w:rPr>
          <w:rFonts w:hint="eastAsia" w:ascii="宋体" w:hAnsi="宋体" w:cs="宋体"/>
          <w:snapToGrid w:val="0"/>
          <w:color w:val="auto"/>
          <w:sz w:val="24"/>
          <w:szCs w:val="24"/>
          <w:highlight w:val="none"/>
          <w:lang w:bidi="ar"/>
        </w:rPr>
        <w:t>送礼金、有价证券、贵重物品及回扣、好处费、感谢费等。</w:t>
      </w:r>
    </w:p>
    <w:p w14:paraId="4E379669">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（二）不准以任何理由为甲方和相关单位报销应由对方或个人支付的费用。</w:t>
      </w:r>
    </w:p>
    <w:p w14:paraId="5B8FD1C2">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（三）不准接受或暗示为甲方、相关单位或个人装修住房、婚丧嫁娶、配偶子女的工作安排以及出国（境）、旅游等提供方便。</w:t>
      </w:r>
    </w:p>
    <w:p w14:paraId="40832BA0">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（四）不准以任何理由为甲方、相关单位或个人组织有可能影响公正执行公务的宴请、健身、娱乐等活动。</w:t>
      </w:r>
    </w:p>
    <w:p w14:paraId="35CBE001">
      <w:pPr>
        <w:adjustRightInd w:val="0"/>
        <w:snapToGrid w:val="0"/>
        <w:spacing w:line="380" w:lineRule="exact"/>
        <w:rPr>
          <w:rFonts w:ascii="宋体" w:hAnsi="宋体" w:cs="宋体"/>
          <w:color w:val="auto"/>
          <w:sz w:val="24"/>
          <w:szCs w:val="24"/>
          <w:highlight w:val="none"/>
        </w:rPr>
      </w:pPr>
      <w:r>
        <w:rPr>
          <w:rFonts w:hint="eastAsia" w:ascii="宋体" w:hAnsi="宋体" w:cs="宋体"/>
          <w:b/>
          <w:snapToGrid w:val="0"/>
          <w:color w:val="auto"/>
          <w:sz w:val="24"/>
          <w:szCs w:val="24"/>
          <w:highlight w:val="none"/>
          <w:lang w:bidi="ar"/>
        </w:rPr>
        <w:t>第四条</w:t>
      </w:r>
      <w:r>
        <w:rPr>
          <w:rFonts w:hint="eastAsia" w:ascii="宋体" w:hAnsi="宋体" w:cs="宋体"/>
          <w:snapToGrid w:val="0"/>
          <w:color w:val="auto"/>
          <w:sz w:val="24"/>
          <w:szCs w:val="24"/>
          <w:highlight w:val="none"/>
          <w:lang w:bidi="ar"/>
        </w:rPr>
        <w:t>违约责任</w:t>
      </w:r>
    </w:p>
    <w:p w14:paraId="41F60EC4">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69BFA031">
      <w:pPr>
        <w:adjustRightInd w:val="0"/>
        <w:snapToGrid w:val="0"/>
        <w:spacing w:line="380" w:lineRule="exact"/>
        <w:rPr>
          <w:rFonts w:ascii="宋体" w:hAnsi="宋体" w:cs="宋体"/>
          <w:color w:val="auto"/>
          <w:sz w:val="24"/>
          <w:szCs w:val="24"/>
          <w:highlight w:val="none"/>
        </w:rPr>
      </w:pPr>
      <w:r>
        <w:rPr>
          <w:rFonts w:hint="eastAsia" w:ascii="宋体" w:hAnsi="宋体" w:cs="宋体"/>
          <w:snapToGrid w:val="0"/>
          <w:color w:val="auto"/>
          <w:sz w:val="24"/>
          <w:szCs w:val="24"/>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3A7A2D05">
      <w:pPr>
        <w:adjustRightInd w:val="0"/>
        <w:snapToGrid w:val="0"/>
        <w:spacing w:line="380" w:lineRule="exact"/>
        <w:rPr>
          <w:rFonts w:ascii="宋体" w:hAnsi="宋体" w:cs="宋体"/>
          <w:b/>
          <w:color w:val="auto"/>
          <w:sz w:val="24"/>
          <w:szCs w:val="24"/>
          <w:highlight w:val="none"/>
        </w:rPr>
      </w:pPr>
      <w:r>
        <w:rPr>
          <w:rFonts w:hint="eastAsia" w:ascii="宋体" w:hAnsi="宋体" w:cs="宋体"/>
          <w:b/>
          <w:snapToGrid w:val="0"/>
          <w:color w:val="auto"/>
          <w:sz w:val="24"/>
          <w:szCs w:val="24"/>
          <w:highlight w:val="none"/>
          <w:lang w:bidi="ar"/>
        </w:rPr>
        <w:t>第五条</w:t>
      </w:r>
      <w:r>
        <w:rPr>
          <w:rFonts w:hint="eastAsia" w:ascii="宋体" w:hAnsi="宋体" w:cs="宋体"/>
          <w:snapToGrid w:val="0"/>
          <w:color w:val="auto"/>
          <w:sz w:val="24"/>
          <w:szCs w:val="24"/>
          <w:highlight w:val="none"/>
          <w:lang w:bidi="ar"/>
        </w:rPr>
        <w:t>本廉政责任书作为合同的附件，与合同具有同等法律效力。经双方签署后立即生效。</w:t>
      </w:r>
    </w:p>
    <w:p w14:paraId="297A9333">
      <w:pPr>
        <w:adjustRightInd w:val="0"/>
        <w:snapToGrid w:val="0"/>
        <w:spacing w:line="380" w:lineRule="exact"/>
        <w:rPr>
          <w:rFonts w:ascii="宋体" w:hAnsi="宋体" w:cs="宋体"/>
          <w:b/>
          <w:color w:val="auto"/>
          <w:sz w:val="24"/>
          <w:szCs w:val="24"/>
          <w:highlight w:val="none"/>
        </w:rPr>
      </w:pPr>
      <w:r>
        <w:rPr>
          <w:rFonts w:hint="eastAsia" w:ascii="宋体" w:hAnsi="宋体" w:cs="宋体"/>
          <w:b/>
          <w:snapToGrid w:val="0"/>
          <w:color w:val="auto"/>
          <w:sz w:val="24"/>
          <w:szCs w:val="24"/>
          <w:highlight w:val="none"/>
          <w:lang w:bidi="ar"/>
        </w:rPr>
        <w:t>第六条</w:t>
      </w:r>
      <w:r>
        <w:rPr>
          <w:rFonts w:hint="eastAsia" w:ascii="宋体" w:hAnsi="宋体" w:cs="宋体"/>
          <w:snapToGrid w:val="0"/>
          <w:color w:val="auto"/>
          <w:sz w:val="24"/>
          <w:szCs w:val="24"/>
          <w:highlight w:val="none"/>
          <w:lang w:bidi="ar"/>
        </w:rPr>
        <w:t>本廉政责任书的有效期与合同的有效期相同。</w:t>
      </w:r>
    </w:p>
    <w:p w14:paraId="20C34A6D">
      <w:pPr>
        <w:adjustRightInd w:val="0"/>
        <w:snapToGrid w:val="0"/>
        <w:spacing w:line="380" w:lineRule="exact"/>
        <w:rPr>
          <w:rFonts w:ascii="宋体" w:hAnsi="宋体" w:cs="宋体"/>
          <w:bCs/>
          <w:color w:val="auto"/>
          <w:sz w:val="24"/>
          <w:szCs w:val="24"/>
          <w:highlight w:val="none"/>
          <w:lang w:bidi="ar"/>
        </w:rPr>
      </w:pPr>
      <w:r>
        <w:rPr>
          <w:rFonts w:hint="eastAsia" w:ascii="宋体" w:hAnsi="宋体" w:cs="宋体"/>
          <w:b/>
          <w:snapToGrid w:val="0"/>
          <w:color w:val="auto"/>
          <w:sz w:val="24"/>
          <w:szCs w:val="24"/>
          <w:highlight w:val="none"/>
          <w:lang w:bidi="ar"/>
        </w:rPr>
        <w:t>第七条</w:t>
      </w:r>
      <w:r>
        <w:rPr>
          <w:rFonts w:hint="eastAsia" w:ascii="宋体" w:hAnsi="宋体" w:cs="宋体"/>
          <w:snapToGrid w:val="0"/>
          <w:color w:val="auto"/>
          <w:sz w:val="24"/>
          <w:szCs w:val="24"/>
          <w:highlight w:val="none"/>
          <w:lang w:bidi="ar"/>
        </w:rPr>
        <w:t>本廉政责任书和合同份数一致</w:t>
      </w:r>
      <w:r>
        <w:rPr>
          <w:rFonts w:hint="eastAsia" w:ascii="宋体" w:hAnsi="宋体" w:cs="宋体"/>
          <w:bCs/>
          <w:color w:val="auto"/>
          <w:sz w:val="24"/>
          <w:szCs w:val="24"/>
          <w:highlight w:val="none"/>
          <w:lang w:bidi="ar"/>
        </w:rPr>
        <w:t>。</w:t>
      </w:r>
    </w:p>
    <w:p w14:paraId="1841559E">
      <w:pPr>
        <w:rPr>
          <w:rFonts w:ascii="宋体" w:hAnsi="宋体"/>
          <w:b/>
          <w:bCs/>
          <w:color w:val="auto"/>
          <w:sz w:val="32"/>
          <w:szCs w:val="32"/>
          <w:highlight w:val="none"/>
        </w:rPr>
      </w:pPr>
    </w:p>
    <w:p w14:paraId="25E6AB7F">
      <w:pPr>
        <w:adjustRightInd w:val="0"/>
        <w:snapToGrid w:val="0"/>
        <w:spacing w:line="380" w:lineRule="exact"/>
        <w:ind w:right="11"/>
        <w:rPr>
          <w:rFonts w:ascii="宋体" w:hAnsi="宋体" w:cs="宋体"/>
          <w:snapToGrid w:val="0"/>
          <w:color w:val="auto"/>
          <w:sz w:val="24"/>
          <w:szCs w:val="24"/>
          <w:highlight w:val="none"/>
        </w:rPr>
      </w:pPr>
    </w:p>
    <w:p w14:paraId="2B6F9D0F">
      <w:pPr>
        <w:rPr>
          <w:rFonts w:ascii="宋体" w:hAnsi="宋体"/>
          <w:b/>
          <w:bCs/>
          <w:color w:val="auto"/>
          <w:sz w:val="32"/>
          <w:szCs w:val="32"/>
          <w:highlight w:val="none"/>
        </w:rPr>
      </w:pPr>
    </w:p>
    <w:p w14:paraId="44D76B7C">
      <w:pPr>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 xml:space="preserve">甲方：                                 乙方（主）： </w:t>
      </w:r>
    </w:p>
    <w:p w14:paraId="482CA55D">
      <w:pPr>
        <w:autoSpaceDE w:val="0"/>
        <w:autoSpaceDN w:val="0"/>
        <w:adjustRightInd w:val="0"/>
        <w:snapToGrid w:val="0"/>
        <w:ind w:left="235" w:hanging="235" w:hangingChars="98"/>
        <w:jc w:val="left"/>
        <w:rPr>
          <w:rFonts w:ascii="宋体" w:hAnsi="宋体" w:cs="宋体"/>
          <w:color w:val="auto"/>
          <w:sz w:val="24"/>
          <w:szCs w:val="24"/>
          <w:highlight w:val="none"/>
        </w:rPr>
      </w:pPr>
      <w:r>
        <w:rPr>
          <w:rFonts w:hint="eastAsia" w:ascii="宋体" w:hAnsi="宋体" w:cs="宋体"/>
          <w:snapToGrid w:val="0"/>
          <w:color w:val="auto"/>
          <w:sz w:val="24"/>
          <w:szCs w:val="32"/>
          <w:highlight w:val="none"/>
          <w:lang w:val="en-US" w:eastAsia="zh-CN"/>
        </w:rPr>
        <w:t xml:space="preserve"> </w:t>
      </w:r>
      <w:r>
        <w:rPr>
          <w:rFonts w:hint="eastAsia" w:ascii="宋体" w:hAnsi="宋体" w:cs="宋体"/>
          <w:snapToGrid w:val="0"/>
          <w:color w:val="auto"/>
          <w:sz w:val="24"/>
          <w:szCs w:val="32"/>
          <w:highlight w:val="none"/>
        </w:rPr>
        <w:t xml:space="preserve">    </w:t>
      </w:r>
    </w:p>
    <w:p w14:paraId="1F751EE8">
      <w:pPr>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 xml:space="preserve">                </w:t>
      </w:r>
    </w:p>
    <w:p w14:paraId="3599D82A">
      <w:pPr>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法定代表人：                           法定代表人：</w:t>
      </w:r>
    </w:p>
    <w:p w14:paraId="7DD11C7C">
      <w:pPr>
        <w:tabs>
          <w:tab w:val="left" w:pos="5460"/>
        </w:tabs>
        <w:adjustRightInd w:val="0"/>
        <w:snapToGrid w:val="0"/>
        <w:spacing w:line="380" w:lineRule="exact"/>
        <w:ind w:right="11"/>
        <w:rPr>
          <w:rFonts w:ascii="宋体" w:hAnsi="宋体" w:cs="宋体"/>
          <w:snapToGrid w:val="0"/>
          <w:color w:val="auto"/>
          <w:sz w:val="24"/>
          <w:szCs w:val="32"/>
          <w:highlight w:val="none"/>
        </w:rPr>
      </w:pPr>
    </w:p>
    <w:p w14:paraId="6C2E3D8F">
      <w:pPr>
        <w:tabs>
          <w:tab w:val="left" w:pos="5460"/>
        </w:tabs>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委托代理人：                           委托代理人：</w:t>
      </w:r>
    </w:p>
    <w:p w14:paraId="7B52A456">
      <w:pPr>
        <w:adjustRightInd w:val="0"/>
        <w:snapToGrid w:val="0"/>
        <w:spacing w:line="380" w:lineRule="exact"/>
        <w:ind w:right="11"/>
        <w:rPr>
          <w:rFonts w:ascii="宋体" w:hAnsi="宋体" w:cs="宋体"/>
          <w:snapToGrid w:val="0"/>
          <w:color w:val="auto"/>
          <w:sz w:val="24"/>
          <w:szCs w:val="32"/>
          <w:highlight w:val="none"/>
        </w:rPr>
      </w:pPr>
    </w:p>
    <w:p w14:paraId="725E2B16">
      <w:pPr>
        <w:pStyle w:val="5"/>
        <w:rPr>
          <w:color w:val="auto"/>
          <w:highlight w:val="none"/>
        </w:rPr>
      </w:pPr>
    </w:p>
    <w:p w14:paraId="222B6831">
      <w:pPr>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 xml:space="preserve">乙方（成）： </w:t>
      </w:r>
    </w:p>
    <w:p w14:paraId="48F93242">
      <w:pPr>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 xml:space="preserve">                </w:t>
      </w:r>
    </w:p>
    <w:p w14:paraId="4F01D5B6">
      <w:pPr>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法定代表人：</w:t>
      </w:r>
    </w:p>
    <w:p w14:paraId="2F696E7A">
      <w:pPr>
        <w:tabs>
          <w:tab w:val="left" w:pos="5460"/>
        </w:tabs>
        <w:adjustRightInd w:val="0"/>
        <w:snapToGrid w:val="0"/>
        <w:spacing w:line="380" w:lineRule="exact"/>
        <w:ind w:right="11"/>
        <w:rPr>
          <w:rFonts w:ascii="宋体" w:hAnsi="宋体" w:cs="宋体"/>
          <w:snapToGrid w:val="0"/>
          <w:color w:val="auto"/>
          <w:sz w:val="24"/>
          <w:szCs w:val="32"/>
          <w:highlight w:val="none"/>
        </w:rPr>
      </w:pPr>
    </w:p>
    <w:p w14:paraId="3AF2951A">
      <w:pPr>
        <w:tabs>
          <w:tab w:val="left" w:pos="5460"/>
        </w:tabs>
        <w:adjustRightInd w:val="0"/>
        <w:snapToGrid w:val="0"/>
        <w:spacing w:line="380" w:lineRule="exact"/>
        <w:ind w:right="11"/>
        <w:rPr>
          <w:rFonts w:ascii="宋体" w:hAnsi="宋体" w:cs="宋体"/>
          <w:snapToGrid w:val="0"/>
          <w:color w:val="auto"/>
          <w:sz w:val="24"/>
          <w:szCs w:val="32"/>
          <w:highlight w:val="none"/>
        </w:rPr>
      </w:pPr>
      <w:r>
        <w:rPr>
          <w:rFonts w:hint="eastAsia" w:ascii="宋体" w:hAnsi="宋体" w:cs="宋体"/>
          <w:snapToGrid w:val="0"/>
          <w:color w:val="auto"/>
          <w:sz w:val="24"/>
          <w:szCs w:val="32"/>
          <w:highlight w:val="none"/>
        </w:rPr>
        <w:t>委托代理人：</w:t>
      </w:r>
    </w:p>
    <w:p w14:paraId="0D46C519">
      <w:pPr>
        <w:rPr>
          <w:color w:val="auto"/>
          <w:highlight w:val="none"/>
        </w:rPr>
      </w:pPr>
    </w:p>
    <w:p w14:paraId="07ABD19A">
      <w:pPr>
        <w:rPr>
          <w:rFonts w:hint="eastAsia"/>
          <w:color w:val="auto"/>
          <w:highlight w:val="none"/>
        </w:rPr>
      </w:pPr>
      <w:r>
        <w:rPr>
          <w:rFonts w:hint="eastAsia"/>
          <w:color w:val="auto"/>
          <w:highlight w:val="none"/>
        </w:rPr>
        <w:t xml:space="preserve">签约日期：    年   月   日      </w:t>
      </w:r>
    </w:p>
    <w:p w14:paraId="50658519">
      <w:pPr>
        <w:rPr>
          <w:rFonts w:hint="eastAsia"/>
          <w:color w:val="auto"/>
          <w:highlight w:val="none"/>
        </w:rPr>
      </w:pPr>
    </w:p>
    <w:p w14:paraId="15225B9D">
      <w:pPr>
        <w:rPr>
          <w:color w:val="auto"/>
          <w:highlight w:val="none"/>
        </w:rPr>
      </w:pPr>
      <w:r>
        <w:rPr>
          <w:rFonts w:hint="eastAsia"/>
          <w:color w:val="auto"/>
          <w:highlight w:val="none"/>
        </w:rPr>
        <w:t xml:space="preserve">签约地点：                      </w:t>
      </w:r>
    </w:p>
    <w:bookmarkEnd w:id="3"/>
    <w:sectPr>
      <w:pgSz w:w="11906" w:h="16838"/>
      <w:pgMar w:top="1240" w:right="1486" w:bottom="1318"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75FB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BA6D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99BA6D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7BF97"/>
    <w:multiLevelType w:val="singleLevel"/>
    <w:tmpl w:val="9007BF97"/>
    <w:lvl w:ilvl="0" w:tentative="0">
      <w:start w:val="3"/>
      <w:numFmt w:val="decimal"/>
      <w:suff w:val="nothing"/>
      <w:lvlText w:val="（%1）"/>
      <w:lvlJc w:val="left"/>
    </w:lvl>
  </w:abstractNum>
  <w:abstractNum w:abstractNumId="1">
    <w:nsid w:val="F644ECF1"/>
    <w:multiLevelType w:val="singleLevel"/>
    <w:tmpl w:val="F644ECF1"/>
    <w:lvl w:ilvl="0" w:tentative="0">
      <w:start w:val="1"/>
      <w:numFmt w:val="decimal"/>
      <w:suff w:val="nothing"/>
      <w:lvlText w:val="（%1）"/>
      <w:lvlJc w:val="left"/>
    </w:lvl>
  </w:abstractNum>
  <w:abstractNum w:abstractNumId="2">
    <w:nsid w:val="0000000A"/>
    <w:multiLevelType w:val="multilevel"/>
    <w:tmpl w:val="0000000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2JhNWNlMjAwNTI1ZTZhNmRhMDhhOTAzMzgwMzUifQ=="/>
  </w:docVars>
  <w:rsids>
    <w:rsidRoot w:val="5C874F78"/>
    <w:rsid w:val="00617B12"/>
    <w:rsid w:val="01B150A5"/>
    <w:rsid w:val="03014D0E"/>
    <w:rsid w:val="03E25113"/>
    <w:rsid w:val="07A02959"/>
    <w:rsid w:val="08BB56D6"/>
    <w:rsid w:val="0D9C49BC"/>
    <w:rsid w:val="10D07A52"/>
    <w:rsid w:val="116A6B7F"/>
    <w:rsid w:val="120525F6"/>
    <w:rsid w:val="130324BB"/>
    <w:rsid w:val="174340FA"/>
    <w:rsid w:val="185710E2"/>
    <w:rsid w:val="1A725422"/>
    <w:rsid w:val="1E422931"/>
    <w:rsid w:val="1EEC1DC8"/>
    <w:rsid w:val="223631D9"/>
    <w:rsid w:val="22D96530"/>
    <w:rsid w:val="2369138D"/>
    <w:rsid w:val="23F2657D"/>
    <w:rsid w:val="24311232"/>
    <w:rsid w:val="26394346"/>
    <w:rsid w:val="27645EEE"/>
    <w:rsid w:val="27DF1BE6"/>
    <w:rsid w:val="2AD22E02"/>
    <w:rsid w:val="2B7217DC"/>
    <w:rsid w:val="2B9954FB"/>
    <w:rsid w:val="2BC929C8"/>
    <w:rsid w:val="2DC45B3D"/>
    <w:rsid w:val="2DE41D3C"/>
    <w:rsid w:val="2FA902AB"/>
    <w:rsid w:val="331210F9"/>
    <w:rsid w:val="36C3270A"/>
    <w:rsid w:val="37822853"/>
    <w:rsid w:val="38950870"/>
    <w:rsid w:val="390414E4"/>
    <w:rsid w:val="39637B15"/>
    <w:rsid w:val="3A522CCF"/>
    <w:rsid w:val="3C521555"/>
    <w:rsid w:val="3CAD1E92"/>
    <w:rsid w:val="3D115F7D"/>
    <w:rsid w:val="3DF31846"/>
    <w:rsid w:val="40996F39"/>
    <w:rsid w:val="42024A2E"/>
    <w:rsid w:val="42B03AF6"/>
    <w:rsid w:val="47941C85"/>
    <w:rsid w:val="47CD234C"/>
    <w:rsid w:val="48E00EFA"/>
    <w:rsid w:val="4A83480C"/>
    <w:rsid w:val="4B2509CF"/>
    <w:rsid w:val="4B2772B4"/>
    <w:rsid w:val="4BD96800"/>
    <w:rsid w:val="4EC97B4E"/>
    <w:rsid w:val="4F190F29"/>
    <w:rsid w:val="4F416688"/>
    <w:rsid w:val="52DF6A37"/>
    <w:rsid w:val="54680ECA"/>
    <w:rsid w:val="54AB6860"/>
    <w:rsid w:val="556B5155"/>
    <w:rsid w:val="5686409D"/>
    <w:rsid w:val="56F34C36"/>
    <w:rsid w:val="57482141"/>
    <w:rsid w:val="57FB4276"/>
    <w:rsid w:val="58090325"/>
    <w:rsid w:val="58895004"/>
    <w:rsid w:val="5C142E3F"/>
    <w:rsid w:val="5C874F78"/>
    <w:rsid w:val="5F6B4F2A"/>
    <w:rsid w:val="5FA6729D"/>
    <w:rsid w:val="612F109C"/>
    <w:rsid w:val="63151F00"/>
    <w:rsid w:val="639F5E7B"/>
    <w:rsid w:val="64F34360"/>
    <w:rsid w:val="67C47998"/>
    <w:rsid w:val="68063BCA"/>
    <w:rsid w:val="6C3C2767"/>
    <w:rsid w:val="6D736D62"/>
    <w:rsid w:val="6D890389"/>
    <w:rsid w:val="6DC90523"/>
    <w:rsid w:val="72873C01"/>
    <w:rsid w:val="72C160EF"/>
    <w:rsid w:val="72CB03A1"/>
    <w:rsid w:val="72CB6001"/>
    <w:rsid w:val="732E5CC1"/>
    <w:rsid w:val="75EFCDBE"/>
    <w:rsid w:val="779C4FF7"/>
    <w:rsid w:val="77EF6606"/>
    <w:rsid w:val="786C1C45"/>
    <w:rsid w:val="79FB0EA3"/>
    <w:rsid w:val="7B8770DE"/>
    <w:rsid w:val="7CFDF05F"/>
    <w:rsid w:val="7E267090"/>
    <w:rsid w:val="7EBB0382"/>
    <w:rsid w:val="EFB7BC32"/>
    <w:rsid w:val="FB3E5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等线"/>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szCs w:val="24"/>
    </w:rPr>
  </w:style>
  <w:style w:type="paragraph" w:styleId="4">
    <w:name w:val="annotation text"/>
    <w:basedOn w:val="1"/>
    <w:qFormat/>
    <w:uiPriority w:val="0"/>
    <w:pPr>
      <w:jc w:val="left"/>
    </w:pPr>
  </w:style>
  <w:style w:type="paragraph" w:styleId="5">
    <w:name w:val="Body Text"/>
    <w:basedOn w:val="1"/>
    <w:unhideWhenUsed/>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0-正文"/>
    <w:basedOn w:val="1"/>
    <w:qFormat/>
    <w:uiPriority w:val="0"/>
    <w:pPr>
      <w:widowControl w:val="0"/>
      <w:adjustRightInd w:val="0"/>
      <w:snapToGrid w:val="0"/>
      <w:spacing w:line="360" w:lineRule="auto"/>
      <w:ind w:firstLine="560" w:firstLineChars="200"/>
      <w:jc w:val="both"/>
    </w:pPr>
    <w:rPr>
      <w:rFonts w:ascii="Cambria Math" w:hAnsi="Cambria Math" w:eastAsia="仿宋_GB2312"/>
      <w:color w:val="000000"/>
      <w:sz w:val="28"/>
      <w:szCs w:val="28"/>
    </w:rPr>
  </w:style>
  <w:style w:type="paragraph" w:customStyle="1" w:styleId="12">
    <w:name w:val="Body Text Indent"/>
    <w:basedOn w:val="1"/>
    <w:qFormat/>
    <w:uiPriority w:val="0"/>
    <w:pPr>
      <w:ind w:firstLine="480"/>
    </w:pPr>
    <w:rPr>
      <w:sz w:val="24"/>
      <w:szCs w:val="20"/>
    </w:rPr>
  </w:style>
  <w:style w:type="paragraph" w:customStyle="1" w:styleId="13">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4">
    <w:name w:val="Body Text Indent 3"/>
    <w:basedOn w:val="1"/>
    <w:qFormat/>
    <w:uiPriority w:val="0"/>
    <w:pPr>
      <w:snapToGrid w:val="0"/>
      <w:spacing w:line="360" w:lineRule="auto"/>
      <w:ind w:left="20" w:firstLine="529" w:firstLineChars="189"/>
    </w:pPr>
    <w:rPr>
      <w:rFonts w:ascii="仿宋_GB2312"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73469</Words>
  <Characters>76445</Characters>
  <Lines>0</Lines>
  <Paragraphs>0</Paragraphs>
  <TotalTime>1</TotalTime>
  <ScaleCrop>false</ScaleCrop>
  <LinksUpToDate>false</LinksUpToDate>
  <CharactersWithSpaces>79073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2023-11-14T07:36:00Z</dcterms:created>
  <dc:creator>Vanny</dc:creator>
  <cp:lastModifiedBy>柯家小子</cp:lastModifiedBy>
  <cp:lastPrinted>2024-01-03T09:39:00Z</cp:lastPrinted>
  <dcterms:modified xsi:type="dcterms:W3CDTF">2024-08-13T05:23:50Z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1887AA067415494AA243C91989F10C74_13</vt:lpwstr>
  </property>
</Properties>
</file>