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78EBC">
      <w:pPr>
        <w:spacing w:line="360" w:lineRule="auto"/>
        <w:rPr>
          <w:rFonts w:ascii="宋体" w:hAnsi="宋体" w:cs="宋体"/>
          <w:b/>
          <w:color w:val="auto"/>
          <w:kern w:val="0"/>
          <w:sz w:val="44"/>
          <w:szCs w:val="44"/>
          <w:highlight w:val="none"/>
        </w:rPr>
      </w:pPr>
    </w:p>
    <w:p w14:paraId="7588B737">
      <w:pPr>
        <w:pStyle w:val="3"/>
        <w:ind w:left="0" w:leftChars="0" w:firstLine="0" w:firstLineChars="0"/>
        <w:jc w:val="center"/>
        <w:rPr>
          <w:rFonts w:hint="eastAsia" w:ascii="宋体" w:hAnsi="宋体" w:cs="宋体"/>
          <w:b/>
          <w:bCs/>
          <w:color w:val="auto"/>
          <w:sz w:val="36"/>
          <w:szCs w:val="36"/>
          <w:highlight w:val="none"/>
          <w:lang w:eastAsia="zh-CN"/>
        </w:rPr>
      </w:pPr>
      <w:r>
        <w:rPr>
          <w:rFonts w:hint="eastAsia" w:ascii="宋体" w:hAnsi="宋体" w:cs="宋体"/>
          <w:b/>
          <w:bCs/>
          <w:color w:val="auto"/>
          <w:sz w:val="36"/>
          <w:szCs w:val="36"/>
          <w:highlight w:val="none"/>
          <w:lang w:eastAsia="zh-CN"/>
        </w:rPr>
        <w:t>广佛(佛冈)产业园应急救援设施建设项目</w:t>
      </w:r>
    </w:p>
    <w:p w14:paraId="41BA4ABD">
      <w:pPr>
        <w:pStyle w:val="3"/>
        <w:ind w:left="0" w:leftChars="0" w:firstLine="0" w:firstLineChars="0"/>
        <w:jc w:val="center"/>
        <w:rPr>
          <w:rFonts w:ascii="宋体" w:hAnsi="宋体"/>
          <w:color w:val="auto"/>
          <w:highlight w:val="none"/>
        </w:rPr>
      </w:pPr>
      <w:r>
        <w:rPr>
          <w:rFonts w:hint="eastAsia" w:ascii="宋体" w:hAnsi="宋体" w:cs="宋体"/>
          <w:b/>
          <w:bCs/>
          <w:color w:val="auto"/>
          <w:sz w:val="36"/>
          <w:szCs w:val="36"/>
          <w:highlight w:val="none"/>
          <w:lang w:eastAsia="zh-CN"/>
        </w:rPr>
        <w:t>勘察设计施工总承包（EPC）</w:t>
      </w:r>
    </w:p>
    <w:p w14:paraId="4F4516A4">
      <w:pPr>
        <w:pStyle w:val="3"/>
        <w:rPr>
          <w:rFonts w:ascii="宋体" w:hAnsi="宋体"/>
          <w:color w:val="auto"/>
          <w:highlight w:val="none"/>
        </w:rPr>
      </w:pPr>
    </w:p>
    <w:p w14:paraId="04612D95">
      <w:pPr>
        <w:pStyle w:val="3"/>
        <w:rPr>
          <w:rFonts w:ascii="宋体" w:hAnsi="宋体"/>
          <w:color w:val="auto"/>
          <w:highlight w:val="none"/>
        </w:rPr>
      </w:pPr>
    </w:p>
    <w:p w14:paraId="7D665501">
      <w:pPr>
        <w:pStyle w:val="3"/>
        <w:rPr>
          <w:rFonts w:ascii="宋体" w:hAnsi="宋体"/>
          <w:color w:val="auto"/>
          <w:highlight w:val="none"/>
        </w:rPr>
      </w:pPr>
    </w:p>
    <w:p w14:paraId="741CAB2D">
      <w:pPr>
        <w:pStyle w:val="3"/>
        <w:rPr>
          <w:rFonts w:ascii="宋体" w:hAnsi="宋体"/>
          <w:color w:val="auto"/>
          <w:highlight w:val="none"/>
        </w:rPr>
      </w:pPr>
    </w:p>
    <w:p w14:paraId="0E7E401D">
      <w:pPr>
        <w:spacing w:line="360" w:lineRule="auto"/>
        <w:jc w:val="center"/>
        <w:rPr>
          <w:rFonts w:ascii="宋体" w:hAnsi="宋体" w:cs="宋体"/>
          <w:color w:val="auto"/>
          <w:sz w:val="72"/>
          <w:szCs w:val="72"/>
          <w:highlight w:val="none"/>
        </w:rPr>
      </w:pPr>
    </w:p>
    <w:p w14:paraId="7E1F3FB3">
      <w:pPr>
        <w:spacing w:line="360" w:lineRule="auto"/>
        <w:jc w:val="center"/>
        <w:rPr>
          <w:rFonts w:ascii="宋体" w:hAnsi="宋体" w:cs="宋体"/>
          <w:color w:val="auto"/>
          <w:sz w:val="36"/>
          <w:szCs w:val="36"/>
          <w:highlight w:val="none"/>
        </w:rPr>
      </w:pPr>
    </w:p>
    <w:p w14:paraId="2A0CF001">
      <w:pPr>
        <w:spacing w:line="300" w:lineRule="auto"/>
        <w:jc w:val="center"/>
        <w:rPr>
          <w:rFonts w:ascii="宋体" w:hAnsi="宋体" w:cs="宋体"/>
          <w:b/>
          <w:bCs/>
          <w:color w:val="auto"/>
          <w:spacing w:val="26"/>
          <w:sz w:val="92"/>
          <w:szCs w:val="92"/>
          <w:highlight w:val="none"/>
        </w:rPr>
      </w:pPr>
      <w:r>
        <w:rPr>
          <w:rFonts w:hint="eastAsia" w:ascii="宋体" w:hAnsi="宋体" w:cs="宋体"/>
          <w:b/>
          <w:bCs/>
          <w:color w:val="auto"/>
          <w:spacing w:val="26"/>
          <w:sz w:val="92"/>
          <w:szCs w:val="92"/>
          <w:highlight w:val="none"/>
        </w:rPr>
        <w:t>招标公告</w:t>
      </w:r>
    </w:p>
    <w:p w14:paraId="463A57F5">
      <w:pPr>
        <w:spacing w:line="360" w:lineRule="auto"/>
        <w:jc w:val="center"/>
        <w:rPr>
          <w:rStyle w:val="21"/>
          <w:rFonts w:ascii="宋体" w:hAnsi="宋体" w:cs="宋体"/>
          <w:color w:val="auto"/>
          <w:sz w:val="48"/>
          <w:highlight w:val="none"/>
        </w:rPr>
      </w:pPr>
    </w:p>
    <w:p w14:paraId="746B29C0">
      <w:pPr>
        <w:spacing w:line="360" w:lineRule="auto"/>
        <w:jc w:val="center"/>
        <w:rPr>
          <w:rFonts w:ascii="宋体" w:hAnsi="宋体" w:cs="宋体"/>
          <w:color w:val="auto"/>
          <w:sz w:val="32"/>
          <w:szCs w:val="32"/>
          <w:highlight w:val="none"/>
        </w:rPr>
      </w:pPr>
    </w:p>
    <w:p w14:paraId="0C295713">
      <w:pPr>
        <w:spacing w:line="360" w:lineRule="auto"/>
        <w:jc w:val="center"/>
        <w:rPr>
          <w:rFonts w:ascii="宋体" w:hAnsi="宋体" w:cs="宋体"/>
          <w:color w:val="auto"/>
          <w:highlight w:val="none"/>
        </w:rPr>
      </w:pPr>
    </w:p>
    <w:p w14:paraId="110EEC30">
      <w:pPr>
        <w:spacing w:line="360" w:lineRule="auto"/>
        <w:rPr>
          <w:rFonts w:ascii="宋体" w:hAnsi="宋体" w:cs="宋体"/>
          <w:color w:val="auto"/>
          <w:highlight w:val="none"/>
        </w:rPr>
      </w:pPr>
    </w:p>
    <w:p w14:paraId="2B972F13">
      <w:pPr>
        <w:spacing w:line="360" w:lineRule="auto"/>
        <w:jc w:val="center"/>
        <w:rPr>
          <w:rFonts w:ascii="宋体" w:hAnsi="宋体" w:cs="宋体"/>
          <w:color w:val="auto"/>
          <w:highlight w:val="none"/>
        </w:rPr>
      </w:pPr>
    </w:p>
    <w:p w14:paraId="7B99E4F2">
      <w:pPr>
        <w:spacing w:line="360" w:lineRule="auto"/>
        <w:rPr>
          <w:rFonts w:ascii="宋体" w:hAnsi="宋体" w:cs="宋体"/>
          <w:color w:val="auto"/>
          <w:sz w:val="32"/>
          <w:szCs w:val="32"/>
          <w:highlight w:val="none"/>
        </w:rPr>
      </w:pPr>
    </w:p>
    <w:p w14:paraId="6B99B045">
      <w:pPr>
        <w:spacing w:line="360" w:lineRule="auto"/>
        <w:rPr>
          <w:rFonts w:ascii="宋体" w:hAnsi="宋体" w:cs="宋体"/>
          <w:color w:val="auto"/>
          <w:sz w:val="32"/>
          <w:szCs w:val="32"/>
          <w:highlight w:val="none"/>
        </w:rPr>
      </w:pPr>
    </w:p>
    <w:p w14:paraId="374F6086">
      <w:pPr>
        <w:spacing w:line="360" w:lineRule="auto"/>
        <w:ind w:left="0" w:leftChars="0" w:firstLine="840" w:firstLineChars="27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  标 单 位：</w:t>
      </w:r>
      <w:r>
        <w:rPr>
          <w:rFonts w:hint="eastAsia" w:ascii="宋体" w:hAnsi="宋体" w:cs="宋体"/>
          <w:b/>
          <w:color w:val="auto"/>
          <w:sz w:val="30"/>
          <w:szCs w:val="30"/>
          <w:highlight w:val="none"/>
          <w:u w:val="single"/>
          <w:lang w:eastAsia="zh-CN"/>
        </w:rPr>
        <w:t>广佛(佛冈)产业园高新投资开发有限公司</w:t>
      </w:r>
    </w:p>
    <w:p w14:paraId="5B3CDEF6">
      <w:pPr>
        <w:spacing w:line="360" w:lineRule="auto"/>
        <w:ind w:left="0" w:leftChars="0" w:firstLine="840" w:firstLineChars="279"/>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招标代理单位：</w:t>
      </w:r>
      <w:r>
        <w:rPr>
          <w:rFonts w:hint="eastAsia" w:ascii="宋体" w:hAnsi="宋体" w:cs="宋体"/>
          <w:b/>
          <w:color w:val="auto"/>
          <w:sz w:val="30"/>
          <w:szCs w:val="30"/>
          <w:highlight w:val="none"/>
          <w:u w:val="single"/>
          <w:lang w:eastAsia="zh-CN"/>
        </w:rPr>
        <w:t>广东</w:t>
      </w:r>
      <w:r>
        <w:rPr>
          <w:rFonts w:hint="eastAsia" w:ascii="宋体" w:hAnsi="宋体" w:cs="宋体"/>
          <w:b/>
          <w:color w:val="auto"/>
          <w:sz w:val="30"/>
          <w:szCs w:val="30"/>
          <w:highlight w:val="none"/>
          <w:u w:val="single"/>
          <w:lang w:val="en-US" w:eastAsia="zh-CN"/>
        </w:rPr>
        <w:t>源胜招标采购</w:t>
      </w:r>
      <w:r>
        <w:rPr>
          <w:rFonts w:hint="eastAsia" w:ascii="宋体" w:hAnsi="宋体" w:cs="宋体"/>
          <w:b/>
          <w:color w:val="auto"/>
          <w:sz w:val="30"/>
          <w:szCs w:val="30"/>
          <w:highlight w:val="none"/>
          <w:u w:val="single"/>
          <w:lang w:eastAsia="zh-CN"/>
        </w:rPr>
        <w:t>有限公司</w:t>
      </w:r>
    </w:p>
    <w:p w14:paraId="292423FC">
      <w:pPr>
        <w:spacing w:line="360" w:lineRule="auto"/>
        <w:ind w:left="0" w:leftChars="0" w:firstLine="840" w:firstLineChars="279"/>
        <w:rPr>
          <w:rFonts w:ascii="宋体" w:hAnsi="宋体" w:cs="宋体"/>
          <w:b/>
          <w:color w:val="auto"/>
          <w:sz w:val="30"/>
          <w:szCs w:val="30"/>
          <w:highlight w:val="none"/>
          <w:u w:val="single"/>
        </w:rPr>
      </w:pPr>
      <w:r>
        <w:rPr>
          <w:rFonts w:hint="eastAsia" w:ascii="宋体" w:hAnsi="宋体" w:cs="宋体"/>
          <w:b/>
          <w:color w:val="auto"/>
          <w:sz w:val="30"/>
          <w:szCs w:val="30"/>
          <w:highlight w:val="none"/>
        </w:rPr>
        <w:t>日        期：</w:t>
      </w:r>
      <w:r>
        <w:rPr>
          <w:rFonts w:hint="eastAsia" w:ascii="宋体" w:hAnsi="宋体" w:cs="宋体"/>
          <w:b/>
          <w:color w:val="auto"/>
          <w:sz w:val="30"/>
          <w:szCs w:val="30"/>
          <w:highlight w:val="none"/>
          <w:u w:val="single"/>
          <w:lang w:val="en-US" w:eastAsia="zh-CN"/>
        </w:rPr>
        <w:t>2024</w:t>
      </w:r>
      <w:r>
        <w:rPr>
          <w:rFonts w:hint="eastAsia" w:ascii="宋体" w:hAnsi="宋体" w:cs="宋体"/>
          <w:b/>
          <w:color w:val="auto"/>
          <w:sz w:val="30"/>
          <w:szCs w:val="30"/>
          <w:highlight w:val="none"/>
          <w:u w:val="single"/>
          <w:lang w:eastAsia="zh-CN"/>
        </w:rPr>
        <w:t>年</w:t>
      </w:r>
      <w:r>
        <w:rPr>
          <w:rFonts w:hint="eastAsia" w:ascii="宋体" w:hAnsi="宋体" w:cs="宋体"/>
          <w:b/>
          <w:color w:val="auto"/>
          <w:sz w:val="30"/>
          <w:szCs w:val="30"/>
          <w:highlight w:val="none"/>
          <w:u w:val="single"/>
          <w:lang w:val="en-US" w:eastAsia="zh-CN"/>
        </w:rPr>
        <w:t>8</w:t>
      </w:r>
      <w:r>
        <w:rPr>
          <w:rFonts w:hint="eastAsia" w:ascii="宋体" w:hAnsi="宋体" w:cs="宋体"/>
          <w:b/>
          <w:color w:val="auto"/>
          <w:sz w:val="30"/>
          <w:szCs w:val="30"/>
          <w:highlight w:val="none"/>
          <w:u w:val="single"/>
        </w:rPr>
        <w:t>月</w:t>
      </w:r>
    </w:p>
    <w:p w14:paraId="2A20A57C">
      <w:pPr>
        <w:spacing w:line="360" w:lineRule="auto"/>
        <w:jc w:val="center"/>
        <w:rPr>
          <w:rFonts w:ascii="宋体" w:hAnsi="宋体" w:cs="宋体"/>
          <w:b/>
          <w:bCs/>
          <w:color w:val="auto"/>
          <w:sz w:val="32"/>
          <w:szCs w:val="32"/>
          <w:highlight w:val="none"/>
        </w:rPr>
      </w:pPr>
    </w:p>
    <w:p w14:paraId="4251C711">
      <w:pPr>
        <w:adjustRightInd w:val="0"/>
        <w:spacing w:line="360" w:lineRule="auto"/>
        <w:jc w:val="center"/>
        <w:rPr>
          <w:rFonts w:hint="eastAsia" w:ascii="宋体" w:hAnsi="宋体" w:cs="黑体"/>
          <w:b/>
          <w:bCs/>
          <w:color w:val="auto"/>
          <w:sz w:val="32"/>
          <w:szCs w:val="32"/>
          <w:highlight w:val="none"/>
          <w:lang w:eastAsia="zh-CN"/>
        </w:rPr>
      </w:pPr>
      <w:r>
        <w:rPr>
          <w:rFonts w:hint="eastAsia" w:ascii="宋体" w:hAnsi="宋体" w:cs="黑体"/>
          <w:b/>
          <w:bCs/>
          <w:color w:val="auto"/>
          <w:sz w:val="32"/>
          <w:szCs w:val="32"/>
          <w:highlight w:val="none"/>
          <w:lang w:eastAsia="zh-CN"/>
        </w:rPr>
        <w:br w:type="page"/>
      </w:r>
      <w:r>
        <w:rPr>
          <w:rFonts w:hint="eastAsia" w:ascii="宋体" w:hAnsi="宋体" w:cs="黑体"/>
          <w:b/>
          <w:bCs/>
          <w:color w:val="auto"/>
          <w:sz w:val="32"/>
          <w:szCs w:val="32"/>
          <w:highlight w:val="none"/>
          <w:lang w:eastAsia="zh-CN"/>
        </w:rPr>
        <w:t>广佛(佛冈)产业园应急救援设施建设项目</w:t>
      </w:r>
    </w:p>
    <w:p w14:paraId="6E21E95F">
      <w:pPr>
        <w:adjustRightInd w:val="0"/>
        <w:spacing w:line="360" w:lineRule="auto"/>
        <w:jc w:val="center"/>
        <w:rPr>
          <w:rFonts w:ascii="宋体" w:hAnsi="宋体" w:cs="黑体"/>
          <w:b/>
          <w:bCs/>
          <w:color w:val="auto"/>
          <w:sz w:val="32"/>
          <w:szCs w:val="32"/>
          <w:highlight w:val="none"/>
        </w:rPr>
      </w:pPr>
      <w:r>
        <w:rPr>
          <w:rFonts w:hint="eastAsia" w:ascii="宋体" w:hAnsi="宋体" w:cs="黑体"/>
          <w:b/>
          <w:bCs/>
          <w:color w:val="auto"/>
          <w:sz w:val="32"/>
          <w:szCs w:val="32"/>
          <w:highlight w:val="none"/>
          <w:lang w:eastAsia="zh-CN"/>
        </w:rPr>
        <w:t>勘察设计施工总承包（EPC）</w:t>
      </w:r>
      <w:r>
        <w:rPr>
          <w:rFonts w:hint="eastAsia" w:ascii="宋体" w:hAnsi="宋体" w:cs="黑体"/>
          <w:b/>
          <w:bCs/>
          <w:color w:val="auto"/>
          <w:sz w:val="32"/>
          <w:szCs w:val="32"/>
          <w:highlight w:val="none"/>
        </w:rPr>
        <w:t>招标公告</w:t>
      </w:r>
    </w:p>
    <w:p w14:paraId="49ACBF2B">
      <w:pPr>
        <w:pStyle w:val="2"/>
        <w:keepNext w:val="0"/>
        <w:keepLines w:val="0"/>
        <w:pageBreakBefore w:val="0"/>
        <w:widowControl w:val="0"/>
        <w:kinsoku/>
        <w:wordWrap/>
        <w:overflowPunct/>
        <w:topLinePunct w:val="0"/>
        <w:autoSpaceDE/>
        <w:autoSpaceDN/>
        <w:bidi w:val="0"/>
        <w:adjustRightInd/>
        <w:snapToGrid/>
        <w:spacing w:before="313" w:beforeLines="100" w:after="0" w:line="360" w:lineRule="auto"/>
        <w:textAlignment w:val="auto"/>
        <w:rPr>
          <w:rFonts w:ascii="宋体" w:hAnsi="宋体" w:eastAsia="宋体"/>
          <w:color w:val="auto"/>
          <w:highlight w:val="none"/>
        </w:rPr>
      </w:pPr>
      <w:r>
        <w:rPr>
          <w:rFonts w:ascii="宋体" w:hAnsi="宋体" w:eastAsia="宋体"/>
          <w:color w:val="auto"/>
          <w:highlight w:val="none"/>
        </w:rPr>
        <w:t>1. 招标条件</w:t>
      </w:r>
    </w:p>
    <w:p w14:paraId="05389D02">
      <w:pPr>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广佛(佛冈)产业园应急救援设施建设项目</w:t>
      </w:r>
      <w:r>
        <w:rPr>
          <w:rFonts w:ascii="宋体" w:hAnsi="宋体"/>
          <w:color w:val="auto"/>
          <w:sz w:val="24"/>
          <w:highlight w:val="none"/>
        </w:rPr>
        <w:t>已由</w:t>
      </w:r>
      <w:r>
        <w:rPr>
          <w:rFonts w:hint="eastAsia" w:ascii="宋体" w:hAnsi="宋体" w:cs="宋体"/>
          <w:color w:val="auto"/>
          <w:sz w:val="24"/>
          <w:szCs w:val="24"/>
          <w:highlight w:val="none"/>
          <w:u w:val="single"/>
          <w:lang w:val="en-US" w:eastAsia="zh-CN"/>
        </w:rPr>
        <w:t>广清经济特别合作区广佛(佛冈)产业园经济发展局</w:t>
      </w:r>
      <w:r>
        <w:rPr>
          <w:rFonts w:ascii="宋体" w:hAnsi="宋体"/>
          <w:color w:val="auto"/>
          <w:sz w:val="24"/>
          <w:highlight w:val="none"/>
        </w:rPr>
        <w:t>以</w:t>
      </w:r>
      <w:r>
        <w:rPr>
          <w:rFonts w:hint="eastAsia" w:ascii="宋体" w:hAnsi="宋体" w:cs="宋体"/>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关于审批广佛（佛冈）产业园应急救援设施建设项目可行性研究报告的批复</w:t>
      </w:r>
      <w:r>
        <w:rPr>
          <w:rFonts w:hint="eastAsia" w:ascii="宋体" w:hAnsi="宋体" w:cs="宋体"/>
          <w:color w:val="auto"/>
          <w:sz w:val="24"/>
          <w:szCs w:val="24"/>
          <w:highlight w:val="none"/>
          <w:u w:val="single"/>
        </w:rPr>
        <w:t>》（</w:t>
      </w:r>
      <w:r>
        <w:rPr>
          <w:rFonts w:hint="eastAsia" w:ascii="宋体" w:hAnsi="宋体" w:cs="宋体"/>
          <w:sz w:val="24"/>
          <w:u w:val="single"/>
        </w:rPr>
        <w:t>广佛经发投审</w:t>
      </w:r>
      <w:r>
        <w:rPr>
          <w:rFonts w:hint="eastAsia" w:ascii="宋体" w:hAnsi="宋体" w:cs="宋体"/>
          <w:sz w:val="24"/>
          <w:u w:val="single"/>
          <w:lang w:val="en-US" w:eastAsia="zh-CN"/>
        </w:rPr>
        <w:t>[</w:t>
      </w:r>
      <w:r>
        <w:rPr>
          <w:rFonts w:hint="eastAsia" w:ascii="宋体" w:hAnsi="宋体" w:cs="宋体"/>
          <w:sz w:val="24"/>
          <w:u w:val="single"/>
        </w:rPr>
        <w:t>2024</w:t>
      </w:r>
      <w:r>
        <w:rPr>
          <w:rFonts w:hint="eastAsia" w:ascii="宋体" w:hAnsi="宋体" w:cs="宋体"/>
          <w:sz w:val="24"/>
          <w:u w:val="single"/>
          <w:lang w:val="en-US" w:eastAsia="zh-CN"/>
        </w:rPr>
        <w:t>]</w:t>
      </w:r>
      <w:r>
        <w:rPr>
          <w:rFonts w:hint="eastAsia" w:ascii="宋体" w:hAnsi="宋体" w:cs="宋体"/>
          <w:sz w:val="24"/>
          <w:u w:val="single"/>
        </w:rPr>
        <w:t>4号</w:t>
      </w:r>
      <w:r>
        <w:rPr>
          <w:rFonts w:hint="eastAsia" w:ascii="宋体" w:hAnsi="宋体" w:cs="宋体"/>
          <w:color w:val="auto"/>
          <w:sz w:val="24"/>
          <w:szCs w:val="24"/>
          <w:highlight w:val="none"/>
          <w:u w:val="single"/>
        </w:rPr>
        <w:t>）</w:t>
      </w:r>
      <w:r>
        <w:rPr>
          <w:rFonts w:ascii="宋体" w:hAnsi="宋体"/>
          <w:color w:val="auto"/>
          <w:sz w:val="24"/>
          <w:highlight w:val="none"/>
        </w:rPr>
        <w:t>批准建设，招标人为</w:t>
      </w:r>
      <w:r>
        <w:rPr>
          <w:rFonts w:hint="eastAsia" w:ascii="宋体" w:hAnsi="宋体"/>
          <w:color w:val="auto"/>
          <w:sz w:val="24"/>
          <w:highlight w:val="none"/>
          <w:u w:val="single"/>
          <w:lang w:eastAsia="zh-CN"/>
        </w:rPr>
        <w:t>广佛(佛冈)产业园高新投资开发有限公司，</w:t>
      </w:r>
      <w:r>
        <w:rPr>
          <w:rFonts w:ascii="宋体" w:hAnsi="宋体"/>
          <w:color w:val="auto"/>
          <w:sz w:val="24"/>
          <w:highlight w:val="none"/>
        </w:rPr>
        <w:t>建设资金来自</w:t>
      </w:r>
      <w:r>
        <w:rPr>
          <w:rFonts w:hint="eastAsia" w:ascii="宋体" w:hAnsi="宋体"/>
          <w:color w:val="auto"/>
          <w:sz w:val="24"/>
          <w:highlight w:val="none"/>
          <w:lang w:val="en-US" w:eastAsia="zh-CN"/>
        </w:rPr>
        <w:t>园区</w:t>
      </w:r>
      <w:r>
        <w:rPr>
          <w:rFonts w:hint="eastAsia" w:ascii="宋体" w:hAnsi="宋体" w:cs="宋体"/>
          <w:color w:val="auto"/>
          <w:sz w:val="24"/>
          <w:szCs w:val="24"/>
          <w:highlight w:val="none"/>
          <w:u w:val="single"/>
        </w:rPr>
        <w:t>财政资金</w:t>
      </w:r>
      <w:r>
        <w:rPr>
          <w:rFonts w:ascii="宋体" w:hAnsi="宋体"/>
          <w:color w:val="auto"/>
          <w:sz w:val="24"/>
          <w:highlight w:val="none"/>
        </w:rPr>
        <w:t>，项目出资比例</w:t>
      </w:r>
      <w:r>
        <w:rPr>
          <w:rFonts w:hint="eastAsia" w:ascii="宋体" w:hAnsi="宋体"/>
          <w:color w:val="auto"/>
          <w:sz w:val="24"/>
          <w:highlight w:val="none"/>
          <w:u w:val="single"/>
        </w:rPr>
        <w:t>100%</w:t>
      </w:r>
      <w:r>
        <w:rPr>
          <w:rFonts w:ascii="宋体" w:hAnsi="宋体"/>
          <w:color w:val="auto"/>
          <w:sz w:val="24"/>
          <w:highlight w:val="none"/>
        </w:rPr>
        <w:t>。本项目已具备招标条件，</w:t>
      </w:r>
      <w:r>
        <w:rPr>
          <w:rFonts w:ascii="宋体" w:hAnsi="宋体" w:cs="宋体"/>
          <w:color w:val="auto"/>
          <w:sz w:val="24"/>
          <w:szCs w:val="24"/>
          <w:highlight w:val="none"/>
        </w:rPr>
        <w:t>现对该项目的</w:t>
      </w:r>
      <w:r>
        <w:rPr>
          <w:rFonts w:ascii="宋体" w:hAnsi="宋体" w:cs="宋体"/>
          <w:color w:val="auto"/>
          <w:sz w:val="24"/>
          <w:szCs w:val="24"/>
          <w:highlight w:val="none"/>
          <w:u w:val="single"/>
        </w:rPr>
        <w:t>勘察设计施工总承包</w:t>
      </w:r>
      <w:r>
        <w:rPr>
          <w:rFonts w:ascii="宋体" w:hAnsi="宋体" w:cs="宋体"/>
          <w:color w:val="auto"/>
          <w:sz w:val="24"/>
          <w:szCs w:val="24"/>
          <w:highlight w:val="none"/>
        </w:rPr>
        <w:t>进行公开招标。</w:t>
      </w:r>
    </w:p>
    <w:p w14:paraId="0F96BA25">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2. 项目概况与招标范围</w:t>
      </w:r>
    </w:p>
    <w:p w14:paraId="0400CE4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2.1</w:t>
      </w:r>
      <w:r>
        <w:rPr>
          <w:rFonts w:hint="eastAsia" w:ascii="宋体" w:hAnsi="宋体"/>
          <w:color w:val="auto"/>
          <w:sz w:val="24"/>
          <w:szCs w:val="24"/>
          <w:highlight w:val="none"/>
        </w:rPr>
        <w:t>招标项目名称：</w:t>
      </w:r>
      <w:r>
        <w:rPr>
          <w:rFonts w:hint="eastAsia" w:ascii="宋体" w:hAnsi="宋体"/>
          <w:color w:val="auto"/>
          <w:sz w:val="24"/>
          <w:szCs w:val="24"/>
          <w:highlight w:val="none"/>
          <w:u w:val="single"/>
          <w:lang w:eastAsia="zh-CN"/>
        </w:rPr>
        <w:t>广佛(佛冈)产业园应急救援设施建设项目勘察设计施工总承包（EPC）</w:t>
      </w:r>
    </w:p>
    <w:p w14:paraId="4EA03B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2.2工程建设地点：</w:t>
      </w:r>
      <w:r>
        <w:rPr>
          <w:rFonts w:hint="eastAsia" w:ascii="宋体" w:hAnsi="宋体"/>
          <w:color w:val="auto"/>
          <w:sz w:val="24"/>
          <w:szCs w:val="24"/>
          <w:highlight w:val="none"/>
          <w:u w:val="single"/>
        </w:rPr>
        <w:t>清远市佛冈县南部汤塘镇广佛(佛冈)产业园内</w:t>
      </w:r>
      <w:r>
        <w:rPr>
          <w:rFonts w:hint="eastAsia" w:ascii="宋体" w:hAnsi="宋体" w:cs="宋体"/>
          <w:color w:val="auto"/>
          <w:sz w:val="24"/>
          <w:szCs w:val="24"/>
          <w:highlight w:val="none"/>
          <w:u w:val="single"/>
        </w:rPr>
        <w:t>。</w:t>
      </w:r>
    </w:p>
    <w:p w14:paraId="0DCB26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Cs/>
          <w:color w:val="auto"/>
          <w:sz w:val="24"/>
          <w:szCs w:val="24"/>
          <w:highlight w:val="none"/>
          <w:u w:val="single"/>
          <w:lang w:eastAsia="zh-CN"/>
        </w:rPr>
      </w:pPr>
      <w:r>
        <w:rPr>
          <w:rFonts w:hint="eastAsia" w:ascii="宋体" w:hAnsi="宋体"/>
          <w:color w:val="auto"/>
          <w:sz w:val="24"/>
          <w:szCs w:val="24"/>
          <w:highlight w:val="none"/>
        </w:rPr>
        <w:t>2.3工程建设规模：</w:t>
      </w:r>
      <w:r>
        <w:rPr>
          <w:rFonts w:hint="eastAsia" w:ascii="宋体" w:hAnsi="宋体" w:eastAsia="宋体" w:cs="宋体"/>
          <w:sz w:val="24"/>
          <w:szCs w:val="24"/>
          <w:u w:val="single"/>
        </w:rPr>
        <w:t>本项目场地内设计综合楼、训练塔以及岗亭。消防站场地有:室外训练场、道路、绿地、训练塔、停车位、岗亭。消防站建筑包括:业务用房、业务附属用房</w:t>
      </w:r>
      <w:r>
        <w:rPr>
          <w:rFonts w:hint="eastAsia" w:ascii="宋体" w:hAnsi="宋体" w:cs="宋体"/>
          <w:sz w:val="24"/>
          <w:szCs w:val="24"/>
          <w:u w:val="single"/>
          <w:lang w:eastAsia="zh-CN"/>
        </w:rPr>
        <w:t>、</w:t>
      </w:r>
      <w:r>
        <w:rPr>
          <w:rFonts w:hint="eastAsia" w:ascii="宋体" w:hAnsi="宋体" w:eastAsia="宋体" w:cs="宋体"/>
          <w:sz w:val="24"/>
          <w:szCs w:val="24"/>
          <w:u w:val="single"/>
        </w:rPr>
        <w:t>辅助用房</w:t>
      </w:r>
      <w:r>
        <w:rPr>
          <w:rFonts w:hint="eastAsia" w:ascii="宋体" w:hAnsi="宋体" w:cs="宋体"/>
          <w:sz w:val="24"/>
          <w:szCs w:val="24"/>
          <w:u w:val="single"/>
          <w:lang w:val="en-US" w:eastAsia="zh-CN"/>
        </w:rPr>
        <w:t>及设备采购</w:t>
      </w:r>
      <w:r>
        <w:rPr>
          <w:rFonts w:hint="eastAsia" w:ascii="宋体" w:hAnsi="宋体" w:eastAsia="宋体" w:cs="宋体"/>
          <w:sz w:val="24"/>
          <w:szCs w:val="24"/>
          <w:u w:val="single"/>
        </w:rPr>
        <w:t>。项目总用地面积 5452.45 m</w:t>
      </w:r>
      <w:r>
        <w:rPr>
          <w:rFonts w:hint="eastAsia" w:ascii="宋体" w:hAnsi="宋体" w:eastAsia="宋体" w:cs="宋体"/>
          <w:sz w:val="24"/>
          <w:szCs w:val="24"/>
          <w:u w:val="single"/>
          <w:vertAlign w:val="superscript"/>
          <w:lang w:val="en-US" w:eastAsia="zh-CN"/>
        </w:rPr>
        <w:t>2</w:t>
      </w:r>
      <w:r>
        <w:rPr>
          <w:rFonts w:hint="eastAsia" w:ascii="宋体" w:hAnsi="宋体" w:eastAsia="宋体" w:cs="宋体"/>
          <w:sz w:val="24"/>
          <w:szCs w:val="24"/>
          <w:u w:val="single"/>
        </w:rPr>
        <w:t>，总建筑面积为 3300 m</w:t>
      </w:r>
      <w:r>
        <w:rPr>
          <w:rFonts w:hint="eastAsia" w:ascii="宋体" w:hAnsi="宋体" w:eastAsia="宋体" w:cs="宋体"/>
          <w:sz w:val="24"/>
          <w:szCs w:val="24"/>
          <w:u w:val="single"/>
          <w:vertAlign w:val="superscript"/>
          <w:lang w:val="en-US" w:eastAsia="zh-CN"/>
        </w:rPr>
        <w:t>2</w:t>
      </w:r>
      <w:r>
        <w:rPr>
          <w:rFonts w:hint="eastAsia" w:ascii="宋体" w:hAnsi="宋体" w:eastAsia="宋体" w:cs="宋体"/>
          <w:sz w:val="24"/>
          <w:szCs w:val="24"/>
          <w:u w:val="single"/>
        </w:rPr>
        <w:t>(包括综合楼和训练塔)。</w:t>
      </w:r>
      <w:r>
        <w:rPr>
          <w:rFonts w:ascii="宋体" w:hAnsi="宋体" w:eastAsia="宋体" w:cs="宋体"/>
          <w:sz w:val="24"/>
          <w:szCs w:val="24"/>
          <w:u w:val="single"/>
        </w:rPr>
        <w:t>（</w:t>
      </w:r>
      <w:r>
        <w:rPr>
          <w:rFonts w:hint="eastAsia" w:ascii="宋体" w:hAnsi="宋体" w:eastAsia="宋体" w:cs="宋体"/>
          <w:sz w:val="24"/>
          <w:szCs w:val="24"/>
          <w:u w:val="single"/>
        </w:rPr>
        <w:t>最终建设规模以</w:t>
      </w:r>
      <w:r>
        <w:rPr>
          <w:rFonts w:hint="eastAsia" w:ascii="宋体" w:hAnsi="宋体" w:cs="宋体"/>
          <w:sz w:val="24"/>
          <w:szCs w:val="24"/>
          <w:u w:val="single"/>
          <w:lang w:val="en-US" w:eastAsia="zh-CN"/>
        </w:rPr>
        <w:t>园区规划及建设</w:t>
      </w:r>
      <w:r>
        <w:rPr>
          <w:rFonts w:hint="eastAsia" w:ascii="宋体" w:hAnsi="宋体" w:eastAsia="宋体" w:cs="宋体"/>
          <w:sz w:val="24"/>
          <w:szCs w:val="24"/>
          <w:u w:val="single"/>
        </w:rPr>
        <w:t>主管部门批复确认为准。</w:t>
      </w:r>
      <w:r>
        <w:rPr>
          <w:rFonts w:ascii="宋体" w:hAnsi="宋体" w:eastAsia="宋体" w:cs="宋体"/>
          <w:sz w:val="24"/>
          <w:szCs w:val="24"/>
          <w:u w:val="single"/>
        </w:rPr>
        <w:t>）</w:t>
      </w:r>
    </w:p>
    <w:p w14:paraId="2FDB0FA6">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2.4本项目</w:t>
      </w:r>
      <w:r>
        <w:rPr>
          <w:rFonts w:hint="eastAsia" w:ascii="宋体" w:hAnsi="宋体" w:eastAsia="宋体"/>
          <w:color w:val="auto"/>
          <w:sz w:val="24"/>
          <w:szCs w:val="24"/>
          <w:highlight w:val="none"/>
          <w:lang w:eastAsia="zh-CN"/>
        </w:rPr>
        <w:t>最高投标限价为</w:t>
      </w:r>
      <w:r>
        <w:rPr>
          <w:rFonts w:hint="eastAsia" w:ascii="宋体" w:hAnsi="宋体" w:eastAsia="宋体" w:cs="Times New Roman"/>
          <w:color w:val="auto"/>
          <w:sz w:val="24"/>
          <w:szCs w:val="24"/>
          <w:highlight w:val="none"/>
          <w:u w:val="single"/>
          <w:lang w:val="en-US" w:eastAsia="zh-CN"/>
        </w:rPr>
        <w:t>2807.1</w:t>
      </w:r>
      <w:r>
        <w:rPr>
          <w:rFonts w:hint="eastAsia" w:ascii="宋体" w:hAnsi="宋体" w:cs="Times New Roman"/>
          <w:color w:val="auto"/>
          <w:sz w:val="24"/>
          <w:szCs w:val="24"/>
          <w:highlight w:val="none"/>
          <w:u w:val="single"/>
          <w:lang w:val="en-US" w:eastAsia="zh-CN"/>
        </w:rPr>
        <w:t>1</w:t>
      </w:r>
      <w:r>
        <w:rPr>
          <w:rFonts w:hint="eastAsia" w:ascii="宋体" w:hAnsi="宋体" w:eastAsia="宋体" w:cs="Times New Roman"/>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万元（其中：勘察费最高投标限价为</w:t>
      </w:r>
      <w:r>
        <w:rPr>
          <w:rFonts w:hint="eastAsia" w:ascii="宋体" w:hAnsi="宋体" w:eastAsia="宋体"/>
          <w:color w:val="auto"/>
          <w:sz w:val="24"/>
          <w:szCs w:val="24"/>
          <w:highlight w:val="none"/>
          <w:u w:val="single"/>
          <w:lang w:eastAsia="zh-CN"/>
        </w:rPr>
        <w:t xml:space="preserve"> 28.46 </w:t>
      </w:r>
      <w:r>
        <w:rPr>
          <w:rFonts w:hint="eastAsia" w:ascii="宋体" w:hAnsi="宋体" w:eastAsia="宋体"/>
          <w:color w:val="auto"/>
          <w:sz w:val="24"/>
          <w:szCs w:val="24"/>
          <w:highlight w:val="none"/>
          <w:lang w:eastAsia="zh-CN"/>
        </w:rPr>
        <w:t>万元，设计费最高投标限价为</w:t>
      </w:r>
      <w:r>
        <w:rPr>
          <w:rFonts w:hint="eastAsia" w:ascii="宋体" w:hAnsi="宋体" w:eastAsia="宋体" w:cs="Times New Roman"/>
          <w:color w:val="auto"/>
          <w:sz w:val="24"/>
          <w:szCs w:val="24"/>
          <w:highlight w:val="none"/>
          <w:u w:val="single"/>
          <w:lang w:val="en-US" w:eastAsia="zh-CN"/>
        </w:rPr>
        <w:t xml:space="preserve"> 75.3</w:t>
      </w:r>
      <w:r>
        <w:rPr>
          <w:rFonts w:hint="eastAsia" w:ascii="宋体" w:hAnsi="宋体" w:cs="Times New Roman"/>
          <w:color w:val="auto"/>
          <w:sz w:val="24"/>
          <w:szCs w:val="24"/>
          <w:highlight w:val="none"/>
          <w:u w:val="single"/>
          <w:lang w:val="en-US" w:eastAsia="zh-CN"/>
        </w:rPr>
        <w:t>2</w:t>
      </w:r>
      <w:r>
        <w:rPr>
          <w:rFonts w:hint="eastAsia" w:ascii="宋体" w:hAnsi="宋体" w:eastAsia="宋体"/>
          <w:color w:val="auto"/>
          <w:sz w:val="24"/>
          <w:szCs w:val="24"/>
          <w:highlight w:val="none"/>
          <w:lang w:eastAsia="zh-CN"/>
        </w:rPr>
        <w:t>万元，</w:t>
      </w:r>
      <w:r>
        <w:rPr>
          <w:rFonts w:hint="eastAsia" w:ascii="宋体" w:hAnsi="宋体"/>
          <w:color w:val="auto"/>
          <w:sz w:val="24"/>
          <w:szCs w:val="24"/>
          <w:highlight w:val="none"/>
        </w:rPr>
        <w:t>建安工程费最高投标限价</w:t>
      </w:r>
      <w:r>
        <w:rPr>
          <w:rFonts w:hint="eastAsia" w:ascii="宋体" w:hAnsi="宋体" w:eastAsia="宋体"/>
          <w:color w:val="auto"/>
          <w:sz w:val="24"/>
          <w:szCs w:val="24"/>
          <w:highlight w:val="none"/>
          <w:lang w:eastAsia="zh-CN"/>
        </w:rPr>
        <w:t>为人民币</w:t>
      </w:r>
      <w:r>
        <w:rPr>
          <w:rFonts w:hint="eastAsia" w:ascii="宋体" w:hAnsi="宋体" w:eastAsia="宋体"/>
          <w:color w:val="auto"/>
          <w:sz w:val="24"/>
          <w:szCs w:val="24"/>
          <w:highlight w:val="none"/>
          <w:u w:val="single"/>
          <w:lang w:eastAsia="zh-CN"/>
        </w:rPr>
        <w:t xml:space="preserve"> </w:t>
      </w:r>
      <w:r>
        <w:rPr>
          <w:rFonts w:hint="eastAsia" w:ascii="宋体" w:hAnsi="宋体" w:eastAsia="宋体" w:cs="Times New Roman"/>
          <w:color w:val="auto"/>
          <w:sz w:val="24"/>
          <w:szCs w:val="24"/>
          <w:highlight w:val="none"/>
          <w:u w:val="single"/>
          <w:lang w:val="en-US" w:eastAsia="zh-CN"/>
        </w:rPr>
        <w:t>2703.33</w:t>
      </w:r>
      <w:r>
        <w:rPr>
          <w:rFonts w:hint="eastAsia" w:ascii="宋体" w:hAnsi="宋体" w:eastAsia="宋体" w:cs="Times New Roman"/>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万元）。</w:t>
      </w:r>
    </w:p>
    <w:p w14:paraId="7955593A">
      <w:pPr>
        <w:spacing w:line="360" w:lineRule="auto"/>
        <w:ind w:firstLine="480" w:firstLineChars="200"/>
        <w:rPr>
          <w:rFonts w:ascii="宋体" w:hAnsi="宋体"/>
          <w:color w:val="auto"/>
          <w:sz w:val="24"/>
          <w:highlight w:val="none"/>
          <w:u w:val="single"/>
        </w:rPr>
      </w:pPr>
      <w:r>
        <w:rPr>
          <w:rFonts w:hint="eastAsia" w:ascii="宋体" w:hAnsi="宋体"/>
          <w:color w:val="auto"/>
          <w:sz w:val="24"/>
          <w:szCs w:val="24"/>
          <w:highlight w:val="none"/>
        </w:rPr>
        <w:t>2.5</w:t>
      </w:r>
      <w:r>
        <w:rPr>
          <w:rFonts w:hint="eastAsia" w:ascii="宋体" w:hAnsi="宋体" w:cs="宋体"/>
          <w:color w:val="auto"/>
          <w:sz w:val="24"/>
          <w:szCs w:val="24"/>
          <w:highlight w:val="none"/>
        </w:rPr>
        <w:t>计划工期：</w:t>
      </w:r>
      <w:r>
        <w:rPr>
          <w:rFonts w:hint="eastAsia" w:ascii="宋体" w:hAnsi="宋体"/>
          <w:color w:val="auto"/>
          <w:sz w:val="24"/>
          <w:highlight w:val="none"/>
          <w:u w:val="single"/>
        </w:rPr>
        <w:t>总工期：</w:t>
      </w:r>
      <w:r>
        <w:rPr>
          <w:rFonts w:hint="eastAsia" w:ascii="宋体" w:hAnsi="宋体" w:cs="宋体"/>
          <w:sz w:val="24"/>
          <w:highlight w:val="none"/>
          <w:u w:val="single"/>
          <w:lang w:val="en-US" w:eastAsia="zh-CN"/>
        </w:rPr>
        <w:t>【730】日历天</w:t>
      </w:r>
      <w:r>
        <w:rPr>
          <w:rFonts w:hint="eastAsia" w:ascii="宋体" w:hAnsi="宋体" w:cs="宋体"/>
          <w:sz w:val="24"/>
          <w:highlight w:val="none"/>
          <w:u w:val="single"/>
          <w:lang w:eastAsia="zh-CN"/>
        </w:rPr>
        <w:t>，</w:t>
      </w:r>
      <w:r>
        <w:rPr>
          <w:rFonts w:hint="eastAsia" w:ascii="宋体" w:hAnsi="宋体" w:cs="宋体"/>
          <w:sz w:val="24"/>
          <w:highlight w:val="none"/>
          <w:u w:val="single"/>
          <w:lang w:val="en-US" w:eastAsia="zh-CN"/>
        </w:rPr>
        <w:t>其中勘察设计工期【30】日历天，施工工期【700】日历天</w:t>
      </w:r>
      <w:r>
        <w:rPr>
          <w:rFonts w:hint="eastAsia" w:ascii="宋体" w:hAnsi="宋体" w:cs="宋体"/>
          <w:sz w:val="24"/>
          <w:highlight w:val="none"/>
          <w:u w:val="single"/>
        </w:rPr>
        <w:t>（具体以合同约定为准）</w:t>
      </w:r>
      <w:r>
        <w:rPr>
          <w:rFonts w:hint="eastAsia" w:ascii="宋体" w:hAnsi="宋体"/>
          <w:color w:val="auto"/>
          <w:sz w:val="24"/>
          <w:highlight w:val="none"/>
          <w:u w:val="single"/>
        </w:rPr>
        <w:t>。总工期包含勘察设计各阶段（岩土工程勘察、工程测量、水文地质勘察工作、方案设计及修改、初步设计阶段、施工图设计阶段以及各阶段的相关报批审查时间等）和施工阶段（施工实施建设阶段、竣工验收、资料编制归档、交付使用手续办理等以及各阶段的相关报批、报建、检验、审查、备案等时间）。</w:t>
      </w:r>
    </w:p>
    <w:p w14:paraId="52443C99">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注：具体以招标人实际要求通知为准。</w:t>
      </w:r>
    </w:p>
    <w:p w14:paraId="21E07C8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质量标准</w:t>
      </w:r>
    </w:p>
    <w:p w14:paraId="7B05541C">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6</w:t>
      </w:r>
      <w:r>
        <w:rPr>
          <w:rFonts w:hint="eastAsia" w:ascii="宋体" w:hAnsi="宋体"/>
          <w:color w:val="auto"/>
          <w:sz w:val="24"/>
          <w:szCs w:val="24"/>
          <w:highlight w:val="none"/>
        </w:rPr>
        <w:t>.1勘察设计质量标准：</w:t>
      </w:r>
      <w:r>
        <w:rPr>
          <w:rFonts w:hint="eastAsia" w:ascii="宋体" w:hAnsi="宋体"/>
          <w:color w:val="auto"/>
          <w:sz w:val="24"/>
          <w:szCs w:val="24"/>
          <w:highlight w:val="none"/>
          <w:u w:val="single"/>
        </w:rPr>
        <w:t>符合《建设工程质量管理条例》及《建设工程勘察设计管理条例》等国家及地方有关工程设计管理法规和规章，达到《</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工程设计文件编制深度规定》（2016年版）深度及</w:t>
      </w:r>
      <w:r>
        <w:rPr>
          <w:rFonts w:hint="eastAsia" w:ascii="宋体" w:hAnsi="宋体"/>
          <w:color w:val="auto"/>
          <w:sz w:val="24"/>
          <w:szCs w:val="24"/>
          <w:highlight w:val="none"/>
          <w:u w:val="single"/>
          <w:lang w:val="en-US" w:eastAsia="zh-CN"/>
        </w:rPr>
        <w:t>国家、地方及</w:t>
      </w:r>
      <w:r>
        <w:rPr>
          <w:rFonts w:hint="eastAsia" w:ascii="宋体" w:hAnsi="宋体"/>
          <w:color w:val="auto"/>
          <w:sz w:val="24"/>
          <w:szCs w:val="24"/>
          <w:highlight w:val="none"/>
          <w:u w:val="single"/>
        </w:rPr>
        <w:t>行业相关规范技术标准，符合</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出的设计深度和设计深化要求。</w:t>
      </w:r>
    </w:p>
    <w:p w14:paraId="1519B19C">
      <w:pPr>
        <w:spacing w:line="360" w:lineRule="auto"/>
        <w:ind w:firstLine="480" w:firstLineChars="200"/>
        <w:rPr>
          <w:rFonts w:hint="default" w:ascii="宋体" w:hAnsi="宋体" w:eastAsia="宋体"/>
          <w:color w:val="auto"/>
          <w:sz w:val="24"/>
          <w:szCs w:val="24"/>
          <w:highlight w:val="none"/>
          <w:lang w:val="en-US" w:eastAsia="zh-CN"/>
        </w:rPr>
      </w:pPr>
      <w:r>
        <w:rPr>
          <w:rFonts w:ascii="宋体" w:hAnsi="宋体"/>
          <w:color w:val="auto"/>
          <w:sz w:val="24"/>
          <w:szCs w:val="24"/>
          <w:highlight w:val="none"/>
        </w:rPr>
        <w:t>2.6.</w:t>
      </w:r>
      <w:r>
        <w:rPr>
          <w:rFonts w:hint="eastAsia" w:ascii="宋体" w:hAnsi="宋体"/>
          <w:color w:val="auto"/>
          <w:sz w:val="24"/>
          <w:szCs w:val="24"/>
          <w:highlight w:val="none"/>
        </w:rPr>
        <w:t>2</w:t>
      </w:r>
      <w:r>
        <w:rPr>
          <w:rFonts w:ascii="宋体" w:hAnsi="宋体"/>
          <w:color w:val="auto"/>
          <w:sz w:val="24"/>
          <w:szCs w:val="24"/>
          <w:highlight w:val="none"/>
        </w:rPr>
        <w:t>施工</w:t>
      </w:r>
      <w:r>
        <w:rPr>
          <w:rFonts w:hint="eastAsia" w:ascii="宋体" w:hAnsi="宋体"/>
          <w:color w:val="auto"/>
          <w:sz w:val="24"/>
          <w:szCs w:val="24"/>
          <w:highlight w:val="none"/>
        </w:rPr>
        <w:t>质量标准：</w:t>
      </w:r>
      <w:r>
        <w:rPr>
          <w:rFonts w:hint="eastAsia" w:ascii="宋体" w:hAnsi="宋体"/>
          <w:color w:val="auto"/>
          <w:sz w:val="24"/>
          <w:szCs w:val="24"/>
          <w:highlight w:val="none"/>
          <w:u w:val="single"/>
        </w:rPr>
        <w:t>符合设计图纸和国家、省、市相关法律法规的要求及行业颁发的工程质量合格标准。</w:t>
      </w:r>
      <w:r>
        <w:rPr>
          <w:rFonts w:hint="eastAsia" w:ascii="宋体" w:hAnsi="宋体"/>
          <w:color w:val="auto"/>
          <w:sz w:val="24"/>
          <w:szCs w:val="24"/>
          <w:highlight w:val="none"/>
          <w:u w:val="single"/>
          <w:lang w:val="en-US" w:eastAsia="zh-CN"/>
        </w:rPr>
        <w:t>本工程一次竣工验收合格。</w:t>
      </w:r>
    </w:p>
    <w:p w14:paraId="27AE89B8">
      <w:pPr>
        <w:spacing w:line="360" w:lineRule="auto"/>
        <w:ind w:firstLine="480" w:firstLineChars="200"/>
        <w:rPr>
          <w:rFonts w:ascii="宋体" w:hAnsi="宋体" w:cs="宋体"/>
          <w:color w:val="auto"/>
          <w:kern w:val="0"/>
          <w:sz w:val="24"/>
          <w:szCs w:val="24"/>
          <w:highlight w:val="none"/>
          <w:u w:val="single"/>
        </w:rPr>
      </w:pPr>
      <w:r>
        <w:rPr>
          <w:rFonts w:ascii="宋体" w:hAnsi="宋体"/>
          <w:bCs/>
          <w:color w:val="auto"/>
          <w:sz w:val="24"/>
          <w:szCs w:val="24"/>
          <w:highlight w:val="none"/>
        </w:rPr>
        <w:t>2.6.</w:t>
      </w:r>
      <w:r>
        <w:rPr>
          <w:rFonts w:hint="eastAsia" w:ascii="宋体" w:hAnsi="宋体"/>
          <w:bCs/>
          <w:color w:val="auto"/>
          <w:sz w:val="24"/>
          <w:szCs w:val="24"/>
          <w:highlight w:val="none"/>
        </w:rPr>
        <w:t>3安全及文明施工目标：</w:t>
      </w:r>
      <w:r>
        <w:rPr>
          <w:rFonts w:hint="eastAsia" w:ascii="宋体" w:hAnsi="宋体"/>
          <w:bCs/>
          <w:color w:val="auto"/>
          <w:sz w:val="24"/>
          <w:szCs w:val="24"/>
          <w:highlight w:val="none"/>
          <w:u w:val="single"/>
        </w:rPr>
        <w:t>文明施工措施要符合广州市的“六个百分百”规定，</w:t>
      </w:r>
      <w:r>
        <w:rPr>
          <w:rFonts w:hint="eastAsia" w:ascii="宋体" w:hAnsi="宋体"/>
          <w:color w:val="auto"/>
          <w:sz w:val="24"/>
          <w:szCs w:val="24"/>
          <w:highlight w:val="none"/>
          <w:u w:val="single"/>
        </w:rPr>
        <w:t>保证施工场地清洁、扬尘及噪音管理符合环境卫生管理的有关规定，确保不发生一般事故等级及以上的安全生产事故且死亡人数为零。</w:t>
      </w:r>
    </w:p>
    <w:p w14:paraId="4CE8A9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2.7</w:t>
      </w:r>
      <w:r>
        <w:rPr>
          <w:rFonts w:hint="eastAsia" w:ascii="宋体" w:hAnsi="宋体"/>
          <w:color w:val="auto"/>
          <w:sz w:val="24"/>
          <w:szCs w:val="24"/>
          <w:highlight w:val="none"/>
        </w:rPr>
        <w:t>招标范围</w:t>
      </w:r>
    </w:p>
    <w:p w14:paraId="47F227D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.1标段划分：</w:t>
      </w:r>
      <w:r>
        <w:rPr>
          <w:rFonts w:hint="eastAsia" w:ascii="宋体" w:hAnsi="宋体"/>
          <w:color w:val="auto"/>
          <w:sz w:val="24"/>
          <w:szCs w:val="24"/>
          <w:highlight w:val="none"/>
          <w:u w:val="single"/>
        </w:rPr>
        <w:t>本次招标划分为1个标段。</w:t>
      </w:r>
    </w:p>
    <w:p w14:paraId="5E15E5A5">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7</w:t>
      </w:r>
      <w:r>
        <w:rPr>
          <w:rFonts w:hint="eastAsia" w:ascii="宋体" w:hAnsi="宋体"/>
          <w:color w:val="auto"/>
          <w:sz w:val="24"/>
          <w:szCs w:val="24"/>
          <w:highlight w:val="none"/>
        </w:rPr>
        <w:t>.2招标内容：</w:t>
      </w:r>
      <w:r>
        <w:rPr>
          <w:rFonts w:hint="eastAsia" w:ascii="宋体" w:hAnsi="宋体" w:cs="宋体"/>
          <w:color w:val="auto"/>
          <w:sz w:val="24"/>
          <w:szCs w:val="24"/>
          <w:highlight w:val="none"/>
          <w:u w:val="single"/>
        </w:rPr>
        <w:t>负责本项目的勘察、设计、施工，包括但不限于以下内容（具体内容详见</w:t>
      </w:r>
      <w:r>
        <w:rPr>
          <w:rFonts w:hint="eastAsia" w:ascii="宋体" w:hAnsi="宋体" w:cs="宋体"/>
          <w:color w:val="auto"/>
          <w:sz w:val="24"/>
          <w:szCs w:val="24"/>
          <w:highlight w:val="none"/>
          <w:u w:val="single"/>
          <w:lang w:val="en-US" w:eastAsia="zh-CN"/>
        </w:rPr>
        <w:t>勘察设计任务书和</w:t>
      </w:r>
      <w:r>
        <w:rPr>
          <w:rFonts w:hint="eastAsia" w:ascii="宋体" w:hAnsi="宋体" w:cs="宋体"/>
          <w:color w:val="auto"/>
          <w:sz w:val="24"/>
          <w:szCs w:val="24"/>
          <w:highlight w:val="none"/>
          <w:u w:val="single"/>
        </w:rPr>
        <w:t>合同</w:t>
      </w:r>
      <w:r>
        <w:rPr>
          <w:rFonts w:hint="eastAsia" w:ascii="宋体" w:hAnsi="宋体" w:cs="宋体"/>
          <w:color w:val="auto"/>
          <w:sz w:val="24"/>
          <w:szCs w:val="24"/>
          <w:highlight w:val="none"/>
          <w:u w:val="single"/>
          <w:lang w:val="en-US" w:eastAsia="zh-CN"/>
        </w:rPr>
        <w:t>协议书</w:t>
      </w:r>
      <w:r>
        <w:rPr>
          <w:rFonts w:hint="eastAsia" w:ascii="宋体" w:hAnsi="宋体" w:cs="宋体"/>
          <w:color w:val="auto"/>
          <w:sz w:val="24"/>
          <w:szCs w:val="24"/>
          <w:highlight w:val="none"/>
          <w:u w:val="single"/>
        </w:rPr>
        <w:t>）：</w:t>
      </w:r>
    </w:p>
    <w:p w14:paraId="2E81553A">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w:t>
      </w:r>
      <w:r>
        <w:rPr>
          <w:rFonts w:ascii="宋体" w:hAnsi="宋体"/>
          <w:color w:val="auto"/>
          <w:sz w:val="24"/>
          <w:szCs w:val="24"/>
          <w:highlight w:val="none"/>
          <w:u w:val="single"/>
        </w:rPr>
        <w:t>1</w:t>
      </w:r>
      <w:r>
        <w:rPr>
          <w:rFonts w:hint="eastAsia" w:ascii="宋体" w:hAnsi="宋体"/>
          <w:b/>
          <w:color w:val="auto"/>
          <w:sz w:val="24"/>
          <w:szCs w:val="24"/>
          <w:highlight w:val="none"/>
          <w:u w:val="single"/>
        </w:rPr>
        <w:t>勘察部分</w:t>
      </w:r>
    </w:p>
    <w:p w14:paraId="58C50F2B">
      <w:pPr>
        <w:spacing w:line="360" w:lineRule="auto"/>
        <w:ind w:firstLine="480" w:firstLineChars="200"/>
        <w:jc w:val="left"/>
        <w:rPr>
          <w:rFonts w:ascii="宋体" w:hAnsi="宋体"/>
          <w:color w:val="auto"/>
          <w:sz w:val="24"/>
          <w:szCs w:val="24"/>
          <w:highlight w:val="none"/>
          <w:u w:val="single"/>
        </w:rPr>
      </w:pPr>
      <w:r>
        <w:rPr>
          <w:rFonts w:hint="eastAsia" w:ascii="宋体" w:hAnsi="宋体"/>
          <w:color w:val="auto"/>
          <w:sz w:val="24"/>
          <w:szCs w:val="24"/>
          <w:highlight w:val="none"/>
          <w:u w:val="single"/>
        </w:rPr>
        <w:t>负责本项目规划用地红线范围内，及经招标人审批同意用于辅助项目建设所需的红线范围外的勘察工作，包括但不限于以下内容：工程勘察（包含岩土工程勘察、工程测量）、补勘等勘察工作。</w:t>
      </w:r>
    </w:p>
    <w:p w14:paraId="4AA5CCC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.2.2</w:t>
      </w:r>
      <w:r>
        <w:rPr>
          <w:rFonts w:hint="eastAsia" w:ascii="宋体" w:hAnsi="宋体"/>
          <w:b/>
          <w:color w:val="auto"/>
          <w:sz w:val="24"/>
          <w:szCs w:val="24"/>
          <w:highlight w:val="none"/>
          <w:u w:val="single"/>
        </w:rPr>
        <w:t>设计部分</w:t>
      </w:r>
    </w:p>
    <w:p w14:paraId="402495B0">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（1）设计范围及内容（包括但不限于）：</w:t>
      </w:r>
    </w:p>
    <w:p w14:paraId="5DB117A3">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方案设计、协助</w:t>
      </w:r>
      <w:r>
        <w:rPr>
          <w:rFonts w:hint="eastAsia" w:ascii="宋体" w:hAnsi="宋体"/>
          <w:color w:val="auto"/>
          <w:sz w:val="24"/>
          <w:szCs w:val="24"/>
          <w:highlight w:val="none"/>
          <w:u w:val="single"/>
          <w:lang w:val="en-US" w:eastAsia="zh-CN"/>
        </w:rPr>
        <w:t>招标人</w:t>
      </w:r>
      <w:r>
        <w:rPr>
          <w:rFonts w:hint="eastAsia" w:ascii="宋体" w:hAnsi="宋体"/>
          <w:color w:val="auto"/>
          <w:sz w:val="24"/>
          <w:szCs w:val="24"/>
          <w:highlight w:val="none"/>
          <w:u w:val="single"/>
        </w:rPr>
        <w:t>办理工程前期的报建及报批工作、编制初步设计及概算、施工图设计、现场服务、施工过程中的方案优化及设计变更、施工及验收过程的配合、竣工图审核及盖章等。</w:t>
      </w:r>
    </w:p>
    <w:p w14:paraId="6CCC55D2">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（2）设计成果文件要求：按合同要求。</w:t>
      </w:r>
    </w:p>
    <w:p w14:paraId="7C1CEB77">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w:t>
      </w:r>
      <w:r>
        <w:rPr>
          <w:rFonts w:ascii="宋体" w:hAnsi="宋体"/>
          <w:color w:val="auto"/>
          <w:sz w:val="24"/>
          <w:szCs w:val="24"/>
          <w:highlight w:val="none"/>
          <w:u w:val="single"/>
        </w:rPr>
        <w:t>7</w:t>
      </w:r>
      <w:r>
        <w:rPr>
          <w:rFonts w:hint="eastAsia" w:ascii="宋体" w:hAnsi="宋体"/>
          <w:color w:val="auto"/>
          <w:sz w:val="24"/>
          <w:szCs w:val="24"/>
          <w:highlight w:val="none"/>
          <w:u w:val="single"/>
        </w:rPr>
        <w:t>.2.3</w:t>
      </w:r>
      <w:r>
        <w:rPr>
          <w:rFonts w:hint="eastAsia" w:ascii="宋体" w:hAnsi="宋体"/>
          <w:b/>
          <w:color w:val="auto"/>
          <w:sz w:val="24"/>
          <w:szCs w:val="24"/>
          <w:highlight w:val="none"/>
          <w:u w:val="single"/>
        </w:rPr>
        <w:t>施工部分</w:t>
      </w:r>
    </w:p>
    <w:p w14:paraId="58F5E298">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（1）施工内容包括：完成本项目所有施工内容，包括：具体以招标文件及合同约定的范围、建设</w:t>
      </w:r>
      <w:r>
        <w:rPr>
          <w:rFonts w:hint="eastAsia" w:ascii="宋体" w:hAnsi="宋体"/>
          <w:color w:val="auto"/>
          <w:sz w:val="24"/>
          <w:szCs w:val="24"/>
          <w:highlight w:val="none"/>
          <w:u w:val="single"/>
          <w:lang w:val="en-US" w:eastAsia="zh-CN"/>
        </w:rPr>
        <w:t>单位</w:t>
      </w:r>
      <w:r>
        <w:rPr>
          <w:rFonts w:hint="eastAsia" w:ascii="宋体" w:hAnsi="宋体"/>
          <w:color w:val="auto"/>
          <w:sz w:val="24"/>
          <w:szCs w:val="24"/>
          <w:highlight w:val="none"/>
          <w:u w:val="single"/>
        </w:rPr>
        <w:t>审核确认的施工图、经建设</w:t>
      </w:r>
      <w:r>
        <w:rPr>
          <w:rFonts w:hint="eastAsia" w:ascii="宋体" w:hAnsi="宋体"/>
          <w:color w:val="auto"/>
          <w:sz w:val="24"/>
          <w:szCs w:val="24"/>
          <w:highlight w:val="none"/>
          <w:u w:val="single"/>
          <w:lang w:val="en-US" w:eastAsia="zh-CN"/>
        </w:rPr>
        <w:t>单位</w:t>
      </w:r>
      <w:r>
        <w:rPr>
          <w:rFonts w:hint="eastAsia" w:ascii="宋体" w:hAnsi="宋体"/>
          <w:color w:val="auto"/>
          <w:sz w:val="24"/>
          <w:szCs w:val="24"/>
          <w:highlight w:val="none"/>
          <w:u w:val="single"/>
        </w:rPr>
        <w:t>审定的施工图预算内容为准。</w:t>
      </w:r>
    </w:p>
    <w:p w14:paraId="56030764">
      <w:pPr>
        <w:spacing w:line="360" w:lineRule="auto"/>
        <w:ind w:firstLine="480" w:firstLineChars="200"/>
        <w:rPr>
          <w:rFonts w:hint="default" w:ascii="宋体" w:hAnsi="宋体"/>
          <w:color w:val="auto"/>
          <w:sz w:val="24"/>
          <w:szCs w:val="24"/>
          <w:highlight w:val="green"/>
          <w:u w:val="single"/>
          <w:lang w:val="en-US"/>
        </w:rPr>
      </w:pPr>
      <w:r>
        <w:rPr>
          <w:rFonts w:hint="eastAsia" w:ascii="宋体" w:hAnsi="宋体"/>
          <w:color w:val="auto"/>
          <w:sz w:val="24"/>
          <w:szCs w:val="24"/>
          <w:highlight w:val="none"/>
          <w:u w:val="single"/>
        </w:rPr>
        <w:t>（2）承包方式：包工、包料、包设备、包工期、包质量、包造价控制（含施工图预算及竣工结算文件的编制报审等）、包安全、包文明施工、包项目协调管理、包验收移交、包竣工资料收集整理备案及资料汇总归档、包竣工图编制及签审、包保修、</w:t>
      </w:r>
      <w:r>
        <w:rPr>
          <w:rFonts w:hint="eastAsia" w:ascii="宋体" w:hAnsi="宋体"/>
          <w:color w:val="auto"/>
          <w:sz w:val="24"/>
          <w:szCs w:val="24"/>
          <w:highlight w:val="none"/>
          <w:u w:val="single"/>
          <w:lang w:val="en-US" w:eastAsia="zh-CN"/>
        </w:rPr>
        <w:t>包保险、综合单价包干、项目措施费中围蔽费用按实结算、项目措施费除围蔽外的部分包干，工程量按实计量。</w:t>
      </w:r>
    </w:p>
    <w:p w14:paraId="03E21BB1">
      <w:pPr>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8</w:t>
      </w:r>
      <w:r>
        <w:rPr>
          <w:rFonts w:hint="eastAsia" w:ascii="宋体" w:hAnsi="宋体"/>
          <w:color w:val="auto"/>
          <w:sz w:val="24"/>
          <w:szCs w:val="24"/>
          <w:highlight w:val="none"/>
        </w:rPr>
        <w:t>前期服务机构：</w:t>
      </w:r>
      <w:r>
        <w:rPr>
          <w:rFonts w:hint="eastAsia" w:ascii="宋体" w:hAnsi="宋体" w:eastAsia="宋体" w:cs="宋体"/>
          <w:color w:val="auto"/>
          <w:kern w:val="0"/>
          <w:sz w:val="24"/>
          <w:szCs w:val="24"/>
          <w:highlight w:val="none"/>
          <w:u w:val="single"/>
          <w:shd w:val="clear" w:color="auto" w:fill="auto"/>
        </w:rPr>
        <w:t>可行性研究报告编制单位是 广州金良工程咨询有限公司</w:t>
      </w:r>
      <w:r>
        <w:rPr>
          <w:rFonts w:hint="eastAsia" w:ascii="宋体" w:hAnsi="宋体"/>
          <w:color w:val="auto"/>
          <w:sz w:val="24"/>
          <w:szCs w:val="24"/>
          <w:highlight w:val="none"/>
          <w:u w:val="single"/>
        </w:rPr>
        <w:t>。</w:t>
      </w:r>
    </w:p>
    <w:p w14:paraId="0AE0D15E">
      <w:pPr>
        <w:tabs>
          <w:tab w:val="left" w:pos="7513"/>
          <w:tab w:val="left" w:pos="8505"/>
        </w:tabs>
        <w:spacing w:line="360" w:lineRule="auto"/>
        <w:ind w:firstLine="480" w:firstLineChars="200"/>
        <w:rPr>
          <w:rFonts w:ascii="宋体" w:hAnsi="宋体"/>
          <w:color w:val="auto"/>
          <w:sz w:val="24"/>
          <w:szCs w:val="24"/>
          <w:highlight w:val="yellow"/>
        </w:rPr>
      </w:pPr>
      <w:r>
        <w:rPr>
          <w:rFonts w:hint="eastAsia" w:ascii="宋体" w:hAnsi="宋体"/>
          <w:color w:val="auto"/>
          <w:kern w:val="0"/>
          <w:sz w:val="24"/>
          <w:szCs w:val="24"/>
          <w:highlight w:val="none"/>
        </w:rPr>
        <w:t>2.</w:t>
      </w:r>
      <w:r>
        <w:rPr>
          <w:rFonts w:ascii="宋体" w:hAnsi="宋体"/>
          <w:color w:val="auto"/>
          <w:kern w:val="0"/>
          <w:sz w:val="24"/>
          <w:szCs w:val="24"/>
          <w:highlight w:val="none"/>
        </w:rPr>
        <w:t>9投标</w:t>
      </w:r>
      <w:r>
        <w:rPr>
          <w:rFonts w:hint="eastAsia" w:ascii="宋体" w:hAnsi="宋体"/>
          <w:color w:val="auto"/>
          <w:kern w:val="0"/>
          <w:sz w:val="24"/>
          <w:szCs w:val="24"/>
          <w:highlight w:val="none"/>
        </w:rPr>
        <w:t>保证金</w:t>
      </w:r>
      <w:r>
        <w:rPr>
          <w:rFonts w:ascii="宋体" w:hAnsi="宋体"/>
          <w:color w:val="auto"/>
          <w:kern w:val="0"/>
          <w:sz w:val="24"/>
          <w:szCs w:val="24"/>
          <w:highlight w:val="none"/>
        </w:rPr>
        <w:t>：</w:t>
      </w:r>
      <w:r>
        <w:rPr>
          <w:rFonts w:hint="eastAsia" w:ascii="宋体" w:hAnsi="宋体"/>
          <w:color w:val="auto"/>
          <w:kern w:val="0"/>
          <w:sz w:val="24"/>
          <w:szCs w:val="24"/>
          <w:highlight w:val="none"/>
          <w:u w:val="single"/>
        </w:rPr>
        <w:t>本项目投标人不需要递交投标保证金</w:t>
      </w:r>
      <w:r>
        <w:rPr>
          <w:rFonts w:hint="eastAsia" w:ascii="宋体" w:hAnsi="宋体"/>
          <w:color w:val="auto"/>
          <w:kern w:val="0"/>
          <w:sz w:val="24"/>
          <w:szCs w:val="24"/>
          <w:highlight w:val="none"/>
        </w:rPr>
        <w:t>。</w:t>
      </w:r>
    </w:p>
    <w:p w14:paraId="0615BE0E">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3. 投标人资格要求</w:t>
      </w:r>
    </w:p>
    <w:p w14:paraId="280345A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3.1投标人</w:t>
      </w:r>
      <w:r>
        <w:rPr>
          <w:rFonts w:hint="eastAsia" w:ascii="宋体" w:hAnsi="宋体" w:cs="宋体"/>
          <w:color w:val="auto"/>
          <w:sz w:val="24"/>
          <w:highlight w:val="none"/>
          <w:u w:val="single"/>
        </w:rPr>
        <w:t>（若为联合体投标，</w:t>
      </w:r>
      <w:r>
        <w:rPr>
          <w:rFonts w:hint="eastAsia" w:ascii="宋体" w:hAnsi="宋体" w:cs="宋体"/>
          <w:color w:val="auto"/>
          <w:sz w:val="24"/>
          <w:highlight w:val="none"/>
          <w:u w:val="single"/>
          <w:lang w:val="en-US" w:eastAsia="zh-CN"/>
        </w:rPr>
        <w:t>指联合体各方</w:t>
      </w:r>
      <w:r>
        <w:rPr>
          <w:rFonts w:hint="eastAsia" w:ascii="宋体" w:hAnsi="宋体" w:cs="宋体"/>
          <w:color w:val="auto"/>
          <w:sz w:val="24"/>
          <w:highlight w:val="none"/>
          <w:u w:val="single"/>
        </w:rPr>
        <w:t>）</w:t>
      </w:r>
      <w:r>
        <w:rPr>
          <w:rFonts w:hint="eastAsia" w:ascii="宋体" w:hAnsi="宋体" w:cs="宋体"/>
          <w:color w:val="auto"/>
          <w:sz w:val="24"/>
          <w:highlight w:val="none"/>
        </w:rPr>
        <w:t>参加投标的意思表达清楚，投标人代表被授权有效；</w:t>
      </w:r>
    </w:p>
    <w:p w14:paraId="2D6C6B2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具有独立法人资格，按国家法律经营；</w:t>
      </w:r>
    </w:p>
    <w:p w14:paraId="3C28DCA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3.3投标人</w:t>
      </w:r>
      <w:r>
        <w:rPr>
          <w:rFonts w:hint="eastAsia" w:ascii="宋体" w:hAnsi="宋体" w:cs="宋体"/>
          <w:color w:val="auto"/>
          <w:sz w:val="24"/>
          <w:highlight w:val="none"/>
          <w:u w:val="single"/>
        </w:rPr>
        <w:t>（若为联合体投标，由</w:t>
      </w:r>
      <w:r>
        <w:rPr>
          <w:rFonts w:hint="eastAsia" w:ascii="宋体" w:hAnsi="宋体" w:cs="宋体"/>
          <w:color w:val="auto"/>
          <w:sz w:val="24"/>
          <w:highlight w:val="none"/>
          <w:u w:val="single"/>
          <w:lang w:val="en-US" w:eastAsia="zh-CN"/>
        </w:rPr>
        <w:t>主办</w:t>
      </w:r>
      <w:r>
        <w:rPr>
          <w:rFonts w:hint="eastAsia" w:ascii="宋体" w:hAnsi="宋体" w:cs="宋体"/>
          <w:color w:val="auto"/>
          <w:sz w:val="24"/>
          <w:highlight w:val="none"/>
          <w:u w:val="single"/>
        </w:rPr>
        <w:t>方提供）</w:t>
      </w:r>
      <w:r>
        <w:rPr>
          <w:rFonts w:hint="eastAsia" w:ascii="宋体" w:hAnsi="宋体" w:cs="宋体"/>
          <w:color w:val="auto"/>
          <w:sz w:val="24"/>
          <w:highlight w:val="none"/>
        </w:rPr>
        <w:t>持有建设行政主管部门颁发的安全生产许可证；</w:t>
      </w:r>
    </w:p>
    <w:p w14:paraId="2DF57ED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3.4投标人应具有承接本工程所需的如下</w:t>
      </w:r>
      <w:r>
        <w:rPr>
          <w:rFonts w:hint="eastAsia" w:ascii="宋体" w:hAnsi="宋体" w:cs="宋体"/>
          <w:color w:val="auto"/>
          <w:sz w:val="24"/>
          <w:highlight w:val="none"/>
          <w:u w:val="single"/>
        </w:rPr>
        <w:t>勘察</w:t>
      </w:r>
      <w:r>
        <w:rPr>
          <w:rFonts w:hint="eastAsia" w:ascii="宋体" w:hAnsi="宋体" w:cs="宋体"/>
          <w:color w:val="auto"/>
          <w:sz w:val="24"/>
          <w:highlight w:val="none"/>
        </w:rPr>
        <w:t>、</w:t>
      </w:r>
      <w:r>
        <w:rPr>
          <w:rFonts w:hint="eastAsia" w:ascii="宋体" w:hAnsi="宋体" w:cs="宋体"/>
          <w:color w:val="auto"/>
          <w:sz w:val="24"/>
          <w:highlight w:val="none"/>
          <w:u w:val="single"/>
        </w:rPr>
        <w:t>设计</w:t>
      </w:r>
      <w:r>
        <w:rPr>
          <w:rFonts w:hint="eastAsia" w:ascii="宋体" w:hAnsi="宋体" w:cs="宋体"/>
          <w:color w:val="auto"/>
          <w:sz w:val="24"/>
          <w:highlight w:val="none"/>
        </w:rPr>
        <w:t>和</w:t>
      </w:r>
      <w:r>
        <w:rPr>
          <w:rFonts w:hint="eastAsia" w:ascii="宋体" w:hAnsi="宋体" w:cs="宋体"/>
          <w:color w:val="auto"/>
          <w:sz w:val="24"/>
          <w:highlight w:val="none"/>
          <w:u w:val="single"/>
        </w:rPr>
        <w:t>施工</w:t>
      </w:r>
      <w:r>
        <w:rPr>
          <w:rFonts w:hint="eastAsia" w:ascii="宋体" w:hAnsi="宋体" w:cs="宋体"/>
          <w:color w:val="auto"/>
          <w:sz w:val="24"/>
          <w:highlight w:val="none"/>
        </w:rPr>
        <w:t>资质：</w:t>
      </w:r>
    </w:p>
    <w:p w14:paraId="48064A22">
      <w:pPr>
        <w:widowControl/>
        <w:numPr>
          <w:ilvl w:val="0"/>
          <w:numId w:val="1"/>
        </w:num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工程勘察资质：具备以下资质条件中的任意一项： </w:t>
      </w:r>
      <w:r>
        <w:rPr>
          <w:rFonts w:hint="eastAsia" w:ascii="宋体" w:hAnsi="宋体" w:cs="宋体"/>
          <w:color w:val="auto"/>
          <w:sz w:val="24"/>
          <w:highlight w:val="none"/>
          <w:u w:val="single"/>
          <w:lang w:val="en-US" w:eastAsia="zh-CN"/>
        </w:rPr>
        <w:t>①</w:t>
      </w:r>
      <w:r>
        <w:rPr>
          <w:rFonts w:hint="eastAsia" w:ascii="宋体" w:hAnsi="宋体" w:cs="宋体"/>
          <w:color w:val="auto"/>
          <w:sz w:val="24"/>
          <w:highlight w:val="none"/>
          <w:u w:val="single"/>
        </w:rPr>
        <w:t>工程勘察综合甲级资质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②</w:t>
      </w:r>
      <w:r>
        <w:rPr>
          <w:rFonts w:hint="eastAsia" w:ascii="宋体" w:hAnsi="宋体" w:cs="宋体"/>
          <w:color w:val="auto"/>
          <w:sz w:val="24"/>
          <w:highlight w:val="none"/>
          <w:u w:val="single"/>
        </w:rPr>
        <w:t>同时具有工程勘察专业类岩</w:t>
      </w:r>
      <w:r>
        <w:rPr>
          <w:rFonts w:hint="eastAsia" w:ascii="宋体" w:hAnsi="宋体" w:cs="宋体"/>
          <w:color w:val="auto"/>
          <w:sz w:val="24"/>
          <w:highlight w:val="none"/>
          <w:u w:val="single"/>
          <w:lang w:val="en-US" w:eastAsia="zh-CN"/>
        </w:rPr>
        <w:t>土</w:t>
      </w:r>
      <w:r>
        <w:rPr>
          <w:rFonts w:hint="eastAsia" w:ascii="宋体" w:hAnsi="宋体" w:cs="宋体"/>
          <w:color w:val="auto"/>
          <w:sz w:val="24"/>
          <w:highlight w:val="none"/>
          <w:u w:val="single"/>
        </w:rPr>
        <w:t>工程</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或以上）资质</w:t>
      </w:r>
      <w:r>
        <w:rPr>
          <w:rFonts w:hint="eastAsia" w:ascii="宋体" w:hAnsi="宋体" w:cs="宋体"/>
          <w:color w:val="auto"/>
          <w:sz w:val="24"/>
          <w:highlight w:val="none"/>
          <w:u w:val="single"/>
        </w:rPr>
        <w:t>和工程测量</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或以上</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③</w:t>
      </w:r>
      <w:r>
        <w:rPr>
          <w:rFonts w:hint="eastAsia" w:ascii="宋体" w:hAnsi="宋体" w:cs="宋体"/>
          <w:color w:val="auto"/>
          <w:sz w:val="24"/>
          <w:highlight w:val="none"/>
          <w:u w:val="single"/>
        </w:rPr>
        <w:t>同时</w:t>
      </w:r>
      <w:r>
        <w:rPr>
          <w:rFonts w:hint="eastAsia" w:ascii="宋体" w:hAnsi="宋体" w:cs="宋体"/>
          <w:color w:val="auto"/>
          <w:sz w:val="24"/>
          <w:highlight w:val="none"/>
          <w:u w:val="single"/>
          <w:lang w:val="en-US" w:eastAsia="zh-CN"/>
        </w:rPr>
        <w:t>具</w:t>
      </w:r>
      <w:r>
        <w:rPr>
          <w:rFonts w:hint="eastAsia" w:ascii="宋体" w:hAnsi="宋体" w:cs="宋体"/>
          <w:color w:val="auto"/>
          <w:sz w:val="24"/>
          <w:highlight w:val="none"/>
          <w:u w:val="single"/>
        </w:rPr>
        <w:t>有</w:t>
      </w:r>
      <w:r>
        <w:rPr>
          <w:rFonts w:hint="eastAsia" w:ascii="宋体" w:hAnsi="宋体" w:cs="宋体"/>
          <w:color w:val="auto"/>
          <w:sz w:val="24"/>
          <w:highlight w:val="none"/>
          <w:u w:val="single"/>
          <w:lang w:val="en-US" w:eastAsia="zh-CN"/>
        </w:rPr>
        <w:t>岩土</w:t>
      </w:r>
      <w:r>
        <w:rPr>
          <w:rFonts w:hint="eastAsia" w:ascii="宋体" w:hAnsi="宋体" w:cs="宋体"/>
          <w:color w:val="auto"/>
          <w:sz w:val="24"/>
          <w:highlight w:val="none"/>
          <w:u w:val="single"/>
        </w:rPr>
        <w:t>工程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岩土工程勘察</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专业乙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或以上</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资质</w:t>
      </w:r>
      <w:r>
        <w:rPr>
          <w:rFonts w:hint="eastAsia" w:ascii="宋体" w:hAnsi="宋体" w:cs="宋体"/>
          <w:color w:val="auto"/>
          <w:sz w:val="24"/>
          <w:highlight w:val="none"/>
          <w:u w:val="single"/>
        </w:rPr>
        <w:t>和工程测量</w:t>
      </w:r>
      <w:r>
        <w:rPr>
          <w:rFonts w:hint="eastAsia" w:ascii="宋体" w:hAnsi="宋体" w:cs="宋体"/>
          <w:color w:val="auto"/>
          <w:sz w:val="24"/>
          <w:highlight w:val="none"/>
          <w:u w:val="single"/>
          <w:lang w:val="en-US" w:eastAsia="zh-CN"/>
        </w:rPr>
        <w:t>乙</w:t>
      </w:r>
      <w:r>
        <w:rPr>
          <w:rFonts w:hint="eastAsia" w:ascii="宋体" w:hAnsi="宋体" w:cs="宋体"/>
          <w:color w:val="auto"/>
          <w:sz w:val="24"/>
          <w:highlight w:val="none"/>
          <w:u w:val="single"/>
        </w:rPr>
        <w:t>级</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或以上</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香港企业参加投标的，须在广东省住房和城乡建设主管部门备案且备案的业务范围应符合本招标项目对工程勘察资质的要求。</w:t>
      </w:r>
    </w:p>
    <w:p w14:paraId="05101195">
      <w:pPr>
        <w:widowControl/>
        <w:numPr>
          <w:ilvl w:val="0"/>
          <w:numId w:val="1"/>
        </w:numPr>
        <w:spacing w:line="360" w:lineRule="auto"/>
        <w:ind w:left="0" w:leftChars="0"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 xml:space="preserve">工程设计资质：具备以下资质条件中的任意一项： </w:t>
      </w:r>
      <w:r>
        <w:rPr>
          <w:rFonts w:hint="eastAsia" w:ascii="宋体" w:hAnsi="宋体" w:cs="宋体"/>
          <w:color w:val="auto"/>
          <w:sz w:val="24"/>
          <w:highlight w:val="none"/>
          <w:u w:val="single"/>
          <w:lang w:val="en-US" w:eastAsia="zh-CN"/>
        </w:rPr>
        <w:t>①</w:t>
      </w:r>
      <w:r>
        <w:rPr>
          <w:rFonts w:hint="eastAsia" w:ascii="宋体" w:hAnsi="宋体" w:cs="宋体"/>
          <w:color w:val="auto"/>
          <w:sz w:val="24"/>
          <w:highlight w:val="none"/>
          <w:u w:val="single"/>
        </w:rPr>
        <w:t>工程设计综合甲级资质</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②建筑行业设计乙级（</w:t>
      </w:r>
      <w:r>
        <w:rPr>
          <w:rFonts w:hint="eastAsia" w:ascii="宋体" w:hAnsi="宋体" w:eastAsia="宋体" w:cs="宋体"/>
          <w:bCs/>
          <w:color w:val="auto"/>
          <w:sz w:val="24"/>
          <w:szCs w:val="24"/>
          <w:highlight w:val="none"/>
          <w:u w:val="single"/>
          <w:lang w:val="en-US" w:eastAsia="zh-CN"/>
        </w:rPr>
        <w:t>或以上</w:t>
      </w:r>
      <w:r>
        <w:rPr>
          <w:rFonts w:hint="eastAsia" w:ascii="宋体" w:hAnsi="宋体" w:cs="宋体"/>
          <w:bCs/>
          <w:color w:val="auto"/>
          <w:sz w:val="24"/>
          <w:szCs w:val="24"/>
          <w:highlight w:val="none"/>
          <w:u w:val="single"/>
          <w:lang w:val="en-US" w:eastAsia="zh-CN"/>
        </w:rPr>
        <w:t>）</w:t>
      </w:r>
      <w:r>
        <w:rPr>
          <w:rFonts w:hint="eastAsia" w:ascii="宋体" w:hAnsi="宋体" w:eastAsia="宋体" w:cs="宋体"/>
          <w:bCs/>
          <w:color w:val="auto"/>
          <w:sz w:val="24"/>
          <w:szCs w:val="24"/>
          <w:highlight w:val="none"/>
          <w:u w:val="single"/>
        </w:rPr>
        <w:t>资质</w:t>
      </w:r>
      <w:r>
        <w:rPr>
          <w:rFonts w:hint="eastAsia" w:ascii="宋体" w:hAnsi="宋体" w:cs="宋体"/>
          <w:bCs/>
          <w:color w:val="auto"/>
          <w:sz w:val="24"/>
          <w:szCs w:val="24"/>
          <w:highlight w:val="none"/>
          <w:u w:val="single"/>
          <w:lang w:eastAsia="zh-CN"/>
        </w:rPr>
        <w:t>；</w:t>
      </w:r>
      <w:r>
        <w:rPr>
          <w:rFonts w:hint="eastAsia" w:ascii="宋体" w:hAnsi="宋体" w:cs="宋体"/>
          <w:color w:val="auto"/>
          <w:sz w:val="24"/>
          <w:highlight w:val="none"/>
          <w:u w:val="single"/>
          <w:lang w:val="en-US" w:eastAsia="zh-CN"/>
        </w:rPr>
        <w:t>③</w:t>
      </w:r>
      <w:r>
        <w:rPr>
          <w:rFonts w:hint="eastAsia" w:ascii="宋体" w:hAnsi="宋体" w:cs="宋体"/>
          <w:bCs/>
          <w:color w:val="auto"/>
          <w:sz w:val="24"/>
          <w:szCs w:val="24"/>
          <w:highlight w:val="none"/>
          <w:u w:val="single"/>
          <w:lang w:val="en-US" w:eastAsia="zh-CN"/>
        </w:rPr>
        <w:t>建筑行业（建筑工程）专业设计乙级（或以上）资质。</w:t>
      </w:r>
      <w:r>
        <w:rPr>
          <w:rFonts w:hint="eastAsia" w:ascii="宋体" w:hAnsi="宋体" w:cs="宋体"/>
          <w:color w:val="auto"/>
          <w:sz w:val="24"/>
          <w:highlight w:val="none"/>
          <w:u w:val="single"/>
        </w:rPr>
        <w:t>香港企业参加投标的，须在广东省住房和城乡建设主管部门备案且备案的业务范围应符合本招标项目对工程</w:t>
      </w:r>
      <w:r>
        <w:rPr>
          <w:rFonts w:hint="eastAsia" w:ascii="宋体" w:hAnsi="宋体" w:cs="宋体"/>
          <w:color w:val="auto"/>
          <w:sz w:val="24"/>
          <w:highlight w:val="none"/>
          <w:u w:val="single"/>
          <w:lang w:val="en-US" w:eastAsia="zh-CN"/>
        </w:rPr>
        <w:t>设计</w:t>
      </w:r>
      <w:r>
        <w:rPr>
          <w:rFonts w:hint="eastAsia" w:ascii="宋体" w:hAnsi="宋体" w:cs="宋体"/>
          <w:color w:val="auto"/>
          <w:sz w:val="24"/>
          <w:highlight w:val="none"/>
          <w:u w:val="single"/>
        </w:rPr>
        <w:t>资质的要求。</w:t>
      </w:r>
    </w:p>
    <w:p w14:paraId="2B586EC3">
      <w:pPr>
        <w:pStyle w:val="6"/>
        <w:rPr>
          <w:rFonts w:hint="eastAsia"/>
          <w:highlight w:val="none"/>
        </w:rPr>
      </w:pPr>
    </w:p>
    <w:p w14:paraId="089E47C0">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根据《广东省住房和城乡建设厅关于印发香港工程建设咨询企业和专业人士在粤港澳大湾区内地城市开业执业试点管理暂行办法的通知》(粤建规范〔2020〕1号)的规定，香港企业参加</w:t>
      </w:r>
      <w:r>
        <w:rPr>
          <w:rFonts w:hint="eastAsia" w:ascii="宋体" w:hAnsi="宋体" w:cs="宋体"/>
          <w:color w:val="auto"/>
          <w:sz w:val="24"/>
          <w:highlight w:val="none"/>
          <w:u w:val="single"/>
          <w:lang w:val="en-US" w:eastAsia="zh-CN"/>
        </w:rPr>
        <w:t>勘察、</w:t>
      </w:r>
      <w:r>
        <w:rPr>
          <w:rFonts w:hint="eastAsia" w:ascii="宋体" w:hAnsi="宋体" w:cs="宋体"/>
          <w:color w:val="auto"/>
          <w:sz w:val="24"/>
          <w:highlight w:val="none"/>
          <w:u w:val="single"/>
        </w:rPr>
        <w:t>设计投标的，须在广东省住房和城乡建设主管部门备案且备案业务满足本次招标资格要求的。外国或澳门、台湾的设计企业必须选择一家符合上述条件的企业进行合作</w:t>
      </w:r>
      <w:r>
        <w:rPr>
          <w:rFonts w:hint="eastAsia" w:ascii="宋体" w:hAnsi="宋体" w:cs="宋体"/>
          <w:color w:val="auto"/>
          <w:sz w:val="24"/>
          <w:highlight w:val="none"/>
          <w:u w:val="single"/>
          <w:lang w:val="en-US" w:eastAsia="zh-CN"/>
        </w:rPr>
        <w:t>勘察、</w:t>
      </w:r>
      <w:r>
        <w:rPr>
          <w:rFonts w:hint="eastAsia" w:ascii="宋体" w:hAnsi="宋体" w:cs="宋体"/>
          <w:color w:val="auto"/>
          <w:sz w:val="24"/>
          <w:highlight w:val="none"/>
          <w:u w:val="single"/>
        </w:rPr>
        <w:t>设计。香港企业如不单独参加</w:t>
      </w:r>
      <w:r>
        <w:rPr>
          <w:rFonts w:hint="eastAsia" w:ascii="宋体" w:hAnsi="宋体" w:cs="宋体"/>
          <w:color w:val="auto"/>
          <w:sz w:val="24"/>
          <w:highlight w:val="none"/>
          <w:u w:val="single"/>
          <w:lang w:val="en-US" w:eastAsia="zh-CN"/>
        </w:rPr>
        <w:t>勘察、</w:t>
      </w:r>
      <w:r>
        <w:rPr>
          <w:rFonts w:hint="eastAsia" w:ascii="宋体" w:hAnsi="宋体" w:cs="宋体"/>
          <w:color w:val="auto"/>
          <w:sz w:val="24"/>
          <w:highlight w:val="none"/>
          <w:u w:val="single"/>
        </w:rPr>
        <w:t>设计部分投标，也必须选择一家符合上述条件的企业进行合作设计。</w:t>
      </w:r>
    </w:p>
    <w:p w14:paraId="7E871F9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（3）施工资质：</w:t>
      </w:r>
      <w:r>
        <w:rPr>
          <w:rFonts w:hint="eastAsia" w:ascii="宋体" w:hAnsi="宋体" w:cs="宋体"/>
          <w:color w:val="auto"/>
          <w:sz w:val="24"/>
          <w:highlight w:val="none"/>
          <w:u w:val="single"/>
        </w:rPr>
        <w:t>建筑工程施工总承包三级或以上资质。</w:t>
      </w:r>
    </w:p>
    <w:p w14:paraId="644594F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注：①勘察设计资质要求按照</w:t>
      </w:r>
      <w:r>
        <w:rPr>
          <w:rFonts w:hint="eastAsia" w:ascii="宋体" w:hAnsi="宋体" w:eastAsia="宋体" w:cs="宋体"/>
          <w:color w:val="auto"/>
          <w:sz w:val="24"/>
          <w:szCs w:val="24"/>
        </w:rPr>
        <w:t>《建设工程勘察设计管</w:t>
      </w:r>
      <w:r>
        <w:rPr>
          <w:rFonts w:hint="eastAsia" w:ascii="宋体" w:hAnsi="宋体" w:eastAsia="宋体" w:cs="宋体"/>
          <w:color w:val="auto"/>
          <w:sz w:val="24"/>
          <w:szCs w:val="24"/>
          <w:highlight w:val="none"/>
        </w:rPr>
        <w:t>理条例》（国务院令[2000]293号）</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《建设工程勘察设计资质管理规定》（建设部令第160号）、《建设工程勘察设计资质管理规定实施意见》（建市[2007]202号）、</w:t>
      </w:r>
      <w:r>
        <w:rPr>
          <w:rFonts w:hint="eastAsia" w:ascii="宋体" w:hAnsi="宋体"/>
          <w:color w:val="auto"/>
          <w:sz w:val="24"/>
          <w:szCs w:val="24"/>
          <w:highlight w:val="none"/>
        </w:rPr>
        <w:t>《工程勘察资质标准》（建市[2013]9号）、《工程勘察、工程设计资质分级标准补充规定》（建设[2001]178号）</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《工程勘察、工程设计资质分级标准补充规定》（建设[2001]178号）</w:t>
      </w:r>
      <w:r>
        <w:rPr>
          <w:rFonts w:hint="eastAsia" w:ascii="宋体" w:hAnsi="宋体" w:cs="宋体"/>
          <w:color w:val="auto"/>
          <w:sz w:val="24"/>
          <w:szCs w:val="24"/>
          <w:highlight w:val="none"/>
          <w:lang w:eastAsia="zh-CN"/>
        </w:rPr>
        <w:t>、</w:t>
      </w:r>
      <w:r>
        <w:rPr>
          <w:rFonts w:hint="eastAsia" w:ascii="宋体" w:hAnsi="宋体" w:cs="宋体"/>
          <w:color w:val="auto"/>
          <w:sz w:val="24"/>
          <w:highlight w:val="none"/>
        </w:rPr>
        <w:t>《工程设计资质标准》（建市〔2007〕86号）填写。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rPr>
        <w:t>、《住房城乡建设部建筑市场监管司关于建设工程企业资质延续有关事项的通知》（建司局函市〔2023〕116号）、《广东省住房和城乡建设厅关于建设工程企业资质延续有关事项的通知》（粤建许函〔2023〕820号）的要求设置。地方各级住房和城乡建设主管部门核发的建设工程企业资质证书延续有关政策按各省级住房和城乡建设主管部门规定执行</w:t>
      </w:r>
      <w:r>
        <w:rPr>
          <w:rFonts w:hint="eastAsia" w:ascii="宋体" w:hAnsi="宋体" w:eastAsia="宋体"/>
          <w:color w:val="auto"/>
          <w:sz w:val="24"/>
          <w:szCs w:val="24"/>
        </w:rPr>
        <w:t>。</w:t>
      </w:r>
    </w:p>
    <w:p w14:paraId="17A81EA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②施工资质内容按照</w:t>
      </w:r>
      <w:r>
        <w:rPr>
          <w:rFonts w:hint="eastAsia" w:ascii="宋体" w:hAnsi="宋体"/>
          <w:color w:val="auto"/>
          <w:sz w:val="24"/>
          <w:szCs w:val="24"/>
          <w:highlight w:val="none"/>
        </w:rPr>
        <w:t>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eastAsia="宋体" w:cs="宋体"/>
          <w:color w:val="auto"/>
          <w:sz w:val="24"/>
          <w:szCs w:val="24"/>
        </w:rPr>
        <w:t>、《住房城乡建设部办公厅关于做好有关建设工程企业资质证书换领和延续工作的通知》（建办市〔2023〕47号）、《住房城乡建设部建筑市场监管司关于建设工程企业资质延续有关事项的通知》（建司局函市〔2023〕116号）、《广东省住房和城乡建设厅关于建设工程企业资质延续有关事项的通知》（粤建许函〔2023〕820号）的要求设置。根据上述文件的要求，投标人需办理企业资质有效期延续的，应当按照相关规定及时办理。</w:t>
      </w:r>
    </w:p>
    <w:p w14:paraId="0F9E1F64">
      <w:pPr>
        <w:pStyle w:val="38"/>
        <w:spacing w:line="360" w:lineRule="auto"/>
        <w:ind w:firstLine="480" w:firstLineChars="200"/>
        <w:rPr>
          <w:rFonts w:hint="default" w:ascii="宋体" w:hAnsi="宋体" w:eastAsia="宋体"/>
          <w:color w:val="auto"/>
          <w:sz w:val="24"/>
          <w:szCs w:val="24"/>
          <w:highlight w:val="none"/>
        </w:rPr>
      </w:pPr>
      <w:r>
        <w:rPr>
          <w:rFonts w:ascii="宋体" w:hAnsi="宋体" w:eastAsia="宋体"/>
          <w:color w:val="auto"/>
          <w:sz w:val="24"/>
          <w:szCs w:val="24"/>
          <w:highlight w:val="none"/>
        </w:rPr>
        <w:t>③香港企业备案的业务范围依据《广东省住房和城乡建设厅关于印发香港工程建设咨询企业和专业人士在粤港澳大湾区内地城市开业执业试点管理暂行办法的通知》（粤建规范〔2020〕1号）确定。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color w:val="auto"/>
          <w:sz w:val="24"/>
          <w:szCs w:val="24"/>
        </w:rPr>
        <w:t>香港企业经备案且备案的业务范围满足招标文件要求的，可作设计方参与投标，同时提供相应资质证书及备案证明资料复印件。外国或澳门、台湾的设计企业必须选择一家符合上述条件的企业进行合作设计。香港企业如不单独参加投标，也必须选择一家符合上述条件的企业进行合作设计。</w:t>
      </w:r>
    </w:p>
    <w:p w14:paraId="51D66E9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3.5投标人拟担任本工程：</w:t>
      </w:r>
    </w:p>
    <w:p w14:paraId="4AA3D2D1">
      <w:pPr>
        <w:widowControl/>
        <w:numPr>
          <w:ilvl w:val="0"/>
          <w:numId w:val="2"/>
        </w:num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设计</w:t>
      </w:r>
      <w:r>
        <w:rPr>
          <w:rFonts w:hint="eastAsia" w:ascii="宋体" w:hAnsi="宋体" w:cs="宋体"/>
          <w:color w:val="auto"/>
          <w:sz w:val="24"/>
          <w:highlight w:val="none"/>
        </w:rPr>
        <w:t>负责人</w:t>
      </w:r>
      <w:r>
        <w:rPr>
          <w:rFonts w:hint="eastAsia" w:ascii="宋体" w:hAnsi="宋体" w:cs="宋体"/>
          <w:color w:val="auto"/>
          <w:sz w:val="24"/>
          <w:highlight w:val="none"/>
          <w:u w:val="single"/>
        </w:rPr>
        <w:t>（若为联合体投标，由承担</w:t>
      </w:r>
      <w:r>
        <w:rPr>
          <w:rFonts w:hint="eastAsia" w:ascii="宋体" w:hAnsi="宋体" w:cs="宋体"/>
          <w:color w:val="auto"/>
          <w:sz w:val="24"/>
          <w:highlight w:val="none"/>
          <w:u w:val="single"/>
          <w:lang w:val="en-US" w:eastAsia="zh-CN"/>
        </w:rPr>
        <w:t>设计</w:t>
      </w:r>
      <w:r>
        <w:rPr>
          <w:rFonts w:hint="eastAsia" w:ascii="宋体" w:hAnsi="宋体" w:cs="宋体"/>
          <w:color w:val="auto"/>
          <w:sz w:val="24"/>
          <w:highlight w:val="none"/>
          <w:u w:val="single"/>
        </w:rPr>
        <w:t>任务方提供）</w:t>
      </w:r>
      <w:r>
        <w:rPr>
          <w:rFonts w:hint="eastAsia" w:ascii="宋体" w:hAnsi="宋体" w:cs="宋体"/>
          <w:color w:val="auto"/>
          <w:sz w:val="24"/>
          <w:highlight w:val="none"/>
        </w:rPr>
        <w:t>的人员为：</w:t>
      </w:r>
      <w:r>
        <w:rPr>
          <w:rFonts w:hint="eastAsia" w:ascii="宋体" w:hAnsi="宋体" w:cs="宋体"/>
          <w:color w:val="auto"/>
          <w:sz w:val="24"/>
          <w:highlight w:val="none"/>
          <w:u w:val="single"/>
        </w:rPr>
        <w:t>须具备须具备</w:t>
      </w:r>
      <w:r>
        <w:rPr>
          <w:rFonts w:hint="eastAsia" w:ascii="宋体" w:hAnsi="宋体" w:cs="宋体"/>
          <w:color w:val="auto"/>
          <w:sz w:val="24"/>
          <w:highlight w:val="none"/>
          <w:u w:val="single"/>
          <w:lang w:val="en-US" w:eastAsia="zh-CN"/>
        </w:rPr>
        <w:t>建筑工程相关专业高级工程师技术职称</w:t>
      </w:r>
      <w:r>
        <w:rPr>
          <w:rFonts w:hint="eastAsia" w:ascii="宋体" w:hAnsi="宋体" w:cs="宋体"/>
          <w:color w:val="auto"/>
          <w:sz w:val="24"/>
          <w:highlight w:val="none"/>
          <w:u w:val="single"/>
        </w:rPr>
        <w:t>，或在广东省住房和城乡建设主管部门备案且备案的业务范围符合本招标项目对项目负责人要求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7D68E78A">
      <w:pPr>
        <w:widowControl/>
        <w:spacing w:line="360" w:lineRule="auto"/>
        <w:ind w:firstLine="480" w:firstLineChars="200"/>
        <w:rPr>
          <w:rFonts w:hint="eastAsia"/>
        </w:rPr>
      </w:pPr>
      <w:r>
        <w:rPr>
          <w:rFonts w:hint="eastAsia" w:ascii="宋体" w:hAnsi="宋体" w:cs="宋体"/>
          <w:color w:val="auto"/>
          <w:sz w:val="24"/>
          <w:highlight w:val="none"/>
          <w:u w:val="single"/>
        </w:rPr>
        <w:t>注：①设计负责人、项目负责人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技术负责人</w:t>
      </w:r>
      <w:r>
        <w:rPr>
          <w:rFonts w:hint="eastAsia" w:ascii="宋体" w:hAnsi="宋体" w:cs="宋体"/>
          <w:color w:val="auto"/>
          <w:sz w:val="24"/>
          <w:highlight w:val="none"/>
          <w:u w:val="single"/>
        </w:rPr>
        <w:t>和专职安全员不为同一人。</w:t>
      </w:r>
    </w:p>
    <w:p w14:paraId="568B08FF">
      <w:pPr>
        <w:widowControl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项目</w:t>
      </w:r>
      <w:r>
        <w:rPr>
          <w:rFonts w:hint="eastAsia" w:ascii="宋体" w:hAnsi="宋体" w:cs="宋体"/>
          <w:color w:val="auto"/>
          <w:sz w:val="24"/>
          <w:highlight w:val="none"/>
          <w:u w:val="single"/>
        </w:rPr>
        <w:t>负责人（若为联合体投标，由承担施工任务方提供，兼施工负责人，下同）的人员为：</w:t>
      </w:r>
      <w:r>
        <w:rPr>
          <w:rFonts w:hint="eastAsia" w:ascii="宋体" w:hAnsi="宋体" w:eastAsia="宋体" w:cs="宋体"/>
          <w:color w:val="auto"/>
          <w:sz w:val="24"/>
          <w:szCs w:val="24"/>
          <w:highlight w:val="none"/>
          <w:u w:val="single"/>
          <w:lang w:val="en-US" w:eastAsia="zh-CN"/>
        </w:rPr>
        <w:t>建筑工程专业二级注册建造师或以上级别的注册建造师</w:t>
      </w:r>
      <w:r>
        <w:rPr>
          <w:rFonts w:hint="eastAsia" w:ascii="宋体" w:hAnsi="宋体" w:cs="宋体"/>
          <w:color w:val="auto"/>
          <w:sz w:val="24"/>
          <w:highlight w:val="none"/>
          <w:u w:val="single"/>
        </w:rPr>
        <w:t>，且在本单位注册；投标人在投标登记时由广州交易集团有限公司（广州公共资源交易中心）对该施工负责人进行锁定。</w:t>
      </w:r>
    </w:p>
    <w:p w14:paraId="54A1A259">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w:t>
      </w:r>
      <w:r>
        <w:rPr>
          <w:rFonts w:hint="eastAsia" w:ascii="宋体" w:hAnsi="宋体" w:cs="宋体"/>
          <w:color w:val="auto"/>
          <w:sz w:val="24"/>
          <w:highlight w:val="none"/>
          <w:u w:val="single"/>
          <w:lang w:val="en-US" w:eastAsia="zh-CN"/>
        </w:rPr>
        <w:t>①</w:t>
      </w:r>
      <w:r>
        <w:rPr>
          <w:rFonts w:hint="eastAsia" w:ascii="宋体" w:hAnsi="宋体" w:cs="宋体"/>
          <w:color w:val="auto"/>
          <w:sz w:val="24"/>
          <w:highlight w:val="none"/>
          <w:u w:val="single"/>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586EF9C">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51A90233">
      <w:pPr>
        <w:widowControl/>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根据广东省住建厅《关于明确二级建造师注册执业有关问题的通知》（粤建市函〔2023〕469号），二级建造师应在考试取得执业资格的省、自治区、直辖市申请注册，二级注册建造师可随注册企业在全国范围内执业。</w:t>
      </w:r>
    </w:p>
    <w:p w14:paraId="24DBF9F7">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②</w:t>
      </w:r>
      <w:r>
        <w:rPr>
          <w:rFonts w:hint="eastAsia" w:ascii="宋体" w:hAnsi="宋体" w:cs="宋体"/>
          <w:color w:val="auto"/>
          <w:sz w:val="24"/>
          <w:highlight w:val="none"/>
          <w:u w:val="single"/>
        </w:rPr>
        <w:t>根据《关于印发房屋建筑和市政基础设施项目工程总承包管理办法的通知》（建市规〔2019〕12号）规定，工程总承包项目经理不得同时在两个或者两个以上工程项目担任工程总承包项目经理、施工项目负责人。投标人在投标登记时由广州交易集团有限公司（广州公共资源交易中心）对该项目负责人进行锁定。本项目的项目负责人即前述规定中的“工程总承包项目经理”。</w:t>
      </w:r>
    </w:p>
    <w:p w14:paraId="3BF83C06">
      <w:pPr>
        <w:widowControl/>
        <w:spacing w:line="360" w:lineRule="auto"/>
        <w:ind w:firstLine="480" w:firstLineChars="200"/>
        <w:rPr>
          <w:rFonts w:hint="eastAsia" w:ascii="宋体" w:hAnsi="宋体" w:cs="宋体"/>
          <w:color w:val="auto"/>
          <w:sz w:val="24"/>
          <w:highlight w:val="none"/>
          <w:u w:val="single"/>
        </w:rPr>
      </w:pPr>
      <w:r>
        <w:rPr>
          <w:rFonts w:ascii="宋体" w:hAnsi="宋体" w:eastAsia="宋体"/>
          <w:color w:val="auto"/>
          <w:sz w:val="24"/>
          <w:szCs w:val="24"/>
          <w:highlight w:val="none"/>
        </w:rPr>
        <w:t>③</w:t>
      </w:r>
      <w:r>
        <w:rPr>
          <w:rFonts w:hint="eastAsia" w:ascii="宋体" w:hAnsi="宋体" w:cs="宋体"/>
          <w:color w:val="auto"/>
          <w:sz w:val="24"/>
          <w:highlight w:val="none"/>
          <w:u w:val="single"/>
        </w:rPr>
        <w:t>项目负责人（施工负责人）在任职期间不得担任专职安全员，项目专职安全员在任职期间也不得担任项目负责人（施工负责人），项目负责人（施工负责人）和专职安全员不为同一人。</w:t>
      </w:r>
    </w:p>
    <w:p w14:paraId="6424DF2C">
      <w:pPr>
        <w:widowControl/>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（3）技术负责人</w:t>
      </w:r>
      <w:r>
        <w:rPr>
          <w:rFonts w:hint="eastAsia" w:ascii="宋体" w:hAnsi="宋体" w:cs="宋体"/>
          <w:color w:val="auto"/>
          <w:sz w:val="24"/>
          <w:highlight w:val="none"/>
          <w:u w:val="single"/>
        </w:rPr>
        <w:t>（若为联合体投标，由</w:t>
      </w:r>
      <w:r>
        <w:rPr>
          <w:rFonts w:hint="eastAsia" w:ascii="宋体" w:hAnsi="宋体" w:cs="宋体"/>
          <w:color w:val="auto"/>
          <w:sz w:val="24"/>
          <w:highlight w:val="none"/>
          <w:u w:val="single"/>
          <w:lang w:val="en-US" w:eastAsia="zh-CN"/>
        </w:rPr>
        <w:t>承担</w:t>
      </w:r>
      <w:r>
        <w:rPr>
          <w:rFonts w:hint="eastAsia" w:ascii="宋体" w:hAnsi="宋体" w:cs="宋体"/>
          <w:color w:val="auto"/>
          <w:sz w:val="24"/>
          <w:highlight w:val="none"/>
          <w:u w:val="single"/>
        </w:rPr>
        <w:t>施工任务方提供）</w:t>
      </w:r>
      <w:r>
        <w:rPr>
          <w:rFonts w:hint="eastAsia" w:ascii="宋体" w:hAnsi="宋体" w:cs="宋体"/>
          <w:color w:val="auto"/>
          <w:sz w:val="24"/>
          <w:highlight w:val="none"/>
        </w:rPr>
        <w:t>的要求为：</w:t>
      </w:r>
      <w:r>
        <w:rPr>
          <w:rFonts w:hint="eastAsia" w:ascii="宋体" w:hAnsi="宋体" w:cs="宋体"/>
          <w:color w:val="auto"/>
          <w:sz w:val="24"/>
          <w:highlight w:val="none"/>
          <w:u w:val="single"/>
        </w:rPr>
        <w:t>建筑工程相关专业中级或以上技术职称。</w:t>
      </w:r>
    </w:p>
    <w:p w14:paraId="74BADBF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负责人</w:t>
      </w:r>
      <w:r>
        <w:rPr>
          <w:rFonts w:hint="eastAsia" w:ascii="宋体" w:hAnsi="宋体" w:eastAsia="宋体" w:cs="宋体"/>
          <w:color w:val="auto"/>
          <w:sz w:val="24"/>
          <w:szCs w:val="24"/>
          <w:highlight w:val="none"/>
        </w:rPr>
        <w:t>（兼施工负责人）</w:t>
      </w:r>
      <w:r>
        <w:rPr>
          <w:rFonts w:hint="eastAsia" w:ascii="宋体" w:hAnsi="宋体" w:cs="宋体"/>
          <w:color w:val="auto"/>
          <w:sz w:val="24"/>
          <w:highlight w:val="none"/>
        </w:rPr>
        <w:t>须持有在有效期内的建设行政主管部门颁发的安全生产考核合格证（B类）</w:t>
      </w:r>
      <w:r>
        <w:rPr>
          <w:rFonts w:hint="eastAsia" w:ascii="宋体" w:hAnsi="宋体"/>
          <w:color w:val="auto"/>
          <w:kern w:val="0"/>
          <w:sz w:val="24"/>
          <w:szCs w:val="24"/>
          <w:highlight w:val="none"/>
        </w:rPr>
        <w:t>或建筑施工企业项目负责人安全生产考核合格证书</w:t>
      </w:r>
      <w:r>
        <w:rPr>
          <w:rFonts w:hint="eastAsia" w:ascii="宋体" w:hAnsi="宋体" w:cs="宋体"/>
          <w:color w:val="auto"/>
          <w:sz w:val="24"/>
          <w:highlight w:val="none"/>
        </w:rPr>
        <w:t>。</w:t>
      </w:r>
    </w:p>
    <w:p w14:paraId="5DE9F0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3.7专职安全员</w:t>
      </w:r>
      <w:r>
        <w:rPr>
          <w:rFonts w:hint="eastAsia" w:ascii="宋体" w:hAnsi="宋体" w:cs="宋体"/>
          <w:color w:val="auto"/>
          <w:sz w:val="24"/>
          <w:highlight w:val="none"/>
          <w:u w:val="single"/>
        </w:rPr>
        <w:t>（若为联合体投标，由承担施工任务方提供）</w:t>
      </w:r>
      <w:r>
        <w:rPr>
          <w:rFonts w:hint="eastAsia" w:ascii="宋体" w:hAnsi="宋体" w:cs="宋体"/>
          <w:color w:val="auto"/>
          <w:sz w:val="24"/>
          <w:highlight w:val="none"/>
        </w:rPr>
        <w:t>须持有在有效期内的建设行政部门颁发的安全生产考核合格证（C类）</w:t>
      </w:r>
      <w:r>
        <w:rPr>
          <w:rFonts w:hint="eastAsia" w:ascii="宋体" w:hAnsi="宋体"/>
          <w:color w:val="auto"/>
          <w:kern w:val="0"/>
          <w:sz w:val="24"/>
          <w:highlight w:val="none"/>
        </w:rPr>
        <w:t>或建筑施工企业专职安全生产管理人员安全生产考核合格证书（C3</w:t>
      </w:r>
      <w:r>
        <w:rPr>
          <w:rFonts w:hint="eastAsia" w:ascii="宋体" w:hAnsi="宋体" w:cs="宋体"/>
          <w:color w:val="auto"/>
          <w:sz w:val="24"/>
          <w:highlight w:val="none"/>
        </w:rPr>
        <w:t>类</w:t>
      </w:r>
      <w:r>
        <w:rPr>
          <w:rFonts w:hint="eastAsia" w:ascii="宋体" w:hAnsi="宋体"/>
          <w:color w:val="auto"/>
          <w:kern w:val="0"/>
          <w:sz w:val="24"/>
          <w:highlight w:val="none"/>
        </w:rPr>
        <w:t>）</w:t>
      </w:r>
      <w:r>
        <w:rPr>
          <w:rFonts w:hint="eastAsia" w:ascii="宋体" w:hAnsi="宋体" w:cs="宋体"/>
          <w:color w:val="auto"/>
          <w:sz w:val="24"/>
          <w:highlight w:val="none"/>
        </w:rPr>
        <w:t>。</w:t>
      </w:r>
    </w:p>
    <w:p w14:paraId="2321F502">
      <w:pPr>
        <w:widowControl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注：设计负责人、项目负责人、技术负责人和专职安全员不为同一人。</w:t>
      </w:r>
    </w:p>
    <w:p w14:paraId="3B1D5767">
      <w:pPr>
        <w:widowControl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3.8投标人已按照本招标公告附件一的内容签署盖章《投标人声明（施工单位提供）》和《投标人声明（</w:t>
      </w:r>
      <w:r>
        <w:rPr>
          <w:rFonts w:hint="eastAsia" w:ascii="宋体" w:hAnsi="宋体" w:cs="宋体"/>
          <w:color w:val="auto"/>
          <w:sz w:val="24"/>
          <w:highlight w:val="none"/>
          <w:lang w:val="en-US" w:eastAsia="zh-CN"/>
        </w:rPr>
        <w:t>勘察</w:t>
      </w:r>
      <w:r>
        <w:rPr>
          <w:rFonts w:hint="eastAsia" w:ascii="宋体" w:hAnsi="宋体" w:cs="宋体"/>
          <w:color w:val="auto"/>
          <w:sz w:val="24"/>
          <w:highlight w:val="none"/>
        </w:rPr>
        <w:t>单位提供）》</w:t>
      </w:r>
      <w:r>
        <w:rPr>
          <w:rFonts w:hint="eastAsia"/>
          <w:lang w:eastAsia="zh-CN"/>
        </w:rPr>
        <w:t>、</w:t>
      </w:r>
      <w:r>
        <w:rPr>
          <w:rFonts w:hint="eastAsia" w:ascii="宋体" w:hAnsi="宋体" w:cs="宋体"/>
          <w:color w:val="auto"/>
          <w:sz w:val="24"/>
          <w:highlight w:val="none"/>
        </w:rPr>
        <w:t>《投标人声明（设计单位提供）》。</w:t>
      </w:r>
    </w:p>
    <w:p w14:paraId="0C677CC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9</w:t>
      </w:r>
      <w:r>
        <w:rPr>
          <w:rFonts w:hint="eastAsia" w:ascii="宋体" w:hAnsi="宋体" w:cs="宋体"/>
          <w:color w:val="auto"/>
          <w:sz w:val="24"/>
          <w:highlight w:val="none"/>
        </w:rPr>
        <w:t>关于联合体投标：</w:t>
      </w:r>
    </w:p>
    <w:p w14:paraId="26B9B9A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（1）允许联合体投标，</w:t>
      </w:r>
      <w:r>
        <w:rPr>
          <w:rFonts w:hint="eastAsia" w:ascii="宋体" w:hAnsi="宋体" w:cs="宋体"/>
          <w:color w:val="auto"/>
          <w:sz w:val="24"/>
          <w:highlight w:val="none"/>
          <w:lang w:val="en-US" w:eastAsia="zh-CN"/>
        </w:rPr>
        <w:t>但</w:t>
      </w:r>
      <w:r>
        <w:rPr>
          <w:rFonts w:hint="eastAsia" w:ascii="宋体" w:hAnsi="宋体" w:cs="宋体"/>
          <w:color w:val="auto"/>
          <w:sz w:val="24"/>
          <w:highlight w:val="none"/>
          <w:u w:val="single"/>
        </w:rPr>
        <w:t>只接受最多由3家单位</w:t>
      </w:r>
      <w:r>
        <w:rPr>
          <w:rFonts w:ascii="宋体" w:hAnsi="宋体" w:cs="宋体"/>
          <w:color w:val="auto"/>
          <w:sz w:val="24"/>
          <w:szCs w:val="24"/>
          <w:highlight w:val="none"/>
          <w:u w:val="single"/>
        </w:rPr>
        <w:t>（即</w:t>
      </w:r>
      <w:r>
        <w:rPr>
          <w:rFonts w:hint="eastAsia" w:ascii="宋体" w:hAnsi="宋体" w:cs="宋体"/>
          <w:color w:val="auto"/>
          <w:sz w:val="24"/>
          <w:szCs w:val="24"/>
          <w:highlight w:val="none"/>
          <w:u w:val="single"/>
        </w:rPr>
        <w:t>1</w:t>
      </w:r>
      <w:r>
        <w:rPr>
          <w:rFonts w:ascii="宋体" w:hAnsi="宋体" w:cs="宋体"/>
          <w:color w:val="auto"/>
          <w:sz w:val="24"/>
          <w:szCs w:val="24"/>
          <w:highlight w:val="none"/>
          <w:u w:val="single"/>
        </w:rPr>
        <w:t>家勘察单位、</w:t>
      </w:r>
      <w:r>
        <w:rPr>
          <w:rFonts w:hint="eastAsia" w:ascii="宋体" w:hAnsi="宋体" w:cs="宋体"/>
          <w:color w:val="auto"/>
          <w:sz w:val="24"/>
          <w:szCs w:val="24"/>
          <w:highlight w:val="none"/>
          <w:u w:val="single"/>
        </w:rPr>
        <w:t>1</w:t>
      </w:r>
      <w:r>
        <w:rPr>
          <w:rFonts w:ascii="宋体" w:hAnsi="宋体" w:cs="宋体"/>
          <w:color w:val="auto"/>
          <w:sz w:val="24"/>
          <w:szCs w:val="24"/>
          <w:highlight w:val="none"/>
          <w:u w:val="single"/>
        </w:rPr>
        <w:t>家设计单位、1家施工单位）组成的联合体。</w:t>
      </w:r>
      <w:r>
        <w:rPr>
          <w:rFonts w:ascii="宋体" w:hAnsi="宋体" w:cs="宋体"/>
          <w:color w:val="auto"/>
          <w:sz w:val="24"/>
          <w:szCs w:val="24"/>
          <w:highlight w:val="none"/>
        </w:rPr>
        <w:t>应以承担施工任务的一方为主办方，并签定</w:t>
      </w:r>
      <w:r>
        <w:rPr>
          <w:rFonts w:hint="eastAsia" w:ascii="宋体" w:hAnsi="宋体" w:cs="宋体"/>
          <w:color w:val="auto"/>
          <w:sz w:val="24"/>
          <w:szCs w:val="24"/>
          <w:highlight w:val="none"/>
        </w:rPr>
        <w:t>《</w:t>
      </w:r>
      <w:r>
        <w:rPr>
          <w:rFonts w:ascii="宋体" w:hAnsi="宋体" w:cs="宋体"/>
          <w:color w:val="auto"/>
          <w:sz w:val="24"/>
          <w:szCs w:val="24"/>
          <w:highlight w:val="none"/>
        </w:rPr>
        <w:t>联合体共同投标协议书</w:t>
      </w:r>
      <w:r>
        <w:rPr>
          <w:rFonts w:hint="eastAsia" w:ascii="宋体" w:hAnsi="宋体" w:cs="宋体"/>
          <w:color w:val="auto"/>
          <w:sz w:val="24"/>
          <w:szCs w:val="24"/>
          <w:highlight w:val="none"/>
        </w:rPr>
        <w:t>》</w:t>
      </w:r>
      <w:r>
        <w:rPr>
          <w:rFonts w:ascii="宋体" w:hAnsi="宋体" w:cs="宋体"/>
          <w:color w:val="auto"/>
          <w:sz w:val="24"/>
          <w:szCs w:val="24"/>
          <w:highlight w:val="none"/>
        </w:rPr>
        <w:t>。</w:t>
      </w:r>
      <w:r>
        <w:rPr>
          <w:rFonts w:hint="eastAsia" w:ascii="宋体" w:hAnsi="宋体" w:cs="宋体"/>
          <w:color w:val="auto"/>
          <w:sz w:val="24"/>
          <w:szCs w:val="24"/>
          <w:highlight w:val="none"/>
        </w:rPr>
        <w:t>《</w:t>
      </w:r>
      <w:r>
        <w:rPr>
          <w:rFonts w:ascii="宋体" w:hAnsi="宋体" w:cs="宋体"/>
          <w:color w:val="auto"/>
          <w:sz w:val="24"/>
          <w:szCs w:val="24"/>
          <w:highlight w:val="none"/>
        </w:rPr>
        <w:t>联合体共同投标协议书</w:t>
      </w:r>
      <w:r>
        <w:rPr>
          <w:rFonts w:hint="eastAsia" w:ascii="宋体" w:hAnsi="宋体" w:cs="宋体"/>
          <w:color w:val="auto"/>
          <w:sz w:val="24"/>
          <w:szCs w:val="24"/>
          <w:highlight w:val="none"/>
        </w:rPr>
        <w:t>》</w:t>
      </w:r>
      <w:r>
        <w:rPr>
          <w:rFonts w:ascii="宋体" w:hAnsi="宋体" w:cs="宋体"/>
          <w:color w:val="auto"/>
          <w:sz w:val="24"/>
          <w:szCs w:val="24"/>
          <w:highlight w:val="none"/>
        </w:rPr>
        <w:t>应明确约定各方拟承担的工作和责任。</w:t>
      </w:r>
    </w:p>
    <w:p w14:paraId="34C061C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（2）投标人拟任本工程项目负责人、设计负责人、技术负责人、专职安全员必须是联合体中对应分工成员的正式员工，以上4项人员不得重复兼任。</w:t>
      </w:r>
    </w:p>
    <w:p w14:paraId="190C989A">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（3）联合体的资格条件按联合体任务分工进行评审。</w:t>
      </w:r>
      <w:r>
        <w:rPr>
          <w:rFonts w:ascii="宋体" w:hAnsi="宋体" w:cs="宋体"/>
          <w:color w:val="auto"/>
          <w:sz w:val="24"/>
          <w:szCs w:val="24"/>
          <w:highlight w:val="none"/>
        </w:rPr>
        <w:t>（其中施工资质、安全生产许可证、专职安全员、项目负责人、技术负责人以承接施工任务的主办方为准；工程设计资质及设计负责人以承接设计任务的成员单位为准；工程勘察资质以承接勘察任务的成员单位为准）。</w:t>
      </w:r>
    </w:p>
    <w:p w14:paraId="333B5E74">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（4）联合体各方不得再以自己名义单独或加入其他联合体参加本项目的投标。</w:t>
      </w:r>
    </w:p>
    <w:p w14:paraId="61CE0D5B">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w:t>
      </w:r>
      <w:r>
        <w:rPr>
          <w:rFonts w:ascii="宋体" w:hAnsi="宋体" w:cs="宋体"/>
          <w:color w:val="auto"/>
          <w:sz w:val="24"/>
          <w:highlight w:val="none"/>
        </w:rPr>
        <w:t>0</w:t>
      </w:r>
      <w:r>
        <w:rPr>
          <w:rFonts w:hint="eastAsia" w:ascii="宋体" w:hAnsi="宋体" w:cs="宋体"/>
          <w:color w:val="auto"/>
          <w:sz w:val="24"/>
          <w:highlight w:val="none"/>
          <w:u w:val="none"/>
        </w:rPr>
        <w:t>投标登记前</w:t>
      </w:r>
      <w:r>
        <w:rPr>
          <w:rFonts w:hint="eastAsia" w:ascii="宋体" w:hAnsi="宋体" w:cs="宋体"/>
          <w:color w:val="auto"/>
          <w:sz w:val="24"/>
          <w:highlight w:val="none"/>
        </w:rPr>
        <w:t>，投标人（若为联合体投标，指联合体各方）须在广州交易集团有限公司（广州公共资源交易中心）办理企业信息登记及拟担任本工程</w:t>
      </w:r>
      <w:r>
        <w:rPr>
          <w:rFonts w:ascii="宋体" w:hAnsi="宋体" w:cs="宋体"/>
          <w:color w:val="auto"/>
          <w:sz w:val="24"/>
          <w:szCs w:val="24"/>
          <w:highlight w:val="none"/>
        </w:rPr>
        <w:t>项目负责人、专职安全员</w:t>
      </w:r>
      <w:r>
        <w:rPr>
          <w:rFonts w:hint="eastAsia" w:ascii="宋体" w:hAnsi="宋体" w:cs="宋体"/>
          <w:color w:val="auto"/>
          <w:sz w:val="24"/>
          <w:szCs w:val="24"/>
          <w:highlight w:val="none"/>
        </w:rPr>
        <w:t>、技术负责人</w:t>
      </w:r>
      <w:r>
        <w:rPr>
          <w:rFonts w:ascii="宋体" w:hAnsi="宋体" w:cs="宋体"/>
          <w:color w:val="auto"/>
          <w:sz w:val="24"/>
          <w:szCs w:val="24"/>
          <w:highlight w:val="none"/>
        </w:rPr>
        <w:t>及设计负责人须是本企业登记信息中的在册人员</w:t>
      </w:r>
      <w:r>
        <w:rPr>
          <w:rFonts w:hint="eastAsia" w:ascii="宋体" w:hAnsi="宋体" w:cs="宋体"/>
          <w:color w:val="auto"/>
          <w:sz w:val="24"/>
          <w:highlight w:val="none"/>
        </w:rPr>
        <w:t>（若为联合体投标，企业信息和人员在册情况为《联合体投标协议书》分工对应企业库内登记信息）。</w:t>
      </w:r>
    </w:p>
    <w:p w14:paraId="219C431D">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3.11投标人</w:t>
      </w:r>
      <w:r>
        <w:rPr>
          <w:rFonts w:hint="eastAsia" w:ascii="宋体" w:hAnsi="宋体" w:cs="宋体"/>
          <w:color w:val="auto"/>
          <w:sz w:val="24"/>
          <w:highlight w:val="none"/>
          <w:u w:val="single"/>
        </w:rPr>
        <w:t>（若为联合体投标，指联合体各方）</w:t>
      </w:r>
      <w:r>
        <w:rPr>
          <w:rFonts w:hint="eastAsia" w:ascii="宋体" w:hAnsi="宋体" w:cs="宋体"/>
          <w:color w:val="auto"/>
          <w:sz w:val="24"/>
          <w:highlight w:val="none"/>
        </w:rPr>
        <w:t>未出现以下情形：</w:t>
      </w:r>
      <w:r>
        <w:rPr>
          <w:rFonts w:hint="eastAsia" w:ascii="宋体" w:hAnsi="宋体" w:cs="宋体"/>
          <w:color w:val="auto"/>
          <w:kern w:val="0"/>
          <w:sz w:val="24"/>
          <w:szCs w:val="24"/>
          <w:highlight w:val="none"/>
        </w:rPr>
        <w:t>与其它投标人的单位负责人为同一人或者存在控股、管理关系的（按投标人提供的《投标人声明（施工单位提供）》第八条和《投标人声明（设计单位提供）》第四条和《投标人声明（勘察单位提供）》第四条内容进行评审）。</w:t>
      </w:r>
      <w:r>
        <w:rPr>
          <w:rFonts w:hint="eastAsia" w:ascii="宋体" w:hAnsi="宋体" w:cs="宋体"/>
          <w:color w:val="auto"/>
          <w:sz w:val="24"/>
          <w:szCs w:val="24"/>
          <w:highlight w:val="none"/>
        </w:rPr>
        <w:t>如不同投标人出现单位负责人为同一人或者存在控股、管理关系的情形，则均判为无效标。</w:t>
      </w:r>
    </w:p>
    <w:p w14:paraId="2A196CC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3.12投标人（若为联合体投标，指</w:t>
      </w:r>
      <w:r>
        <w:rPr>
          <w:rFonts w:hint="eastAsia" w:ascii="宋体" w:hAnsi="宋体" w:cs="宋体"/>
          <w:color w:val="auto"/>
          <w:sz w:val="24"/>
          <w:highlight w:val="none"/>
          <w:u w:val="single"/>
          <w:lang w:val="en-US" w:eastAsia="zh-CN"/>
        </w:rPr>
        <w:t>承担</w:t>
      </w:r>
      <w:r>
        <w:rPr>
          <w:rFonts w:hint="eastAsia" w:ascii="宋体" w:hAnsi="宋体" w:cs="宋体"/>
          <w:color w:val="auto"/>
          <w:sz w:val="24"/>
          <w:highlight w:val="none"/>
          <w:u w:val="single"/>
        </w:rPr>
        <w:t>施工任务方</w:t>
      </w:r>
      <w:r>
        <w:rPr>
          <w:rFonts w:hint="eastAsia" w:ascii="宋体" w:hAnsi="宋体" w:cs="宋体"/>
          <w:color w:val="auto"/>
          <w:sz w:val="24"/>
          <w:highlight w:val="none"/>
        </w:rPr>
        <w:t>）未被列入拖欠农民工工资失信联合惩戒对象名单。</w:t>
      </w:r>
    </w:p>
    <w:p w14:paraId="009584B2">
      <w:pPr>
        <w:widowControl/>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13本工程不接受前期服务机构投标。对照招标公告第2.8条列明的前期服务机构评审。</w:t>
      </w:r>
    </w:p>
    <w:p w14:paraId="32ADF1E5">
      <w:pPr>
        <w:widowControl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注：未在招标公告第3条单列的资审合格条件（投标人资格要求），不作为资审不合格的依据。</w:t>
      </w:r>
    </w:p>
    <w:p w14:paraId="780085C5">
      <w:pPr>
        <w:pStyle w:val="2"/>
        <w:keepNext w:val="0"/>
        <w:keepLines w:val="0"/>
        <w:spacing w:before="0" w:after="0" w:line="360" w:lineRule="auto"/>
        <w:rPr>
          <w:rFonts w:ascii="宋体" w:hAnsi="宋体" w:eastAsia="宋体"/>
          <w:color w:val="auto"/>
          <w:highlight w:val="none"/>
        </w:rPr>
      </w:pPr>
      <w:r>
        <w:rPr>
          <w:rFonts w:ascii="宋体" w:hAnsi="宋体" w:eastAsia="宋体"/>
          <w:color w:val="auto"/>
          <w:highlight w:val="none"/>
        </w:rPr>
        <w:t xml:space="preserve">4. </w:t>
      </w:r>
      <w:r>
        <w:rPr>
          <w:rFonts w:hint="eastAsia" w:ascii="宋体" w:hAnsi="宋体" w:eastAsia="宋体"/>
          <w:color w:val="auto"/>
          <w:highlight w:val="none"/>
        </w:rPr>
        <w:t>费用</w:t>
      </w:r>
    </w:p>
    <w:p w14:paraId="292E4CCE">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4.1勘察费由投标人根据招标文件要求以及企业自身情况填报，投标报价不得高于勘察费最高投标限价，</w:t>
      </w:r>
      <w:r>
        <w:rPr>
          <w:rFonts w:hint="eastAsia" w:ascii="宋体" w:hAnsi="宋体" w:eastAsia="宋体" w:cs="Times New Roman"/>
          <w:color w:val="auto"/>
          <w:sz w:val="24"/>
          <w:szCs w:val="24"/>
          <w:highlight w:val="none"/>
          <w:shd w:val="clear" w:color="auto" w:fill="FFFFFF"/>
        </w:rPr>
        <w:t>结算按合同相应条款执行。</w:t>
      </w:r>
    </w:p>
    <w:p w14:paraId="7A46D3A5">
      <w:pPr>
        <w:widowControl/>
        <w:shd w:val="clear" w:color="auto" w:fill="FFFFFF"/>
        <w:tabs>
          <w:tab w:val="left" w:pos="105"/>
        </w:tabs>
        <w:spacing w:line="360" w:lineRule="auto"/>
        <w:ind w:firstLine="480" w:firstLineChars="200"/>
        <w:jc w:val="left"/>
        <w:rPr>
          <w:rFonts w:ascii="宋体" w:hAnsi="宋体"/>
          <w:color w:val="auto"/>
          <w:sz w:val="24"/>
          <w:szCs w:val="24"/>
          <w:highlight w:val="none"/>
          <w:shd w:val="clear" w:color="auto" w:fill="FFFFFF"/>
        </w:rPr>
      </w:pPr>
      <w:r>
        <w:rPr>
          <w:rFonts w:hint="eastAsia" w:ascii="宋体" w:hAnsi="宋体"/>
          <w:color w:val="auto"/>
          <w:sz w:val="24"/>
          <w:szCs w:val="24"/>
          <w:highlight w:val="none"/>
          <w:shd w:val="clear" w:color="auto" w:fill="FFFFFF"/>
        </w:rPr>
        <w:t>岩土工程勘察费用，按照承发包双方确认的实际工程量（投标时暂由投标人自行估算工程量）乘以综合包干单价结算，该单价已包括所有实物工作收费、技术工作收费、税金以及办理工程勘察相关许可等全部费用。综合包干单价按广州开发区政府投资建设项目管理中心“关于印发《广州开发区、萝岗区政府投资建设项目岩土工程勘探综合费取费标准》的通知（穗开建管【2014】1号）”计取，即“一般场地道路工程、房建项目钻探：200元/米；山上道路工程、房建项目（需开辟临时进场道路，开挖工作平台，主要设备需要辅助运输的）钻探：300元/米；在鱼塘、小河涌或小型水库水上道路工程钻探（需搭设简易工作平台）：400元/米；一般场地桥梁工程钻探：350元/米；山上、鱼塘、小河涌、小型水库桥梁工程钻探：490元/米。”。</w:t>
      </w:r>
    </w:p>
    <w:p w14:paraId="789115D1">
      <w:pPr>
        <w:widowControl/>
        <w:shd w:val="clear" w:color="auto" w:fill="FFFFFF"/>
        <w:tabs>
          <w:tab w:val="left" w:pos="105"/>
        </w:tabs>
        <w:spacing w:line="360" w:lineRule="auto"/>
        <w:ind w:firstLine="480" w:firstLineChars="200"/>
        <w:jc w:val="left"/>
        <w:rPr>
          <w:rFonts w:hint="eastAsia" w:ascii="宋体" w:hAnsi="宋体" w:eastAsia="宋体" w:cs="宋体"/>
          <w:color w:val="auto"/>
          <w:sz w:val="24"/>
          <w:szCs w:val="24"/>
          <w:highlight w:val="none"/>
          <w:shd w:val="clear" w:color="auto" w:fill="auto"/>
        </w:rPr>
      </w:pPr>
      <w:r>
        <w:rPr>
          <w:rFonts w:hint="eastAsia" w:ascii="宋体" w:hAnsi="宋体"/>
          <w:color w:val="auto"/>
          <w:sz w:val="24"/>
          <w:szCs w:val="24"/>
          <w:highlight w:val="none"/>
          <w:shd w:val="clear" w:color="auto" w:fill="FFFFFF"/>
        </w:rPr>
        <w:t xml:space="preserve"> </w:t>
      </w:r>
      <w:r>
        <w:rPr>
          <w:rFonts w:hint="eastAsia" w:ascii="宋体" w:hAnsi="宋体" w:eastAsia="宋体" w:cs="宋体"/>
          <w:color w:val="auto"/>
          <w:sz w:val="24"/>
          <w:szCs w:val="24"/>
          <w:highlight w:val="none"/>
          <w:shd w:val="clear" w:color="auto" w:fill="auto"/>
        </w:rPr>
        <w:t>工程测量费按照承发包双方确认的实际工程量，根据国家计委、建设部颁发的《工程勘察设计收费标准》（计价格[2002]10号文）及《关于印发&lt;广州开发区、萝岗区政府投资建设项目岩土工程勘探综合费取费标准&gt;的通知》（穗开建管[2014]1号）的规定执行投标下浮率计取（要求投标下浮率≥30%，投标下浮率为相对工程测量费取费基价计算），其中用于办理规划报建用地预审、规划国土等手续的1：500地形测量收费标准按国家测绘局颁发的国家测绘产品价格收费标准及《关于印发&lt;广州开发区、萝岗区政府投资建设项目岩土工程勘探综合费取费标准&gt;的通知》（穗开建管[2014]1号）的规定执行投标下浮率计取（要求投标下浮率≥30%，投标下浮率为相对地形测量取费基价计算）。按《测绘工程产品价格》（国测财字﹝2002﹞3号）计取单价的项目，不予计取技术工作费。在合同实施期间工程测量费按实际完成工作量调整，但费率浮动幅度不变。</w:t>
      </w:r>
    </w:p>
    <w:p w14:paraId="61291D92">
      <w:pPr>
        <w:topLinePunct/>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4.2设计费由投标人根据招标文件要求以及企业自身情况填报，设计费报价不得超过设计费最高投标限价，</w:t>
      </w:r>
      <w:r>
        <w:rPr>
          <w:rFonts w:hint="eastAsia" w:ascii="宋体" w:hAnsi="宋体" w:cs="宋体"/>
          <w:color w:val="auto"/>
          <w:sz w:val="24"/>
          <w:szCs w:val="24"/>
          <w:highlight w:val="none"/>
          <w:shd w:val="clear" w:color="auto" w:fill="FFFFFF"/>
        </w:rPr>
        <w:t>结算按合同相应条款执行。</w:t>
      </w:r>
    </w:p>
    <w:p w14:paraId="6C73DD53">
      <w:pPr>
        <w:topLinePunct/>
        <w:spacing w:line="360" w:lineRule="auto"/>
        <w:ind w:firstLine="480" w:firstLineChars="200"/>
        <w:jc w:val="left"/>
        <w:rPr>
          <w:rFonts w:hint="eastAsia" w:ascii="宋体" w:hAnsi="宋体" w:eastAsia="宋体" w:cs="宋体"/>
          <w:color w:val="auto"/>
          <w:sz w:val="24"/>
          <w:szCs w:val="24"/>
          <w:highlight w:val="none"/>
          <w:u w:val="single"/>
          <w:shd w:val="clear" w:color="auto" w:fill="auto"/>
        </w:rPr>
      </w:pPr>
      <w:r>
        <w:rPr>
          <w:rFonts w:hint="eastAsia" w:ascii="宋体" w:hAnsi="宋体" w:cs="宋体"/>
          <w:color w:val="auto"/>
          <w:sz w:val="24"/>
          <w:szCs w:val="24"/>
          <w:highlight w:val="none"/>
          <w:u w:val="single"/>
          <w:shd w:val="clear" w:color="auto" w:fill="auto"/>
          <w:lang w:val="en-US" w:eastAsia="zh-CN"/>
        </w:rPr>
        <w:t>4.2.1</w:t>
      </w:r>
      <w:r>
        <w:rPr>
          <w:rFonts w:hint="eastAsia" w:ascii="宋体" w:hAnsi="宋体" w:eastAsia="宋体" w:cs="宋体"/>
          <w:color w:val="auto"/>
          <w:sz w:val="24"/>
          <w:szCs w:val="24"/>
          <w:highlight w:val="none"/>
          <w:u w:val="single"/>
          <w:shd w:val="clear" w:color="auto" w:fill="auto"/>
        </w:rPr>
        <w:t>投标人按国家计委、建设部颁发的《工程勘察设计收费标准》（计价格[2002]10号）及穗开财字【2014】53号文</w:t>
      </w:r>
      <w:r>
        <w:rPr>
          <w:rFonts w:hint="eastAsia" w:ascii="宋体" w:hAnsi="宋体" w:cs="宋体"/>
          <w:color w:val="auto"/>
          <w:sz w:val="24"/>
          <w:szCs w:val="24"/>
          <w:highlight w:val="none"/>
          <w:u w:val="single"/>
          <w:shd w:val="clear" w:color="auto" w:fill="auto"/>
          <w:lang w:val="en-US" w:eastAsia="zh-CN"/>
        </w:rPr>
        <w:t>并执行中标下浮率计算</w:t>
      </w:r>
      <w:r>
        <w:rPr>
          <w:rFonts w:hint="eastAsia" w:ascii="宋体" w:hAnsi="宋体" w:cs="宋体"/>
          <w:color w:val="auto"/>
          <w:sz w:val="24"/>
          <w:szCs w:val="24"/>
          <w:highlight w:val="none"/>
          <w:u w:val="single"/>
          <w:shd w:val="clear" w:color="auto" w:fill="auto"/>
          <w:lang w:eastAsia="zh-CN"/>
        </w:rPr>
        <w:t>（</w:t>
      </w:r>
      <w:r>
        <w:rPr>
          <w:rFonts w:hint="eastAsia" w:ascii="宋体" w:hAnsi="宋体" w:cs="宋体"/>
          <w:color w:val="auto"/>
          <w:sz w:val="24"/>
          <w:szCs w:val="24"/>
          <w:highlight w:val="none"/>
          <w:u w:val="single"/>
          <w:shd w:val="clear" w:color="auto" w:fill="auto"/>
          <w:lang w:val="en-US" w:eastAsia="zh-CN"/>
        </w:rPr>
        <w:t>要求投标下浮率</w:t>
      </w:r>
      <w:r>
        <w:rPr>
          <w:rFonts w:hint="default" w:ascii="宋体" w:hAnsi="宋体" w:eastAsia="宋体" w:cs="宋体"/>
          <w:color w:val="auto"/>
          <w:sz w:val="24"/>
          <w:szCs w:val="24"/>
          <w:highlight w:val="none"/>
          <w:u w:val="single"/>
          <w:shd w:val="clear" w:color="auto" w:fill="auto"/>
          <w:lang w:val="en-US" w:eastAsia="zh-CN"/>
        </w:rPr>
        <w:t>≥</w:t>
      </w:r>
      <w:r>
        <w:rPr>
          <w:rFonts w:hint="eastAsia" w:ascii="宋体" w:hAnsi="宋体" w:eastAsia="宋体" w:cs="宋体"/>
          <w:color w:val="auto"/>
          <w:sz w:val="24"/>
          <w:szCs w:val="24"/>
          <w:highlight w:val="none"/>
          <w:u w:val="single"/>
          <w:shd w:val="clear" w:color="auto" w:fill="auto"/>
          <w:lang w:val="en-US" w:eastAsia="zh-CN"/>
        </w:rPr>
        <w:t>2</w:t>
      </w:r>
      <w:r>
        <w:rPr>
          <w:rFonts w:hint="eastAsia" w:ascii="宋体" w:hAnsi="宋体" w:eastAsia="宋体" w:cs="宋体"/>
          <w:color w:val="auto"/>
          <w:sz w:val="24"/>
          <w:szCs w:val="24"/>
          <w:highlight w:val="none"/>
          <w:u w:val="single"/>
          <w:shd w:val="clear" w:color="auto" w:fill="auto"/>
        </w:rPr>
        <w:t>0%</w:t>
      </w:r>
      <w:r>
        <w:rPr>
          <w:rFonts w:hint="eastAsia" w:ascii="宋体" w:hAnsi="宋体" w:eastAsia="宋体" w:cs="宋体"/>
          <w:color w:val="auto"/>
          <w:sz w:val="24"/>
          <w:szCs w:val="24"/>
          <w:highlight w:val="none"/>
          <w:u w:val="single"/>
          <w:shd w:val="clear" w:color="auto" w:fill="auto"/>
          <w:lang w:eastAsia="zh-CN"/>
        </w:rPr>
        <w:t>，</w:t>
      </w:r>
      <w:r>
        <w:rPr>
          <w:rFonts w:hint="eastAsia" w:ascii="宋体" w:hAnsi="宋体" w:eastAsia="宋体" w:cs="宋体"/>
          <w:color w:val="auto"/>
          <w:sz w:val="24"/>
          <w:szCs w:val="24"/>
          <w:highlight w:val="none"/>
          <w:u w:val="single"/>
          <w:shd w:val="clear" w:color="auto" w:fill="auto"/>
          <w:lang w:val="en-US" w:eastAsia="zh-CN"/>
        </w:rPr>
        <w:t>投标下浮率为相对</w:t>
      </w:r>
      <w:r>
        <w:rPr>
          <w:rFonts w:hint="eastAsia" w:ascii="宋体" w:hAnsi="宋体" w:eastAsia="宋体" w:cs="宋体"/>
          <w:color w:val="auto"/>
          <w:sz w:val="24"/>
          <w:szCs w:val="24"/>
          <w:highlight w:val="none"/>
          <w:u w:val="single"/>
          <w:shd w:val="clear" w:color="auto" w:fill="auto"/>
        </w:rPr>
        <w:t>基本设计收费</w:t>
      </w:r>
      <w:r>
        <w:rPr>
          <w:rFonts w:hint="eastAsia" w:ascii="宋体" w:hAnsi="宋体" w:eastAsia="宋体" w:cs="宋体"/>
          <w:color w:val="auto"/>
          <w:sz w:val="24"/>
          <w:szCs w:val="24"/>
          <w:highlight w:val="none"/>
          <w:u w:val="single"/>
          <w:shd w:val="clear" w:color="auto" w:fill="auto"/>
          <w:lang w:val="en-US" w:eastAsia="zh-CN"/>
        </w:rPr>
        <w:t>计算</w:t>
      </w:r>
      <w:r>
        <w:rPr>
          <w:rFonts w:hint="eastAsia" w:ascii="宋体" w:hAnsi="宋体" w:cs="宋体"/>
          <w:color w:val="auto"/>
          <w:sz w:val="24"/>
          <w:szCs w:val="24"/>
          <w:highlight w:val="none"/>
          <w:u w:val="single"/>
          <w:shd w:val="clear" w:color="auto" w:fill="auto"/>
          <w:lang w:eastAsia="zh-CN"/>
        </w:rPr>
        <w:t>）</w:t>
      </w:r>
      <w:r>
        <w:rPr>
          <w:rFonts w:hint="eastAsia" w:ascii="宋体" w:hAnsi="宋体" w:cs="宋体"/>
          <w:color w:val="auto"/>
          <w:kern w:val="0"/>
          <w:sz w:val="24"/>
          <w:szCs w:val="24"/>
          <w:highlight w:val="none"/>
        </w:rPr>
        <w:t>。</w:t>
      </w:r>
      <w:r>
        <w:rPr>
          <w:rFonts w:hint="eastAsia" w:ascii="宋体" w:hAnsi="宋体" w:eastAsia="宋体" w:cs="宋体"/>
          <w:color w:val="auto"/>
          <w:sz w:val="24"/>
          <w:szCs w:val="24"/>
          <w:highlight w:val="none"/>
          <w:u w:val="single"/>
          <w:shd w:val="clear" w:color="auto" w:fill="auto"/>
        </w:rPr>
        <w:t>基本设计收费=各单项工程设计收费基价×专业调整系数×工程复杂程度调整系数×附加调整系数。专业调整系数分别定为：道路0.9，</w:t>
      </w:r>
      <w:r>
        <w:rPr>
          <w:rFonts w:hint="eastAsia" w:ascii="宋体" w:hAnsi="宋体" w:cs="宋体"/>
          <w:color w:val="auto"/>
          <w:sz w:val="24"/>
          <w:szCs w:val="24"/>
          <w:highlight w:val="none"/>
          <w:u w:val="single"/>
          <w:shd w:val="clear" w:color="auto" w:fill="auto"/>
          <w:lang w:val="en-US" w:eastAsia="zh-CN"/>
        </w:rPr>
        <w:t>桥梁</w:t>
      </w:r>
      <w:r>
        <w:rPr>
          <w:rFonts w:hint="eastAsia" w:ascii="宋体" w:hAnsi="宋体" w:eastAsia="宋体" w:cs="宋体"/>
          <w:color w:val="auto"/>
          <w:sz w:val="24"/>
          <w:szCs w:val="24"/>
          <w:highlight w:val="none"/>
          <w:u w:val="single"/>
          <w:shd w:val="clear" w:color="auto" w:fill="auto"/>
        </w:rPr>
        <w:t>1.1，其他专业 1.0；复杂程度调整系数定为1.0；附加调整系数为1.0。</w:t>
      </w:r>
    </w:p>
    <w:p w14:paraId="20267A3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tabs>
          <w:tab w:val="left" w:pos="105"/>
        </w:tabs>
        <w:kinsoku/>
        <w:wordWrap/>
        <w:overflowPunct/>
        <w:autoSpaceDE/>
        <w:autoSpaceDN/>
        <w:bidi w:val="0"/>
        <w:adjustRightInd/>
        <w:snapToGrid/>
        <w:spacing w:after="0" w:line="360" w:lineRule="auto"/>
        <w:ind w:firstLine="480" w:firstLineChars="200"/>
        <w:jc w:val="left"/>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u w:val="single"/>
          <w:shd w:val="clear" w:color="auto" w:fill="auto"/>
          <w:lang w:val="en-US" w:eastAsia="zh-CN"/>
        </w:rPr>
        <w:t>4.2.2</w:t>
      </w:r>
      <w:r>
        <w:rPr>
          <w:rFonts w:hint="eastAsia" w:ascii="宋体" w:hAnsi="宋体" w:eastAsia="宋体" w:cs="宋体"/>
          <w:color w:val="auto"/>
          <w:sz w:val="24"/>
          <w:szCs w:val="24"/>
          <w:highlight w:val="none"/>
          <w:u w:val="single"/>
          <w:shd w:val="clear" w:color="auto" w:fill="auto"/>
        </w:rPr>
        <w:t>设计收费结算以园区财政评审部门或其授权委托单位审定的建设项目投资概算中的建安费、设备与工器具购置费和联合试运转费之和（不含施工便道、暂定金等与设</w:t>
      </w:r>
      <w:r>
        <w:rPr>
          <w:rFonts w:hint="eastAsia" w:ascii="宋体" w:hAnsi="宋体" w:cs="宋体"/>
          <w:color w:val="auto"/>
          <w:sz w:val="24"/>
          <w:szCs w:val="24"/>
          <w:highlight w:val="none"/>
          <w:u w:val="single"/>
          <w:shd w:val="clear" w:color="auto" w:fill="auto"/>
          <w:lang w:val="en-US" w:eastAsia="zh-CN"/>
        </w:rPr>
        <w:t>计</w:t>
      </w:r>
      <w:r>
        <w:rPr>
          <w:rFonts w:hint="eastAsia" w:ascii="宋体" w:hAnsi="宋体" w:eastAsia="宋体" w:cs="宋体"/>
          <w:color w:val="auto"/>
          <w:sz w:val="24"/>
          <w:szCs w:val="24"/>
          <w:highlight w:val="none"/>
          <w:u w:val="single"/>
          <w:shd w:val="clear" w:color="auto" w:fill="auto"/>
        </w:rPr>
        <w:t>图纸无关项目的费用）为计费额。但本工程审定的施工图预算价小于该计费额90%的，设计费结算以审定的施工图预算价为计费额，并调整设计费支付。</w:t>
      </w:r>
    </w:p>
    <w:p w14:paraId="221D3C59">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4.3建安工程费由投标人根据招标文件要求以及企业自身情况填报，投标报价不得高于建安工程费最高投标限价</w:t>
      </w:r>
      <w:r>
        <w:rPr>
          <w:rFonts w:hint="eastAsia" w:ascii="宋体" w:hAnsi="宋体" w:cs="宋体"/>
          <w:color w:val="auto"/>
          <w:sz w:val="24"/>
          <w:szCs w:val="24"/>
          <w:highlight w:val="none"/>
          <w:u w:val="none"/>
        </w:rPr>
        <w:t>，结算按合同相应条款执行</w:t>
      </w:r>
      <w:r>
        <w:rPr>
          <w:rFonts w:hint="eastAsia" w:ascii="宋体" w:hAnsi="宋体" w:cs="宋体"/>
          <w:color w:val="auto"/>
          <w:sz w:val="24"/>
          <w:szCs w:val="24"/>
          <w:highlight w:val="none"/>
          <w:u w:val="none"/>
          <w:lang w:eastAsia="zh-CN"/>
        </w:rPr>
        <w:t>。</w:t>
      </w:r>
    </w:p>
    <w:p w14:paraId="041A519F">
      <w:pPr>
        <w:spacing w:line="360" w:lineRule="auto"/>
        <w:ind w:firstLine="480" w:firstLineChars="200"/>
        <w:rPr>
          <w:rFonts w:ascii="宋体" w:hAnsi="宋体"/>
          <w:color w:val="auto"/>
          <w:sz w:val="24"/>
          <w:szCs w:val="24"/>
          <w:highlight w:val="none"/>
          <w:u w:val="none"/>
        </w:rPr>
      </w:pPr>
      <w:r>
        <w:rPr>
          <w:rFonts w:hint="eastAsia" w:ascii="宋体" w:hAnsi="宋体"/>
          <w:color w:val="auto"/>
          <w:sz w:val="24"/>
          <w:szCs w:val="24"/>
          <w:highlight w:val="none"/>
          <w:u w:val="none"/>
        </w:rPr>
        <w:t>4.4中标后，</w:t>
      </w:r>
      <w:r>
        <w:rPr>
          <w:rFonts w:hint="eastAsia" w:ascii="宋体" w:hAnsi="宋体"/>
          <w:color w:val="auto"/>
          <w:sz w:val="24"/>
          <w:szCs w:val="24"/>
          <w:highlight w:val="none"/>
          <w:u w:val="none"/>
          <w:lang w:eastAsia="zh-CN"/>
        </w:rPr>
        <w:t>中标人</w:t>
      </w:r>
      <w:r>
        <w:rPr>
          <w:rFonts w:hint="eastAsia" w:ascii="宋体" w:hAnsi="宋体"/>
          <w:color w:val="auto"/>
          <w:sz w:val="24"/>
          <w:szCs w:val="24"/>
          <w:highlight w:val="none"/>
          <w:u w:val="none"/>
        </w:rPr>
        <w:t>需根据投标文件和合同要求完成方案设计、初步设计及施工图设计</w:t>
      </w:r>
      <w:r>
        <w:rPr>
          <w:rFonts w:hint="eastAsia" w:ascii="宋体" w:hAnsi="宋体"/>
          <w:color w:val="auto"/>
          <w:sz w:val="24"/>
          <w:szCs w:val="24"/>
          <w:highlight w:val="none"/>
          <w:u w:val="none"/>
          <w:lang w:eastAsia="zh-CN"/>
        </w:rPr>
        <w:t>。</w:t>
      </w:r>
      <w:r>
        <w:rPr>
          <w:rFonts w:hint="eastAsia" w:ascii="宋体" w:hAnsi="宋体" w:eastAsia="宋体" w:cs="宋体"/>
          <w:snapToGrid w:val="0"/>
          <w:color w:val="auto"/>
          <w:kern w:val="0"/>
          <w:sz w:val="24"/>
          <w:szCs w:val="24"/>
          <w:highlight w:val="none"/>
          <w:u w:val="none"/>
          <w:shd w:val="clear" w:color="auto" w:fill="auto"/>
          <w:lang w:bidi="ar"/>
        </w:rPr>
        <w:t>施工图经审查通过后，由联合体设计方进行工程概算编制，与联合体施工方编制的施工图预算进行对比</w:t>
      </w:r>
      <w:r>
        <w:rPr>
          <w:rFonts w:hint="eastAsia" w:ascii="宋体" w:hAnsi="宋体" w:cs="宋体"/>
          <w:snapToGrid w:val="0"/>
          <w:color w:val="auto"/>
          <w:kern w:val="0"/>
          <w:sz w:val="24"/>
          <w:szCs w:val="24"/>
          <w:highlight w:val="none"/>
          <w:u w:val="none"/>
          <w:shd w:val="clear" w:color="auto" w:fill="auto"/>
          <w:lang w:eastAsia="zh-CN" w:bidi="ar"/>
        </w:rPr>
        <w:t>、</w:t>
      </w:r>
      <w:r>
        <w:rPr>
          <w:rFonts w:hint="eastAsia" w:ascii="宋体" w:hAnsi="宋体" w:eastAsia="宋体" w:cs="宋体"/>
          <w:snapToGrid w:val="0"/>
          <w:color w:val="auto"/>
          <w:kern w:val="0"/>
          <w:sz w:val="24"/>
          <w:szCs w:val="24"/>
          <w:highlight w:val="none"/>
          <w:u w:val="none"/>
          <w:shd w:val="clear" w:color="auto" w:fill="auto"/>
          <w:lang w:bidi="ar"/>
        </w:rPr>
        <w:t>查漏补缺</w:t>
      </w:r>
      <w:r>
        <w:rPr>
          <w:rFonts w:hint="eastAsia" w:ascii="宋体" w:hAnsi="宋体"/>
          <w:color w:val="auto"/>
          <w:sz w:val="24"/>
          <w:szCs w:val="24"/>
          <w:highlight w:val="none"/>
          <w:u w:val="none"/>
        </w:rPr>
        <w:t>并经建设单位审批后</w:t>
      </w:r>
      <w:r>
        <w:rPr>
          <w:rFonts w:hint="eastAsia" w:ascii="宋体" w:hAnsi="宋体" w:eastAsia="宋体" w:cs="宋体"/>
          <w:snapToGrid w:val="0"/>
          <w:color w:val="auto"/>
          <w:kern w:val="0"/>
          <w:sz w:val="24"/>
          <w:szCs w:val="24"/>
          <w:highlight w:val="none"/>
          <w:u w:val="none"/>
          <w:shd w:val="clear" w:color="auto" w:fill="auto"/>
          <w:lang w:bidi="ar"/>
        </w:rPr>
        <w:t>将工程概算、预算</w:t>
      </w:r>
      <w:r>
        <w:rPr>
          <w:rFonts w:hint="eastAsia" w:ascii="宋体" w:hAnsi="宋体" w:cs="宋体"/>
          <w:snapToGrid w:val="0"/>
          <w:color w:val="auto"/>
          <w:kern w:val="0"/>
          <w:sz w:val="24"/>
          <w:szCs w:val="24"/>
          <w:highlight w:val="none"/>
          <w:u w:val="none"/>
          <w:shd w:val="clear" w:color="auto" w:fill="auto"/>
          <w:lang w:val="en-US" w:eastAsia="zh-CN" w:bidi="ar"/>
        </w:rPr>
        <w:t>报</w:t>
      </w:r>
      <w:r>
        <w:rPr>
          <w:rFonts w:hint="eastAsia" w:ascii="宋体" w:hAnsi="宋体" w:eastAsia="宋体" w:cs="宋体"/>
          <w:snapToGrid w:val="0"/>
          <w:color w:val="auto"/>
          <w:kern w:val="0"/>
          <w:sz w:val="24"/>
          <w:szCs w:val="24"/>
          <w:highlight w:val="none"/>
          <w:u w:val="none"/>
          <w:shd w:val="clear" w:color="auto" w:fill="auto"/>
          <w:lang w:bidi="ar"/>
        </w:rPr>
        <w:t>送园区财政</w:t>
      </w:r>
      <w:r>
        <w:rPr>
          <w:rFonts w:hint="eastAsia" w:ascii="宋体" w:hAnsi="宋体" w:cs="宋体"/>
          <w:snapToGrid w:val="0"/>
          <w:color w:val="auto"/>
          <w:kern w:val="0"/>
          <w:sz w:val="24"/>
          <w:szCs w:val="24"/>
          <w:highlight w:val="none"/>
          <w:u w:val="none"/>
          <w:shd w:val="clear" w:color="auto" w:fill="auto"/>
          <w:lang w:val="en-US" w:eastAsia="zh-CN" w:bidi="ar"/>
        </w:rPr>
        <w:t>评审</w:t>
      </w:r>
      <w:r>
        <w:rPr>
          <w:rFonts w:hint="eastAsia" w:ascii="宋体" w:hAnsi="宋体" w:eastAsia="宋体" w:cs="宋体"/>
          <w:snapToGrid w:val="0"/>
          <w:color w:val="auto"/>
          <w:kern w:val="0"/>
          <w:sz w:val="24"/>
          <w:szCs w:val="24"/>
          <w:highlight w:val="none"/>
          <w:u w:val="none"/>
          <w:shd w:val="clear" w:color="auto" w:fill="auto"/>
          <w:lang w:bidi="ar"/>
        </w:rPr>
        <w:t>部门评审，其中工程预算送审价不得超过建安工程最高投标限价。</w:t>
      </w:r>
      <w:r>
        <w:rPr>
          <w:rFonts w:hint="eastAsia" w:ascii="宋体" w:hAnsi="宋体"/>
          <w:color w:val="auto"/>
          <w:sz w:val="24"/>
          <w:szCs w:val="24"/>
          <w:highlight w:val="none"/>
          <w:u w:val="none"/>
        </w:rPr>
        <w:t>审定的概算建安费按施工合同专用条款第23条调整后作为施工进度款支付及结算的依据。调整原则为：①建安工程费中标下浮率=（1-建安工程费中标价格÷建安工程费最高投标限价）×100%；②分部分项工程的综合单价=</w:t>
      </w:r>
      <w:r>
        <w:rPr>
          <w:rFonts w:hint="eastAsia" w:ascii="宋体" w:hAnsi="宋体" w:eastAsia="宋体" w:cs="宋体"/>
          <w:snapToGrid w:val="0"/>
          <w:color w:val="auto"/>
          <w:kern w:val="0"/>
          <w:sz w:val="24"/>
          <w:szCs w:val="24"/>
          <w:highlight w:val="none"/>
          <w:u w:val="none"/>
          <w:shd w:val="clear" w:color="auto" w:fill="auto"/>
          <w:lang w:bidi="ar"/>
        </w:rPr>
        <w:t>园区财政</w:t>
      </w:r>
      <w:r>
        <w:rPr>
          <w:rFonts w:hint="eastAsia" w:ascii="宋体" w:hAnsi="宋体" w:cs="宋体"/>
          <w:snapToGrid w:val="0"/>
          <w:color w:val="auto"/>
          <w:kern w:val="0"/>
          <w:sz w:val="24"/>
          <w:szCs w:val="24"/>
          <w:highlight w:val="none"/>
          <w:u w:val="none"/>
          <w:shd w:val="clear" w:color="auto" w:fill="auto"/>
          <w:lang w:val="en-US" w:eastAsia="zh-CN" w:bidi="ar"/>
        </w:rPr>
        <w:t>评审</w:t>
      </w:r>
      <w:r>
        <w:rPr>
          <w:rFonts w:hint="eastAsia" w:ascii="宋体" w:hAnsi="宋体" w:eastAsia="宋体" w:cs="宋体"/>
          <w:snapToGrid w:val="0"/>
          <w:color w:val="auto"/>
          <w:kern w:val="0"/>
          <w:sz w:val="24"/>
          <w:szCs w:val="24"/>
          <w:highlight w:val="none"/>
          <w:u w:val="none"/>
          <w:shd w:val="clear" w:color="auto" w:fill="auto"/>
          <w:lang w:bidi="ar"/>
        </w:rPr>
        <w:t>部门</w:t>
      </w:r>
      <w:r>
        <w:rPr>
          <w:rFonts w:hint="eastAsia" w:ascii="宋体" w:hAnsi="宋体" w:eastAsia="宋体" w:cs="宋体"/>
          <w:snapToGrid w:val="0"/>
          <w:color w:val="auto"/>
          <w:kern w:val="0"/>
          <w:sz w:val="24"/>
          <w:szCs w:val="24"/>
          <w:highlight w:val="none"/>
          <w:u w:val="none"/>
          <w:shd w:val="clear" w:color="auto" w:fill="auto"/>
          <w:lang w:val="en-US" w:eastAsia="zh-CN" w:bidi="ar"/>
        </w:rPr>
        <w:t>或其授权委托单位</w:t>
      </w:r>
      <w:r>
        <w:rPr>
          <w:rFonts w:hint="eastAsia" w:ascii="宋体" w:hAnsi="宋体"/>
          <w:color w:val="auto"/>
          <w:sz w:val="24"/>
          <w:szCs w:val="24"/>
          <w:highlight w:val="none"/>
          <w:u w:val="none"/>
        </w:rPr>
        <w:t>审定的概算建安费分部分项工程综合单价×（1-中标下浮率），结算时综合单价包干、工程量按实计算；③措施项目费除不可竞争费用“绿色施工安全防护措施费”外，其他均执行中标下浮率。以</w:t>
      </w:r>
      <w:r>
        <w:rPr>
          <w:rFonts w:hint="eastAsia" w:ascii="宋体" w:hAnsi="宋体" w:eastAsia="宋体" w:cs="宋体"/>
          <w:snapToGrid w:val="0"/>
          <w:color w:val="auto"/>
          <w:kern w:val="0"/>
          <w:sz w:val="24"/>
          <w:szCs w:val="24"/>
          <w:highlight w:val="none"/>
          <w:u w:val="none"/>
          <w:shd w:val="clear" w:color="auto" w:fill="auto"/>
          <w:lang w:bidi="ar"/>
        </w:rPr>
        <w:t>园区财政</w:t>
      </w:r>
      <w:r>
        <w:rPr>
          <w:rFonts w:hint="eastAsia" w:ascii="宋体" w:hAnsi="宋体" w:cs="宋体"/>
          <w:snapToGrid w:val="0"/>
          <w:color w:val="auto"/>
          <w:kern w:val="0"/>
          <w:sz w:val="24"/>
          <w:szCs w:val="24"/>
          <w:highlight w:val="none"/>
          <w:u w:val="none"/>
          <w:shd w:val="clear" w:color="auto" w:fill="auto"/>
          <w:lang w:val="en-US" w:eastAsia="zh-CN" w:bidi="ar"/>
        </w:rPr>
        <w:t>评审</w:t>
      </w:r>
      <w:r>
        <w:rPr>
          <w:rFonts w:hint="eastAsia" w:ascii="宋体" w:hAnsi="宋体" w:eastAsia="宋体" w:cs="宋体"/>
          <w:snapToGrid w:val="0"/>
          <w:color w:val="auto"/>
          <w:kern w:val="0"/>
          <w:sz w:val="24"/>
          <w:szCs w:val="24"/>
          <w:highlight w:val="none"/>
          <w:u w:val="none"/>
          <w:shd w:val="clear" w:color="auto" w:fill="auto"/>
          <w:lang w:bidi="ar"/>
        </w:rPr>
        <w:t>部门</w:t>
      </w:r>
      <w:r>
        <w:rPr>
          <w:rFonts w:hint="eastAsia" w:ascii="宋体" w:hAnsi="宋体" w:eastAsia="宋体" w:cs="宋体"/>
          <w:snapToGrid w:val="0"/>
          <w:color w:val="auto"/>
          <w:kern w:val="0"/>
          <w:sz w:val="24"/>
          <w:szCs w:val="24"/>
          <w:highlight w:val="none"/>
          <w:u w:val="none"/>
          <w:shd w:val="clear" w:color="auto" w:fill="auto"/>
          <w:lang w:val="en-US" w:eastAsia="zh-CN" w:bidi="ar"/>
        </w:rPr>
        <w:t>或其授权委托单位</w:t>
      </w:r>
      <w:r>
        <w:rPr>
          <w:rFonts w:hint="eastAsia" w:ascii="宋体" w:hAnsi="宋体"/>
          <w:color w:val="auto"/>
          <w:sz w:val="24"/>
          <w:szCs w:val="24"/>
          <w:highlight w:val="none"/>
          <w:u w:val="none"/>
        </w:rPr>
        <w:t>审定的概算建安费中对应部分的措施项目费为基础进行调整，调整后的措施项目费（除施工围蔽外）包干，施工围蔽按实结算；④其他项目费以</w:t>
      </w:r>
      <w:r>
        <w:rPr>
          <w:rFonts w:hint="eastAsia" w:ascii="宋体" w:hAnsi="宋体" w:eastAsia="宋体" w:cs="宋体"/>
          <w:snapToGrid w:val="0"/>
          <w:color w:val="auto"/>
          <w:kern w:val="0"/>
          <w:sz w:val="24"/>
          <w:szCs w:val="24"/>
          <w:highlight w:val="none"/>
          <w:u w:val="none"/>
          <w:shd w:val="clear" w:color="auto" w:fill="auto"/>
          <w:lang w:bidi="ar"/>
        </w:rPr>
        <w:t>园区财政</w:t>
      </w:r>
      <w:r>
        <w:rPr>
          <w:rFonts w:hint="eastAsia" w:ascii="宋体" w:hAnsi="宋体" w:cs="宋体"/>
          <w:snapToGrid w:val="0"/>
          <w:color w:val="auto"/>
          <w:kern w:val="0"/>
          <w:sz w:val="24"/>
          <w:szCs w:val="24"/>
          <w:highlight w:val="none"/>
          <w:u w:val="none"/>
          <w:shd w:val="clear" w:color="auto" w:fill="auto"/>
          <w:lang w:val="en-US" w:eastAsia="zh-CN" w:bidi="ar"/>
        </w:rPr>
        <w:t>评审</w:t>
      </w:r>
      <w:r>
        <w:rPr>
          <w:rFonts w:hint="eastAsia" w:ascii="宋体" w:hAnsi="宋体" w:eastAsia="宋体" w:cs="宋体"/>
          <w:snapToGrid w:val="0"/>
          <w:color w:val="auto"/>
          <w:kern w:val="0"/>
          <w:sz w:val="24"/>
          <w:szCs w:val="24"/>
          <w:highlight w:val="none"/>
          <w:u w:val="none"/>
          <w:shd w:val="clear" w:color="auto" w:fill="auto"/>
          <w:lang w:bidi="ar"/>
        </w:rPr>
        <w:t>部门</w:t>
      </w:r>
      <w:r>
        <w:rPr>
          <w:rFonts w:hint="eastAsia" w:ascii="宋体" w:hAnsi="宋体" w:eastAsia="宋体" w:cs="宋体"/>
          <w:snapToGrid w:val="0"/>
          <w:color w:val="auto"/>
          <w:kern w:val="0"/>
          <w:sz w:val="24"/>
          <w:szCs w:val="24"/>
          <w:highlight w:val="none"/>
          <w:u w:val="none"/>
          <w:shd w:val="clear" w:color="auto" w:fill="auto"/>
          <w:lang w:val="en-US" w:eastAsia="zh-CN" w:bidi="ar"/>
        </w:rPr>
        <w:t>或其授权委托单位</w:t>
      </w:r>
      <w:r>
        <w:rPr>
          <w:rFonts w:hint="eastAsia" w:ascii="宋体" w:hAnsi="宋体"/>
          <w:color w:val="auto"/>
          <w:sz w:val="24"/>
          <w:szCs w:val="24"/>
          <w:highlight w:val="none"/>
          <w:u w:val="none"/>
        </w:rPr>
        <w:t>审定的概算建安费中的相应项目费率执行；⑤税金按国家规定费率计算。</w:t>
      </w:r>
    </w:p>
    <w:p w14:paraId="641AB81D">
      <w:pPr>
        <w:spacing w:line="360" w:lineRule="auto"/>
        <w:ind w:firstLine="480" w:firstLineChars="200"/>
        <w:rPr>
          <w:rFonts w:ascii="宋体" w:hAnsi="宋体" w:cs="宋体"/>
          <w:color w:val="auto"/>
          <w:sz w:val="24"/>
          <w:highlight w:val="none"/>
          <w:u w:val="single"/>
        </w:rPr>
      </w:pPr>
      <w:r>
        <w:rPr>
          <w:rFonts w:hint="eastAsia" w:ascii="宋体" w:hAnsi="宋体"/>
          <w:color w:val="auto"/>
          <w:sz w:val="24"/>
          <w:szCs w:val="24"/>
          <w:highlight w:val="none"/>
          <w:u w:val="none"/>
        </w:rPr>
        <w:t>4.5</w:t>
      </w:r>
      <w:r>
        <w:rPr>
          <w:rFonts w:hint="eastAsia" w:ascii="宋体" w:hAnsi="宋体"/>
          <w:color w:val="auto"/>
          <w:sz w:val="24"/>
          <w:szCs w:val="24"/>
          <w:highlight w:val="none"/>
        </w:rPr>
        <w:t>严格实行限额设计。要求</w:t>
      </w:r>
      <w:r>
        <w:rPr>
          <w:rFonts w:hint="eastAsia" w:ascii="宋体" w:hAnsi="宋体"/>
          <w:color w:val="auto"/>
          <w:sz w:val="24"/>
          <w:szCs w:val="24"/>
          <w:highlight w:val="none"/>
          <w:lang w:eastAsia="zh-CN"/>
        </w:rPr>
        <w:t>中标人</w:t>
      </w:r>
      <w:r>
        <w:rPr>
          <w:rFonts w:hint="eastAsia" w:ascii="宋体" w:hAnsi="宋体"/>
          <w:color w:val="auto"/>
          <w:sz w:val="24"/>
          <w:szCs w:val="24"/>
          <w:highlight w:val="none"/>
        </w:rPr>
        <w:t>按照</w:t>
      </w:r>
      <w:r>
        <w:rPr>
          <w:rFonts w:hint="eastAsia" w:ascii="宋体" w:hAnsi="宋体"/>
          <w:color w:val="auto"/>
          <w:sz w:val="24"/>
          <w:szCs w:val="24"/>
          <w:highlight w:val="none"/>
          <w:lang w:val="en-US" w:eastAsia="zh-CN"/>
        </w:rPr>
        <w:t>经</w:t>
      </w:r>
      <w:r>
        <w:rPr>
          <w:rFonts w:hint="eastAsia" w:ascii="宋体" w:hAnsi="宋体"/>
          <w:color w:val="auto"/>
          <w:sz w:val="24"/>
          <w:szCs w:val="24"/>
          <w:highlight w:val="none"/>
        </w:rPr>
        <w:t>批准的立项批复的投资估算控制初步设计</w:t>
      </w:r>
      <w:r>
        <w:rPr>
          <w:rFonts w:hint="eastAsia" w:ascii="宋体" w:hAnsi="宋体"/>
          <w:color w:val="auto"/>
          <w:sz w:val="24"/>
          <w:szCs w:val="24"/>
          <w:highlight w:val="none"/>
          <w:lang w:eastAsia="zh-CN"/>
        </w:rPr>
        <w:t>，</w:t>
      </w:r>
      <w:r>
        <w:rPr>
          <w:rFonts w:hint="eastAsia" w:ascii="宋体" w:hAnsi="宋体"/>
          <w:color w:val="auto"/>
          <w:sz w:val="24"/>
          <w:szCs w:val="24"/>
          <w:highlight w:val="none"/>
        </w:rPr>
        <w:t>以施工图为基础编制工程概算，同时各专业在保证达到使用功能的前提下，按分配的投资限额控制设计，确保不超最高投标限价。严格执行概算、结算、决算的基建审批程序，合理确定和有效控制建设成本。</w:t>
      </w:r>
    </w:p>
    <w:p w14:paraId="50531A12">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5. 招标文件的获取及办理投标登记手续</w:t>
      </w:r>
    </w:p>
    <w:p w14:paraId="1D2E99C8">
      <w:pPr>
        <w:spacing w:line="360" w:lineRule="auto"/>
        <w:ind w:left="239" w:leftChars="114" w:firstLine="240" w:firstLineChars="100"/>
        <w:jc w:val="left"/>
        <w:rPr>
          <w:rFonts w:ascii="宋体" w:hAnsi="宋体"/>
          <w:color w:val="auto"/>
          <w:sz w:val="24"/>
          <w:highlight w:val="none"/>
        </w:rPr>
      </w:pPr>
      <w:r>
        <w:rPr>
          <w:rFonts w:hint="eastAsia" w:ascii="宋体" w:hAnsi="宋体"/>
          <w:color w:val="auto"/>
          <w:sz w:val="24"/>
          <w:highlight w:val="none"/>
        </w:rPr>
        <w:t>5.1凡有意参加投标者，请于</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none"/>
          <w:lang w:eastAsia="zh-CN"/>
        </w:rPr>
        <w:t>年</w:t>
      </w:r>
      <w:r>
        <w:rPr>
          <w:rFonts w:hint="eastAsia" w:ascii="宋体" w:hAnsi="宋体"/>
          <w:color w:val="auto"/>
          <w:sz w:val="24"/>
          <w:szCs w:val="24"/>
          <w:highlight w:val="none"/>
          <w:u w:val="single"/>
          <w:lang w:val="en-US" w:eastAsia="zh-CN"/>
        </w:rPr>
        <w:t>8</w:t>
      </w:r>
      <w:r>
        <w:rPr>
          <w:rFonts w:ascii="宋体" w:hAnsi="宋体"/>
          <w:color w:val="auto"/>
          <w:sz w:val="24"/>
          <w:szCs w:val="24"/>
          <w:highlight w:val="none"/>
        </w:rPr>
        <w:t>月</w:t>
      </w:r>
      <w:r>
        <w:rPr>
          <w:rFonts w:hint="eastAsia" w:ascii="宋体" w:hAnsi="宋体"/>
          <w:color w:val="auto"/>
          <w:sz w:val="24"/>
          <w:szCs w:val="24"/>
          <w:highlight w:val="none"/>
          <w:u w:val="single"/>
          <w:lang w:val="en-US" w:eastAsia="zh-CN"/>
        </w:rPr>
        <w:t>14</w:t>
      </w:r>
      <w:r>
        <w:rPr>
          <w:rFonts w:ascii="宋体" w:hAnsi="宋体"/>
          <w:color w:val="auto"/>
          <w:sz w:val="24"/>
          <w:szCs w:val="24"/>
          <w:highlight w:val="none"/>
        </w:rPr>
        <w:t>日</w:t>
      </w:r>
      <w:r>
        <w:rPr>
          <w:rFonts w:ascii="宋体" w:hAnsi="宋体"/>
          <w:color w:val="auto"/>
          <w:sz w:val="24"/>
          <w:szCs w:val="24"/>
          <w:highlight w:val="none"/>
          <w:u w:val="single"/>
        </w:rPr>
        <w:t>00</w:t>
      </w:r>
      <w:r>
        <w:rPr>
          <w:rFonts w:ascii="宋体" w:hAnsi="宋体"/>
          <w:color w:val="auto"/>
          <w:sz w:val="24"/>
          <w:szCs w:val="24"/>
          <w:highlight w:val="none"/>
        </w:rPr>
        <w:t>时</w:t>
      </w:r>
      <w:r>
        <w:rPr>
          <w:rFonts w:ascii="宋体" w:hAnsi="宋体"/>
          <w:color w:val="auto"/>
          <w:sz w:val="24"/>
          <w:szCs w:val="24"/>
          <w:highlight w:val="none"/>
          <w:u w:val="single"/>
        </w:rPr>
        <w:t>00</w:t>
      </w:r>
      <w:r>
        <w:rPr>
          <w:rFonts w:ascii="宋体" w:hAnsi="宋体"/>
          <w:color w:val="auto"/>
          <w:sz w:val="24"/>
          <w:szCs w:val="24"/>
          <w:highlight w:val="none"/>
        </w:rPr>
        <w:t>分</w:t>
      </w:r>
      <w:r>
        <w:rPr>
          <w:rFonts w:hint="eastAsia" w:ascii="宋体" w:hAnsi="宋体"/>
          <w:color w:val="auto"/>
          <w:sz w:val="24"/>
          <w:highlight w:val="none"/>
        </w:rPr>
        <w:t>至</w:t>
      </w:r>
      <w:r>
        <w:rPr>
          <w:rFonts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4</w:t>
      </w:r>
      <w:r>
        <w:rPr>
          <w:rFonts w:ascii="宋体" w:hAnsi="宋体"/>
          <w:color w:val="auto"/>
          <w:sz w:val="24"/>
          <w:szCs w:val="24"/>
          <w:highlight w:val="none"/>
        </w:rPr>
        <w:t>年</w:t>
      </w:r>
      <w:r>
        <w:rPr>
          <w:rFonts w:hint="eastAsia" w:ascii="宋体" w:hAnsi="宋体"/>
          <w:color w:val="auto"/>
          <w:sz w:val="24"/>
          <w:szCs w:val="24"/>
          <w:highlight w:val="none"/>
          <w:u w:val="single"/>
          <w:lang w:val="en-US" w:eastAsia="zh-CN"/>
        </w:rPr>
        <w:t xml:space="preserve"> 9 </w:t>
      </w:r>
      <w:r>
        <w:rPr>
          <w:rFonts w:ascii="宋体" w:hAnsi="宋体"/>
          <w:color w:val="auto"/>
          <w:sz w:val="24"/>
          <w:szCs w:val="24"/>
          <w:highlight w:val="none"/>
        </w:rPr>
        <w:t>月</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9</w:t>
      </w:r>
      <w:bookmarkStart w:id="8" w:name="_GoBack"/>
      <w:bookmarkEnd w:id="8"/>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ascii="宋体" w:hAnsi="宋体"/>
          <w:color w:val="auto"/>
          <w:sz w:val="24"/>
          <w:szCs w:val="24"/>
          <w:highlight w:val="none"/>
        </w:rPr>
        <w:t>分</w:t>
      </w:r>
      <w:r>
        <w:rPr>
          <w:rFonts w:hint="eastAsia" w:ascii="宋体" w:hAnsi="宋体"/>
          <w:color w:val="auto"/>
          <w:sz w:val="24"/>
          <w:highlight w:val="none"/>
        </w:rPr>
        <w:t>（北京时间，下同）登录</w:t>
      </w:r>
      <w:r>
        <w:rPr>
          <w:rFonts w:hint="eastAsia" w:ascii="宋体" w:hAnsi="宋体"/>
          <w:color w:val="auto"/>
          <w:sz w:val="24"/>
          <w:highlight w:val="none"/>
          <w:u w:val="single"/>
        </w:rPr>
        <w:t>广州交易集团有限公司（广州公共资源交易中心）网站（网址：http://www.gzggzy.cn/）</w:t>
      </w:r>
      <w:r>
        <w:rPr>
          <w:rFonts w:hint="eastAsia" w:ascii="宋体" w:hAnsi="宋体"/>
          <w:color w:val="auto"/>
          <w:sz w:val="24"/>
          <w:highlight w:val="none"/>
        </w:rPr>
        <w:t>下载招标文件。</w:t>
      </w:r>
    </w:p>
    <w:p w14:paraId="035262CA">
      <w:pPr>
        <w:spacing w:line="360" w:lineRule="auto"/>
        <w:ind w:firstLine="480" w:firstLineChars="200"/>
        <w:jc w:val="left"/>
        <w:rPr>
          <w:rFonts w:ascii="宋体" w:hAnsi="宋体"/>
          <w:color w:val="auto"/>
          <w:sz w:val="24"/>
          <w:highlight w:val="none"/>
          <w:u w:val="single"/>
        </w:rPr>
      </w:pPr>
      <w:r>
        <w:rPr>
          <w:rFonts w:ascii="宋体" w:hAnsi="宋体" w:cs="宋体"/>
          <w:color w:val="auto"/>
          <w:sz w:val="24"/>
          <w:szCs w:val="24"/>
          <w:highlight w:val="none"/>
          <w:u w:val="single"/>
        </w:rPr>
        <w:t>注：本项目招标文件随招标公告一并在广州交易集团有限公司（广州公共资源交易中心）网站发布。招标文件一经在广州交易集团有限公司（广州公共资源交易中心）发布，视为送达给投标人。</w:t>
      </w:r>
    </w:p>
    <w:p w14:paraId="39DC2FC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5.2本项目资格审查方式：</w:t>
      </w:r>
      <w:r>
        <w:rPr>
          <w:rFonts w:hint="eastAsia" w:ascii="宋体" w:hAnsi="宋体"/>
          <w:color w:val="auto"/>
          <w:sz w:val="24"/>
          <w:highlight w:val="none"/>
          <w:u w:val="single"/>
        </w:rPr>
        <w:t>资格后审。</w:t>
      </w:r>
    </w:p>
    <w:p w14:paraId="21BE8841">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5.3资格审查结果及中标结果将在广州交易集团有限公司（广州公共资源交易中心）网站和广东省招标投标监管网公示，公开接受投标人的监督。</w:t>
      </w:r>
    </w:p>
    <w:p w14:paraId="41FAE856">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6</w:t>
      </w:r>
      <w:r>
        <w:rPr>
          <w:rFonts w:ascii="宋体" w:hAnsi="宋体" w:eastAsia="宋体"/>
          <w:color w:val="auto"/>
          <w:highlight w:val="none"/>
        </w:rPr>
        <w:t xml:space="preserve">. </w:t>
      </w:r>
      <w:r>
        <w:rPr>
          <w:rFonts w:hint="eastAsia" w:ascii="宋体" w:hAnsi="宋体" w:eastAsia="宋体"/>
          <w:color w:val="auto"/>
          <w:highlight w:val="none"/>
        </w:rPr>
        <w:t>投标文件的递交</w:t>
      </w:r>
    </w:p>
    <w:p w14:paraId="62F62E6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投标文件递交的截止时间为</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none"/>
          <w:lang w:eastAsia="zh-CN"/>
        </w:rPr>
        <w:t>年</w:t>
      </w:r>
      <w:r>
        <w:rPr>
          <w:rFonts w:hint="eastAsia" w:ascii="宋体" w:hAnsi="宋体"/>
          <w:color w:val="auto"/>
          <w:sz w:val="24"/>
          <w:szCs w:val="24"/>
          <w:highlight w:val="none"/>
          <w:u w:val="single"/>
          <w:lang w:val="en-US" w:eastAsia="zh-CN"/>
        </w:rPr>
        <w:t>9</w:t>
      </w:r>
      <w:r>
        <w:rPr>
          <w:rFonts w:ascii="宋体" w:hAnsi="宋体"/>
          <w:color w:val="auto"/>
          <w:sz w:val="24"/>
          <w:szCs w:val="24"/>
          <w:highlight w:val="none"/>
        </w:rPr>
        <w:t>月</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ascii="宋体" w:hAnsi="宋体"/>
          <w:color w:val="auto"/>
          <w:sz w:val="24"/>
          <w:szCs w:val="24"/>
          <w:highlight w:val="none"/>
        </w:rPr>
        <w:t>分</w:t>
      </w:r>
      <w:r>
        <w:rPr>
          <w:rFonts w:hint="eastAsia" w:ascii="宋体" w:hAnsi="宋体"/>
          <w:color w:val="auto"/>
          <w:sz w:val="24"/>
          <w:highlight w:val="none"/>
        </w:rPr>
        <w:t>，投标人应在截止时间前通过广州交易集团有限公司（广州公共资源交易中心）交易平台递交电子投标文件。递交文件前，应按照交易平台关于全流程电子化项目的最新相关指南选择参与投标的项目（即投标登记）。投标人完成电子投标文件上传后，交易平台即时向投标人发出递交回执通知，递交时间以递交回执通知载明的传输时间为准。</w:t>
      </w:r>
    </w:p>
    <w:p w14:paraId="50C2A519">
      <w:pPr>
        <w:spacing w:line="360" w:lineRule="auto"/>
        <w:ind w:firstLine="480" w:firstLineChars="200"/>
        <w:rPr>
          <w:rFonts w:ascii="宋体" w:hAnsi="宋体" w:cs="宋体"/>
          <w:color w:val="auto"/>
          <w:kern w:val="0"/>
          <w:sz w:val="24"/>
          <w:szCs w:val="24"/>
          <w:highlight w:val="none"/>
          <w:u w:val="single"/>
          <w:shd w:val="clear" w:color="auto" w:fill="FFFFFF"/>
          <w:lang w:bidi="ar"/>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2</w:t>
      </w:r>
      <w:r>
        <w:rPr>
          <w:rFonts w:hint="eastAsia" w:ascii="宋体" w:hAnsi="宋体" w:cs="仿宋_GB2312"/>
          <w:color w:val="auto"/>
          <w:kern w:val="0"/>
          <w:sz w:val="24"/>
          <w:szCs w:val="24"/>
          <w:highlight w:val="none"/>
          <w:shd w:val="clear" w:color="auto" w:fill="FFFFFF"/>
          <w:lang w:bidi="ar"/>
        </w:rPr>
        <w:t>开标时间：</w:t>
      </w:r>
      <w:r>
        <w:rPr>
          <w:rFonts w:hint="eastAsia" w:ascii="宋体" w:hAnsi="宋体"/>
          <w:color w:val="auto"/>
          <w:sz w:val="24"/>
          <w:szCs w:val="24"/>
          <w:highlight w:val="none"/>
          <w:u w:val="single"/>
          <w:lang w:eastAsia="zh-CN"/>
        </w:rPr>
        <w:t>202</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none"/>
          <w:lang w:eastAsia="zh-CN"/>
        </w:rPr>
        <w:t>年</w:t>
      </w:r>
      <w:r>
        <w:rPr>
          <w:rFonts w:hint="eastAsia" w:ascii="宋体" w:hAnsi="宋体"/>
          <w:color w:val="auto"/>
          <w:sz w:val="24"/>
          <w:szCs w:val="24"/>
          <w:highlight w:val="none"/>
          <w:u w:val="single"/>
          <w:lang w:val="en-US" w:eastAsia="zh-CN"/>
        </w:rPr>
        <w:t>9</w:t>
      </w:r>
      <w:r>
        <w:rPr>
          <w:rFonts w:ascii="宋体" w:hAnsi="宋体"/>
          <w:color w:val="auto"/>
          <w:sz w:val="24"/>
          <w:szCs w:val="24"/>
          <w:highlight w:val="none"/>
        </w:rPr>
        <w:t>月</w:t>
      </w:r>
      <w:r>
        <w:rPr>
          <w:rFonts w:hint="eastAsia" w:ascii="宋体" w:hAnsi="宋体"/>
          <w:color w:val="auto"/>
          <w:sz w:val="24"/>
          <w:szCs w:val="24"/>
          <w:highlight w:val="none"/>
          <w:u w:val="single"/>
          <w:lang w:val="en-US" w:eastAsia="zh-CN"/>
        </w:rPr>
        <w:t>5</w:t>
      </w:r>
      <w:r>
        <w:rPr>
          <w:rFonts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ascii="宋体" w:hAnsi="宋体"/>
          <w:color w:val="auto"/>
          <w:sz w:val="24"/>
          <w:szCs w:val="24"/>
          <w:highlight w:val="none"/>
        </w:rPr>
        <w:t>分</w:t>
      </w:r>
      <w:r>
        <w:rPr>
          <w:rFonts w:hint="eastAsia" w:ascii="宋体" w:hAnsi="宋体" w:cs="宋体"/>
          <w:color w:val="auto"/>
          <w:kern w:val="0"/>
          <w:sz w:val="24"/>
          <w:szCs w:val="24"/>
          <w:highlight w:val="none"/>
          <w:shd w:val="clear" w:color="auto" w:fill="FFFFFF"/>
          <w:lang w:bidi="ar"/>
        </w:rPr>
        <w:t>，</w:t>
      </w:r>
      <w:r>
        <w:rPr>
          <w:rFonts w:hint="eastAsia" w:ascii="宋体" w:hAnsi="宋体" w:cs="宋体"/>
          <w:color w:val="auto"/>
          <w:kern w:val="0"/>
          <w:sz w:val="24"/>
          <w:szCs w:val="24"/>
          <w:highlight w:val="none"/>
          <w:shd w:val="clear" w:color="auto" w:fill="FFFFFF"/>
          <w:lang w:val="en-US" w:eastAsia="zh-CN" w:bidi="ar"/>
        </w:rPr>
        <w:t>开标</w:t>
      </w:r>
      <w:r>
        <w:rPr>
          <w:rFonts w:hint="eastAsia" w:ascii="宋体" w:hAnsi="宋体" w:cs="宋体"/>
          <w:color w:val="auto"/>
          <w:kern w:val="0"/>
          <w:sz w:val="24"/>
          <w:szCs w:val="24"/>
          <w:highlight w:val="none"/>
          <w:shd w:val="clear" w:color="auto" w:fill="FFFFFF"/>
          <w:lang w:bidi="ar"/>
        </w:rPr>
        <w:t>地点：</w:t>
      </w:r>
      <w:r>
        <w:rPr>
          <w:rFonts w:hint="eastAsia" w:ascii="宋体" w:hAnsi="宋体" w:cs="宋体"/>
          <w:color w:val="auto"/>
          <w:kern w:val="0"/>
          <w:sz w:val="24"/>
          <w:szCs w:val="24"/>
          <w:highlight w:val="none"/>
          <w:u w:val="single"/>
          <w:shd w:val="clear" w:color="auto" w:fill="FFFFFF"/>
          <w:lang w:bidi="ar"/>
        </w:rPr>
        <w:t>广州交易集团有限公司（广州公共资源交易中心）指定开标室。</w:t>
      </w:r>
    </w:p>
    <w:p w14:paraId="15E98E7E">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注：具体的招投标活动日程安排及场地安排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w:t>
      </w:r>
    </w:p>
    <w:p w14:paraId="73827C14">
      <w:pPr>
        <w:spacing w:line="360" w:lineRule="auto"/>
        <w:ind w:firstLine="480" w:firstLineChars="200"/>
        <w:rPr>
          <w:rFonts w:ascii="宋体" w:hAnsi="宋体" w:cs="宋体"/>
          <w:color w:val="auto"/>
          <w:sz w:val="24"/>
          <w:szCs w:val="24"/>
          <w:highlight w:val="none"/>
          <w:shd w:val="clear" w:color="auto" w:fill="FFFFFF"/>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3</w:t>
      </w:r>
      <w:r>
        <w:rPr>
          <w:rFonts w:hint="eastAsia" w:ascii="宋体" w:hAnsi="宋体" w:cs="仿宋_GB2312"/>
          <w:color w:val="auto"/>
          <w:kern w:val="0"/>
          <w:sz w:val="24"/>
          <w:szCs w:val="24"/>
          <w:highlight w:val="none"/>
          <w:shd w:val="clear" w:color="auto" w:fill="FFFFFF"/>
          <w:lang w:bidi="ar"/>
        </w:rPr>
        <w:t>递交投标文件截止时间及开标时间是否有变化，请密切留意广州交易集团有限公司（广州公共资源交易中心）网站的相关信息。</w:t>
      </w:r>
    </w:p>
    <w:p w14:paraId="75E424BD">
      <w:pPr>
        <w:spacing w:line="360" w:lineRule="auto"/>
        <w:ind w:firstLine="480" w:firstLineChars="200"/>
        <w:jc w:val="left"/>
        <w:rPr>
          <w:rFonts w:hint="eastAsia" w:ascii="宋体" w:hAnsi="宋体" w:cs="仿宋_GB2312"/>
          <w:color w:val="auto"/>
          <w:kern w:val="0"/>
          <w:sz w:val="24"/>
          <w:szCs w:val="24"/>
          <w:highlight w:val="none"/>
          <w:shd w:val="clear" w:color="auto" w:fill="FFFFFF"/>
          <w:lang w:bidi="ar"/>
        </w:rPr>
      </w:pPr>
      <w:r>
        <w:rPr>
          <w:rFonts w:hint="eastAsia" w:ascii="宋体" w:hAnsi="宋体" w:cs="宋体"/>
          <w:color w:val="auto"/>
          <w:kern w:val="0"/>
          <w:sz w:val="24"/>
          <w:szCs w:val="24"/>
          <w:highlight w:val="none"/>
          <w:shd w:val="clear" w:color="auto" w:fill="FFFFFF"/>
          <w:lang w:bidi="ar"/>
        </w:rPr>
        <w:t>6.</w:t>
      </w:r>
      <w:r>
        <w:rPr>
          <w:rFonts w:ascii="宋体" w:hAnsi="宋体" w:cs="宋体"/>
          <w:color w:val="auto"/>
          <w:kern w:val="0"/>
          <w:sz w:val="24"/>
          <w:szCs w:val="24"/>
          <w:highlight w:val="none"/>
          <w:shd w:val="clear" w:color="auto" w:fill="FFFFFF"/>
          <w:lang w:bidi="ar"/>
        </w:rPr>
        <w:t>4</w:t>
      </w:r>
      <w:r>
        <w:rPr>
          <w:rFonts w:hint="eastAsia" w:ascii="宋体" w:hAnsi="宋体" w:cs="仿宋_GB2312"/>
          <w:color w:val="auto"/>
          <w:kern w:val="0"/>
          <w:sz w:val="24"/>
          <w:szCs w:val="24"/>
          <w:highlight w:val="none"/>
          <w:shd w:val="clear" w:color="auto" w:fill="FFFFFF"/>
          <w:lang w:bidi="ar"/>
        </w:rPr>
        <w:t>逾期送达的投标文件，电子招标投标交易平台将予以拒收。</w:t>
      </w:r>
    </w:p>
    <w:p w14:paraId="0BCC5B4F">
      <w:pPr>
        <w:spacing w:line="360" w:lineRule="auto"/>
        <w:ind w:firstLine="480" w:firstLineChars="200"/>
        <w:jc w:val="left"/>
        <w:rPr>
          <w:rFonts w:ascii="宋体" w:hAnsi="宋体"/>
          <w:color w:val="auto"/>
          <w:sz w:val="24"/>
          <w:highlight w:val="none"/>
        </w:rPr>
      </w:pPr>
      <w:r>
        <w:rPr>
          <w:rFonts w:hint="eastAsia" w:ascii="宋体" w:hAnsi="宋体" w:cs="仿宋_GB2312"/>
          <w:color w:val="auto"/>
          <w:kern w:val="0"/>
          <w:sz w:val="24"/>
          <w:szCs w:val="24"/>
          <w:highlight w:val="none"/>
          <w:u w:val="single"/>
          <w:shd w:val="clear" w:color="auto" w:fill="FFFFFF"/>
          <w:lang w:bidi="ar"/>
        </w:rPr>
        <w:t>6.5投标人也可选择参加在线开标，具体按照交易平台相关指南进行操作。详见：广州交易集团有限公司（广州公共资源交易中心）网站最新相关指引。</w:t>
      </w:r>
    </w:p>
    <w:p w14:paraId="17B6EF0E">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7</w:t>
      </w:r>
      <w:r>
        <w:rPr>
          <w:rFonts w:ascii="宋体" w:hAnsi="宋体" w:eastAsia="宋体"/>
          <w:color w:val="auto"/>
          <w:highlight w:val="none"/>
        </w:rPr>
        <w:t>. 发布公告的媒介</w:t>
      </w:r>
    </w:p>
    <w:p w14:paraId="76BAC015">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本次招标公告同时在</w:t>
      </w:r>
      <w:r>
        <w:rPr>
          <w:rFonts w:hint="eastAsia" w:ascii="宋体" w:hAnsi="宋体" w:cs="宋体"/>
          <w:color w:val="auto"/>
          <w:sz w:val="24"/>
          <w:highlight w:val="none"/>
          <w:u w:val="single"/>
        </w:rPr>
        <w:t>广州交易集团有限公司（广州公共资源交易中心）网站（网址：</w:t>
      </w:r>
      <w:r>
        <w:rPr>
          <w:rFonts w:ascii="宋体" w:hAnsi="宋体" w:cs="宋体"/>
          <w:color w:val="auto"/>
          <w:sz w:val="24"/>
          <w:highlight w:val="none"/>
          <w:u w:val="single"/>
        </w:rPr>
        <w:t>http://www.gzggzy.cn/</w:t>
      </w:r>
      <w:r>
        <w:rPr>
          <w:rFonts w:hint="eastAsia" w:ascii="宋体" w:hAnsi="宋体" w:cs="宋体"/>
          <w:color w:val="auto"/>
          <w:sz w:val="24"/>
          <w:highlight w:val="none"/>
          <w:u w:val="single"/>
        </w:rPr>
        <w:t>）、中国招标投标公共服务平台（网址：http://www.cebpubservice.com/）、广东省招标投标监管网(网址：</w:t>
      </w:r>
      <w:r>
        <w:rPr>
          <w:rFonts w:ascii="宋体" w:hAnsi="宋体" w:cs="宋体"/>
          <w:color w:val="auto"/>
          <w:sz w:val="24"/>
          <w:highlight w:val="none"/>
          <w:u w:val="single"/>
        </w:rPr>
        <w:t>https://zbtb.gd.gov.cn/</w:t>
      </w:r>
      <w:r>
        <w:rPr>
          <w:rFonts w:hint="eastAsia" w:ascii="宋体" w:hAnsi="宋体" w:cs="宋体"/>
          <w:color w:val="auto"/>
          <w:sz w:val="24"/>
          <w:highlight w:val="none"/>
          <w:u w:val="single"/>
        </w:rPr>
        <w:t>)上发布。本公告的修改、补充，在广州交易集团有限公司（广州公共资源交易中心）网站、广东省招标投标监管网发布。</w:t>
      </w:r>
    </w:p>
    <w:p w14:paraId="4E8CCA0E">
      <w:pPr>
        <w:pStyle w:val="2"/>
        <w:keepNext w:val="0"/>
        <w:keepLines w:val="0"/>
        <w:numPr>
          <w:ilvl w:val="0"/>
          <w:numId w:val="3"/>
        </w:numPr>
        <w:spacing w:before="0" w:after="0" w:line="360" w:lineRule="auto"/>
        <w:rPr>
          <w:rFonts w:hint="eastAsia" w:ascii="宋体" w:hAnsi="宋体" w:eastAsia="宋体" w:cs="Times New Roman"/>
          <w:b/>
          <w:bCs/>
          <w:color w:val="auto"/>
          <w:highlight w:val="none"/>
        </w:rPr>
      </w:pPr>
      <w:r>
        <w:rPr>
          <w:rFonts w:hint="eastAsia" w:ascii="宋体" w:hAnsi="宋体" w:eastAsia="宋体" w:cs="Times New Roman"/>
          <w:b/>
          <w:bCs/>
          <w:color w:val="auto"/>
          <w:highlight w:val="none"/>
        </w:rPr>
        <w:t>特别提示</w:t>
      </w:r>
    </w:p>
    <w:p w14:paraId="3166274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投标人在本项目招标人的工程项目中存在下列行为的，将被拒绝一年内参与招标人后续工程投标。（注：拒绝投标时限由招标人视严重程度确定，最低</w:t>
      </w:r>
      <w:r>
        <w:rPr>
          <w:rFonts w:hint="eastAsia" w:ascii="宋体" w:hAnsi="宋体" w:cs="宋体"/>
          <w:color w:val="auto"/>
          <w:sz w:val="24"/>
          <w:highlight w:val="none"/>
          <w:u w:val="single"/>
          <w:lang w:val="en-US" w:eastAsia="zh-CN"/>
        </w:rPr>
        <w:t>一年</w:t>
      </w:r>
      <w:r>
        <w:rPr>
          <w:rFonts w:hint="eastAsia" w:ascii="宋体" w:hAnsi="宋体" w:cs="宋体"/>
          <w:color w:val="auto"/>
          <w:sz w:val="24"/>
          <w:highlight w:val="none"/>
          <w:u w:val="single"/>
        </w:rPr>
        <w:t>起，自招标人发出通知之日起计）：</w:t>
      </w:r>
    </w:p>
    <w:p w14:paraId="4341DDCD">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rPr>
        <w:t>1.将中标工程转包或者违法分包的</w:t>
      </w:r>
      <w:r>
        <w:rPr>
          <w:rFonts w:hint="eastAsia" w:ascii="宋体" w:hAnsi="宋体" w:cs="宋体"/>
          <w:color w:val="auto"/>
          <w:sz w:val="24"/>
          <w:highlight w:val="none"/>
          <w:u w:val="single"/>
          <w:lang w:val="en-US" w:eastAsia="zh-CN"/>
        </w:rPr>
        <w:t>；</w:t>
      </w:r>
    </w:p>
    <w:p w14:paraId="7B1F2F0A">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2.在中标工程中不执行质量、安全生产相关规定的，造成质量或安全事故的；</w:t>
      </w:r>
    </w:p>
    <w:p w14:paraId="5DE2A894">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u w:val="single"/>
        </w:rPr>
        <w:t>3.存在围标或串标情形的</w:t>
      </w:r>
      <w:r>
        <w:rPr>
          <w:rFonts w:hint="eastAsia" w:ascii="宋体" w:hAnsi="宋体" w:cs="宋体"/>
          <w:color w:val="auto"/>
          <w:sz w:val="24"/>
          <w:highlight w:val="none"/>
          <w:u w:val="single"/>
          <w:lang w:val="en-US" w:eastAsia="zh-CN"/>
        </w:rPr>
        <w:t>；</w:t>
      </w:r>
    </w:p>
    <w:p w14:paraId="3B0192F3">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4.在投标文件中提供虚假材料的；</w:t>
      </w:r>
    </w:p>
    <w:p w14:paraId="0053458C">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5.存在行贿情形的；</w:t>
      </w:r>
    </w:p>
    <w:p w14:paraId="29DD1314">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6.拖欠农民工工资的；</w:t>
      </w:r>
    </w:p>
    <w:p w14:paraId="3E3BDE42">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7.未按照国家、省、市有关建筑施工实名制管理和工人工资支付分账管理的规定执行，被行政监管部门处罚的；</w:t>
      </w:r>
    </w:p>
    <w:p w14:paraId="3A19E34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8.中标人在项目实施过程中选取的专业分包单位或劳务企业或劳务班组长与投标时不一致的；</w:t>
      </w:r>
    </w:p>
    <w:p w14:paraId="64C267D1">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9.中标人未按规定购买安全生产责任保险的。</w:t>
      </w:r>
    </w:p>
    <w:p w14:paraId="254C7345">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 xml:space="preserve"> </w:t>
      </w:r>
      <w:r>
        <w:rPr>
          <w:rFonts w:hint="eastAsia" w:ascii="宋体" w:hAnsi="宋体" w:eastAsia="宋体"/>
          <w:color w:val="auto"/>
          <w:highlight w:val="none"/>
        </w:rPr>
        <w:t>其他</w:t>
      </w:r>
    </w:p>
    <w:p w14:paraId="4C4D191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9.1递交投标文件或解密成功的投标人不足3名，或</w:t>
      </w:r>
      <w:r>
        <w:rPr>
          <w:rFonts w:hint="eastAsia" w:ascii="宋体" w:hAnsi="宋体" w:cs="宋体"/>
          <w:color w:val="auto"/>
          <w:kern w:val="0"/>
          <w:sz w:val="24"/>
          <w:highlight w:val="none"/>
          <w:u w:val="single"/>
        </w:rPr>
        <w:t>满足资格审查合格条件的投标人不足3名，或通过（勘察设计方案、工程总承包实施方案）投标文件有效性审查的投标人不足3名时为招标失败。招标人将依法重新招标。</w:t>
      </w:r>
    </w:p>
    <w:p w14:paraId="502D3F33">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9.2投标人须保证其提供的投标资料的真实性，招标人有权在招标的任何阶段进行调查和核实，一旦发现虚假，将上报建设管理部门及相关部门严肃查处。</w:t>
      </w:r>
    </w:p>
    <w:p w14:paraId="7E2EB17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9.3投标时是否需要提交设计模型</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否。</w:t>
      </w:r>
    </w:p>
    <w:p w14:paraId="5478825F">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9.4本项目为电子评标，投标人需按招标文件要求提交电子投标文件。</w:t>
      </w:r>
    </w:p>
    <w:p w14:paraId="6ED95F7D">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9.5参加投标之前，投标人应查询企业信息登记情况、拟登记人员的使用状态，以免出现企业信息以及拟登记人员不能被使用的问题。上述情况有可能导致投标信息无法录入广州交易集团有限公司（广州公共资源交易中心）交易平台。如出现上述情况，投标人有可能失去投标机会，因其可能所引起的一切后果由投标人自行承担。</w:t>
      </w:r>
    </w:p>
    <w:p w14:paraId="634871EB">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9.6潜在投标人或利害关系人对本招标公告及招标内容有异议的，应当在投标截止时间10日前向招标人书面提出。异议受理部门：</w:t>
      </w:r>
      <w:r>
        <w:rPr>
          <w:rFonts w:hint="eastAsia" w:ascii="宋体" w:hAnsi="宋体" w:cs="宋体"/>
          <w:color w:val="auto"/>
          <w:sz w:val="24"/>
          <w:highlight w:val="none"/>
          <w:u w:val="single"/>
          <w:lang w:eastAsia="zh-CN"/>
        </w:rPr>
        <w:t>广佛(佛冈)产业园高新投资开发有限公司</w:t>
      </w:r>
      <w:r>
        <w:rPr>
          <w:rFonts w:hint="eastAsia" w:ascii="宋体" w:hAnsi="宋体" w:cs="宋体"/>
          <w:color w:val="auto"/>
          <w:sz w:val="24"/>
          <w:highlight w:val="none"/>
          <w:u w:val="single"/>
        </w:rPr>
        <w:t>；异议受理电话：</w:t>
      </w:r>
      <w:r>
        <w:rPr>
          <w:rFonts w:hint="eastAsia" w:ascii="宋体" w:hAnsi="宋体" w:cs="宋体"/>
          <w:color w:val="auto"/>
          <w:sz w:val="24"/>
          <w:highlight w:val="none"/>
          <w:u w:val="single"/>
          <w:lang w:eastAsia="zh-CN"/>
        </w:rPr>
        <w:t>0763-4633363</w:t>
      </w:r>
      <w:r>
        <w:rPr>
          <w:rFonts w:hint="eastAsia" w:ascii="宋体" w:hAnsi="宋体" w:cs="宋体"/>
          <w:color w:val="auto"/>
          <w:sz w:val="24"/>
          <w:highlight w:val="none"/>
          <w:u w:val="single"/>
        </w:rPr>
        <w:t>；地址：</w:t>
      </w:r>
      <w:r>
        <w:rPr>
          <w:rFonts w:hint="eastAsia" w:ascii="宋体" w:hAnsi="宋体" w:cs="宋体"/>
          <w:color w:val="auto"/>
          <w:sz w:val="24"/>
          <w:highlight w:val="none"/>
          <w:u w:val="single"/>
          <w:lang w:eastAsia="zh-CN"/>
        </w:rPr>
        <w:t>广佛（佛冈）产业园</w:t>
      </w:r>
      <w:r>
        <w:rPr>
          <w:rFonts w:hint="eastAsia" w:ascii="宋体" w:hAnsi="宋体" w:cs="宋体"/>
          <w:color w:val="auto"/>
          <w:sz w:val="24"/>
          <w:highlight w:val="none"/>
          <w:u w:val="single"/>
        </w:rPr>
        <w:t>。</w:t>
      </w:r>
    </w:p>
    <w:p w14:paraId="12A52353">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注：潜在投标人或利害关系人可以通过线下或线上的形式提出异议。线上提出异议的，应通过交易平台提交，招标人也应通过交易平台答复线上提出的异议。具体按照广州交易集团有限公司（广州公共资源交易中心）交易平台相关指南进行操作。作出答复前，应当暂停招标投标活动。</w:t>
      </w:r>
    </w:p>
    <w:p w14:paraId="53F9D8CA">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9.7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施工负责人等主要人员变化、被责令关闭、被吊销营业执照、被暂扣安全生产许可证、一定期限内被禁止参加依法必须招标项目的投标等情形），应当及时书面告知招标人。</w:t>
      </w:r>
    </w:p>
    <w:p w14:paraId="0C45287D">
      <w:pPr>
        <w:pStyle w:val="2"/>
        <w:keepNext w:val="0"/>
        <w:keepLines w:val="0"/>
        <w:spacing w:before="0" w:after="0" w:line="360" w:lineRule="auto"/>
        <w:rPr>
          <w:rFonts w:ascii="宋体" w:hAnsi="宋体" w:eastAsia="宋体"/>
          <w:color w:val="auto"/>
          <w:highlight w:val="none"/>
        </w:rPr>
      </w:pPr>
      <w:r>
        <w:rPr>
          <w:rFonts w:hint="eastAsia" w:ascii="宋体" w:hAnsi="宋体" w:eastAsia="宋体"/>
          <w:color w:val="auto"/>
          <w:highlight w:val="none"/>
        </w:rPr>
        <w:t>10.</w:t>
      </w:r>
      <w:r>
        <w:rPr>
          <w:rFonts w:ascii="宋体" w:hAnsi="宋体" w:eastAsia="宋体"/>
          <w:color w:val="auto"/>
          <w:highlight w:val="none"/>
        </w:rPr>
        <w:t xml:space="preserve"> 联系方式</w:t>
      </w:r>
    </w:p>
    <w:p w14:paraId="24F58616">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招 标 人：</w:t>
      </w:r>
      <w:r>
        <w:rPr>
          <w:rFonts w:hint="eastAsia" w:ascii="宋体" w:hAnsi="宋体" w:eastAsia="宋体" w:cs="宋体"/>
          <w:color w:val="auto"/>
          <w:kern w:val="2"/>
          <w:sz w:val="24"/>
          <w:szCs w:val="24"/>
          <w:highlight w:val="none"/>
          <w:u w:val="single"/>
          <w:lang w:eastAsia="zh-CN"/>
        </w:rPr>
        <w:t>广佛(佛冈)产业园高新投资开发有限公司</w:t>
      </w:r>
    </w:p>
    <w:p w14:paraId="420DE2D9">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清远市佛冈县广佛（佛冈）产业园</w:t>
      </w:r>
    </w:p>
    <w:p w14:paraId="2C999C0F">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eastAsia="zh-CN"/>
        </w:rPr>
        <w:t>张工</w:t>
      </w:r>
    </w:p>
    <w:p w14:paraId="7AA2AECA">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电    话：</w:t>
      </w:r>
      <w:r>
        <w:rPr>
          <w:rFonts w:hint="eastAsia" w:ascii="宋体" w:hAnsi="宋体" w:eastAsia="宋体" w:cs="宋体"/>
          <w:color w:val="auto"/>
          <w:kern w:val="2"/>
          <w:sz w:val="24"/>
          <w:szCs w:val="24"/>
          <w:highlight w:val="none"/>
          <w:u w:val="single"/>
          <w:lang w:eastAsia="zh-CN"/>
        </w:rPr>
        <w:t xml:space="preserve"> 0763-4633363</w:t>
      </w:r>
    </w:p>
    <w:p w14:paraId="48B89A89">
      <w:pPr>
        <w:pStyle w:val="38"/>
        <w:widowControl/>
        <w:spacing w:line="360" w:lineRule="auto"/>
        <w:ind w:left="424" w:leftChars="202" w:firstLine="9" w:firstLineChars="4"/>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招标代理机构：</w:t>
      </w:r>
      <w:r>
        <w:rPr>
          <w:rFonts w:hint="eastAsia" w:ascii="宋体" w:hAnsi="宋体" w:eastAsia="宋体" w:cs="宋体"/>
          <w:color w:val="auto"/>
          <w:kern w:val="2"/>
          <w:sz w:val="24"/>
          <w:szCs w:val="24"/>
          <w:highlight w:val="none"/>
          <w:u w:val="single"/>
          <w:lang w:eastAsia="zh-CN"/>
        </w:rPr>
        <w:t>广东源胜招标采购有限公司</w:t>
      </w:r>
    </w:p>
    <w:p w14:paraId="237C42B4">
      <w:pPr>
        <w:pStyle w:val="38"/>
        <w:widowControl/>
        <w:spacing w:line="360" w:lineRule="auto"/>
        <w:ind w:left="424" w:leftChars="202" w:firstLine="9" w:firstLineChars="4"/>
        <w:rPr>
          <w:rFonts w:hint="eastAsia" w:ascii="宋体" w:hAnsi="宋体" w:eastAsia="宋体" w:cs="宋体"/>
          <w:color w:val="auto"/>
          <w:kern w:val="2"/>
          <w:sz w:val="24"/>
          <w:szCs w:val="24"/>
          <w:highlight w:val="non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lang w:eastAsia="zh-CN"/>
        </w:rPr>
        <w:t>广州市天河区五山街瘦狗岭路379号806室</w:t>
      </w:r>
    </w:p>
    <w:p w14:paraId="407F553A">
      <w:pPr>
        <w:pStyle w:val="38"/>
        <w:widowControl/>
        <w:spacing w:line="360" w:lineRule="auto"/>
        <w:ind w:left="424" w:leftChars="202" w:firstLine="9" w:firstLineChars="4"/>
        <w:rPr>
          <w:rFonts w:hint="default" w:ascii="宋体" w:hAnsi="宋体" w:eastAsia="宋体" w:cs="宋体"/>
          <w:color w:val="auto"/>
          <w:kern w:val="2"/>
          <w:sz w:val="24"/>
          <w:szCs w:val="24"/>
          <w:highlight w:val="none"/>
        </w:rPr>
      </w:pPr>
      <w:r>
        <w:rPr>
          <w:rFonts w:ascii="宋体" w:hAnsi="宋体" w:eastAsia="宋体" w:cs="宋体"/>
          <w:color w:val="auto"/>
          <w:kern w:val="2"/>
          <w:sz w:val="24"/>
          <w:szCs w:val="24"/>
          <w:highlight w:val="none"/>
        </w:rPr>
        <w:t>联 系 人：</w:t>
      </w:r>
      <w:r>
        <w:rPr>
          <w:rFonts w:hint="eastAsia" w:ascii="宋体" w:hAnsi="宋体" w:eastAsia="宋体" w:cs="宋体"/>
          <w:color w:val="auto"/>
          <w:kern w:val="2"/>
          <w:sz w:val="24"/>
          <w:szCs w:val="24"/>
          <w:highlight w:val="none"/>
          <w:u w:val="single"/>
          <w:lang w:val="en-US" w:eastAsia="zh-CN"/>
        </w:rPr>
        <w:t>蔡工</w:t>
      </w:r>
    </w:p>
    <w:p w14:paraId="0B90F3D2">
      <w:pPr>
        <w:pStyle w:val="38"/>
        <w:widowControl/>
        <w:spacing w:line="360" w:lineRule="auto"/>
        <w:ind w:left="424" w:leftChars="202" w:firstLine="9" w:firstLineChars="4"/>
        <w:rPr>
          <w:rFonts w:hint="default" w:ascii="宋体" w:hAnsi="宋体" w:eastAsia="宋体" w:cs="宋体"/>
          <w:color w:val="auto"/>
          <w:kern w:val="2"/>
          <w:sz w:val="24"/>
          <w:szCs w:val="24"/>
          <w:highlight w:val="none"/>
          <w:u w:val="single"/>
          <w:lang w:val="en-US" w:eastAsia="zh-CN"/>
        </w:rPr>
      </w:pPr>
      <w:r>
        <w:rPr>
          <w:rFonts w:ascii="宋体" w:hAnsi="宋体" w:eastAsia="宋体" w:cs="宋体"/>
          <w:color w:val="auto"/>
          <w:kern w:val="2"/>
          <w:sz w:val="24"/>
          <w:szCs w:val="24"/>
          <w:highlight w:val="none"/>
        </w:rPr>
        <w:t>电    话：</w:t>
      </w:r>
      <w:r>
        <w:rPr>
          <w:rFonts w:hint="eastAsia" w:ascii="宋体" w:hAnsi="宋体" w:eastAsia="宋体"/>
          <w:color w:val="auto"/>
          <w:sz w:val="24"/>
          <w:szCs w:val="24"/>
          <w:highlight w:val="none"/>
          <w:u w:val="single"/>
          <w:lang w:val="en-US" w:eastAsia="zh-CN"/>
        </w:rPr>
        <w:t>13802549845</w:t>
      </w:r>
    </w:p>
    <w:p w14:paraId="0C865821">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异议受理部门：</w:t>
      </w:r>
      <w:r>
        <w:rPr>
          <w:rFonts w:hint="eastAsia" w:ascii="宋体" w:hAnsi="宋体" w:eastAsia="宋体" w:cs="宋体"/>
          <w:color w:val="auto"/>
          <w:kern w:val="2"/>
          <w:sz w:val="24"/>
          <w:szCs w:val="24"/>
          <w:highlight w:val="none"/>
          <w:u w:val="single"/>
          <w:lang w:eastAsia="zh-CN"/>
        </w:rPr>
        <w:t>广佛(佛冈)产业园高新投资开发有限公司</w:t>
      </w:r>
    </w:p>
    <w:p w14:paraId="123D181A">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异议受理电话：</w:t>
      </w:r>
      <w:r>
        <w:rPr>
          <w:rFonts w:hint="eastAsia" w:ascii="宋体" w:hAnsi="宋体" w:eastAsia="宋体" w:cs="宋体"/>
          <w:color w:val="auto"/>
          <w:kern w:val="2"/>
          <w:sz w:val="24"/>
          <w:szCs w:val="24"/>
          <w:highlight w:val="none"/>
          <w:u w:val="single"/>
          <w:lang w:eastAsia="zh-CN"/>
        </w:rPr>
        <w:t>0763-4633363</w:t>
      </w:r>
    </w:p>
    <w:p w14:paraId="52154263">
      <w:pPr>
        <w:pStyle w:val="38"/>
        <w:widowControl/>
        <w:spacing w:line="360" w:lineRule="auto"/>
        <w:ind w:left="424" w:leftChars="202" w:firstLine="9" w:firstLineChars="4"/>
        <w:rPr>
          <w:rFonts w:hint="eastAsia" w:ascii="宋体" w:hAnsi="宋体" w:eastAsia="宋体" w:cs="宋体"/>
          <w:color w:val="auto"/>
          <w:kern w:val="2"/>
          <w:sz w:val="24"/>
          <w:szCs w:val="24"/>
          <w:highlight w:val="none"/>
          <w:u w:val="single"/>
          <w:lang w:eastAsia="zh-CN"/>
        </w:rPr>
      </w:pPr>
      <w:r>
        <w:rPr>
          <w:rFonts w:ascii="宋体" w:hAnsi="宋体" w:eastAsia="宋体" w:cs="宋体"/>
          <w:color w:val="auto"/>
          <w:kern w:val="2"/>
          <w:sz w:val="24"/>
          <w:szCs w:val="24"/>
          <w:highlight w:val="none"/>
        </w:rPr>
        <w:t>地        址：</w:t>
      </w:r>
      <w:r>
        <w:rPr>
          <w:rFonts w:hint="eastAsia" w:ascii="宋体" w:hAnsi="宋体" w:eastAsia="宋体" w:cs="宋体"/>
          <w:color w:val="auto"/>
          <w:kern w:val="2"/>
          <w:sz w:val="24"/>
          <w:szCs w:val="24"/>
          <w:highlight w:val="none"/>
          <w:u w:val="single"/>
        </w:rPr>
        <w:t>清远市佛冈县广佛（佛冈）产业园</w:t>
      </w:r>
    </w:p>
    <w:p w14:paraId="4EC1EBCE">
      <w:pPr>
        <w:pStyle w:val="38"/>
        <w:widowControl/>
        <w:spacing w:line="360" w:lineRule="auto"/>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招标监督机构：</w:t>
      </w:r>
      <w:r>
        <w:rPr>
          <w:rFonts w:hint="eastAsia" w:ascii="宋体" w:hAnsi="宋体" w:eastAsia="宋体" w:cs="宋体"/>
          <w:color w:val="auto"/>
          <w:kern w:val="2"/>
          <w:sz w:val="24"/>
          <w:szCs w:val="24"/>
          <w:highlight w:val="none"/>
          <w:u w:val="single"/>
          <w:lang w:eastAsia="zh-CN"/>
        </w:rPr>
        <w:t>广清经济特别合作区广佛（佛冈）产业园管理委员会</w:t>
      </w:r>
    </w:p>
    <w:p w14:paraId="2EAA179A">
      <w:pPr>
        <w:pStyle w:val="38"/>
        <w:widowControl/>
        <w:spacing w:line="360" w:lineRule="auto"/>
        <w:ind w:left="424" w:leftChars="202" w:firstLine="9" w:firstLineChars="4"/>
        <w:rPr>
          <w:rFonts w:hint="default" w:ascii="宋体" w:hAnsi="宋体" w:eastAsia="宋体" w:cs="宋体"/>
          <w:color w:val="auto"/>
          <w:kern w:val="2"/>
          <w:sz w:val="24"/>
          <w:szCs w:val="24"/>
          <w:highlight w:val="none"/>
          <w:u w:val="single"/>
        </w:rPr>
      </w:pPr>
      <w:r>
        <w:rPr>
          <w:rFonts w:ascii="宋体" w:hAnsi="宋体" w:eastAsia="宋体" w:cs="宋体"/>
          <w:color w:val="auto"/>
          <w:kern w:val="2"/>
          <w:sz w:val="24"/>
          <w:szCs w:val="24"/>
          <w:highlight w:val="none"/>
        </w:rPr>
        <w:t>监督电话：</w:t>
      </w:r>
      <w:r>
        <w:rPr>
          <w:rFonts w:hint="eastAsia" w:ascii="宋体" w:hAnsi="宋体" w:cs="宋体"/>
          <w:color w:val="auto"/>
          <w:kern w:val="0"/>
          <w:sz w:val="24"/>
          <w:szCs w:val="24"/>
          <w:highlight w:val="none"/>
          <w:u w:val="single"/>
          <w:lang w:eastAsia="zh-CN"/>
        </w:rPr>
        <w:t>0763-4633707</w:t>
      </w:r>
    </w:p>
    <w:p w14:paraId="3C9429EB">
      <w:pPr>
        <w:widowControl/>
        <w:shd w:val="clear" w:color="auto" w:fill="FFFFFF"/>
        <w:spacing w:line="360" w:lineRule="auto"/>
        <w:ind w:left="424" w:leftChars="202" w:firstLine="9" w:firstLineChars="4"/>
        <w:jc w:val="left"/>
        <w:rPr>
          <w:rFonts w:hint="eastAsia" w:ascii="宋体" w:hAnsi="宋体"/>
          <w:color w:val="auto"/>
          <w:sz w:val="24"/>
          <w:szCs w:val="24"/>
          <w:highlight w:val="none"/>
          <w:u w:val="single"/>
        </w:rPr>
      </w:pPr>
      <w:r>
        <w:rPr>
          <w:rFonts w:ascii="宋体" w:hAnsi="宋体" w:cs="宋体"/>
          <w:color w:val="auto"/>
          <w:sz w:val="24"/>
          <w:szCs w:val="24"/>
          <w:highlight w:val="none"/>
        </w:rPr>
        <w:t>地    址：</w:t>
      </w:r>
      <w:r>
        <w:rPr>
          <w:rFonts w:hint="eastAsia" w:ascii="宋体" w:hAnsi="宋体" w:eastAsia="宋体" w:cs="宋体"/>
          <w:color w:val="auto"/>
          <w:kern w:val="2"/>
          <w:sz w:val="24"/>
          <w:szCs w:val="24"/>
          <w:highlight w:val="none"/>
          <w:u w:val="single"/>
        </w:rPr>
        <w:t>清远市佛冈县广佛（佛冈）产业园</w:t>
      </w:r>
    </w:p>
    <w:p w14:paraId="173EE271">
      <w:pPr>
        <w:widowControl/>
        <w:shd w:val="clear" w:color="auto" w:fill="FFFFFF"/>
        <w:wordWrap w:val="0"/>
        <w:spacing w:line="360" w:lineRule="auto"/>
        <w:ind w:left="424" w:leftChars="202" w:firstLine="9" w:firstLineChars="4"/>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w:t>
      </w:r>
    </w:p>
    <w:p w14:paraId="64223E4C">
      <w:pPr>
        <w:spacing w:line="360" w:lineRule="auto"/>
        <w:rPr>
          <w:rFonts w:ascii="宋体" w:hAnsi="宋体" w:cs="宋体"/>
          <w:color w:val="auto"/>
          <w:sz w:val="24"/>
          <w:szCs w:val="24"/>
          <w:highlight w:val="none"/>
        </w:rPr>
      </w:pPr>
      <w:r>
        <w:rPr>
          <w:rFonts w:ascii="宋体" w:hAnsi="宋体" w:cs="宋体"/>
          <w:color w:val="auto"/>
          <w:sz w:val="24"/>
          <w:highlight w:val="none"/>
        </w:rPr>
        <w:br w:type="page"/>
      </w:r>
      <w:bookmarkStart w:id="0" w:name="_Toc249846232"/>
      <w:bookmarkStart w:id="1" w:name="_Toc266881405"/>
      <w:bookmarkStart w:id="2" w:name="_Toc249845977"/>
      <w:bookmarkStart w:id="3" w:name="_Toc416358163"/>
      <w:bookmarkStart w:id="4" w:name="_Toc266093553"/>
      <w:bookmarkStart w:id="5" w:name="_Toc253143224"/>
      <w:bookmarkStart w:id="6" w:name="_Toc416357992"/>
      <w:bookmarkStart w:id="7" w:name="_Toc245024005"/>
      <w:r>
        <w:rPr>
          <w:rFonts w:hint="eastAsia" w:ascii="宋体" w:hAnsi="宋体" w:cs="宋体"/>
          <w:color w:val="auto"/>
          <w:sz w:val="24"/>
          <w:szCs w:val="24"/>
          <w:highlight w:val="none"/>
        </w:rPr>
        <w:t>附件一：</w:t>
      </w:r>
    </w:p>
    <w:bookmarkEnd w:id="0"/>
    <w:bookmarkEnd w:id="1"/>
    <w:bookmarkEnd w:id="2"/>
    <w:bookmarkEnd w:id="3"/>
    <w:bookmarkEnd w:id="4"/>
    <w:bookmarkEnd w:id="5"/>
    <w:bookmarkEnd w:id="6"/>
    <w:bookmarkEnd w:id="7"/>
    <w:p w14:paraId="2F947D97">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投标人声明(施工单位提供)</w:t>
      </w:r>
    </w:p>
    <w:p w14:paraId="61B1ECBB">
      <w:pPr>
        <w:adjustRightInd w:val="0"/>
        <w:snapToGrid w:val="0"/>
        <w:spacing w:line="360" w:lineRule="auto"/>
        <w:ind w:firstLine="420" w:firstLineChars="200"/>
        <w:rPr>
          <w:rFonts w:ascii="宋体" w:hAnsi="宋体"/>
          <w:color w:val="auto"/>
          <w:szCs w:val="21"/>
          <w:highlight w:val="none"/>
        </w:rPr>
      </w:pPr>
    </w:p>
    <w:p w14:paraId="4E2E997F">
      <w:pPr>
        <w:pStyle w:val="38"/>
        <w:adjustRightInd w:val="0"/>
        <w:snapToGrid w:val="0"/>
        <w:ind w:firstLine="0"/>
        <w:rPr>
          <w:rFonts w:hint="default" w:ascii="宋体" w:hAnsi="宋体" w:eastAsia="宋体"/>
          <w:color w:val="auto"/>
          <w:sz w:val="21"/>
          <w:szCs w:val="21"/>
          <w:highlight w:val="none"/>
        </w:rPr>
      </w:pPr>
      <w:r>
        <w:rPr>
          <w:rFonts w:hint="eastAsia" w:ascii="宋体" w:hAnsi="宋体" w:eastAsia="宋体"/>
          <w:color w:val="auto"/>
          <w:sz w:val="21"/>
          <w:szCs w:val="21"/>
          <w:highlight w:val="none"/>
          <w:u w:val="single"/>
          <w:lang w:eastAsia="zh-CN"/>
        </w:rPr>
        <w:t>广清经济特别合作区广佛（佛冈）产业园管理委员会、广佛(佛冈)产业园高新投资开发有限公司</w:t>
      </w:r>
      <w:r>
        <w:rPr>
          <w:rFonts w:ascii="宋体" w:hAnsi="宋体" w:eastAsia="宋体"/>
          <w:color w:val="auto"/>
          <w:sz w:val="21"/>
          <w:szCs w:val="21"/>
          <w:highlight w:val="none"/>
        </w:rPr>
        <w:t>：</w:t>
      </w:r>
    </w:p>
    <w:p w14:paraId="3F5C7F21">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042DDF84">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36322844">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459D60E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44F60D41">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3688BD03">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（二）为本标段前期准备提供设计或咨询服务或者与本项目设计人或提供咨询服务的机构存在附属关系的；</w:t>
      </w:r>
    </w:p>
    <w:p w14:paraId="7E6B6D4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7D9D7D9B">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7680536D">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580231F6">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34C2973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3BCBFE2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5C4E4ED0">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00D301E0">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294D01C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6606961A">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55AD2475">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08D6CBB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3B65175">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260CC90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我方保证本单位或拟派施工负责人、拟派专职安全员未因安全生产违法行为或失信行为被有关行政主管部门采取本行业或者职业禁入等联合惩戒措施（有效期内）。我方保证本项目拟派的施工负责人没有在其他工程项目担任工程总承包项目负责人、施工项目负责人；我方保证本项目拟派的施工负责人和专职安全员没有在其他在建项目中任本职。</w:t>
      </w:r>
    </w:p>
    <w:p w14:paraId="51A8E9D0">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BCA1E9E">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C7E09C1">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w:t>
      </w:r>
      <w:r>
        <w:rPr>
          <w:rFonts w:hint="eastAsia" w:ascii="宋体" w:hAnsi="宋体" w:eastAsia="宋体"/>
          <w:color w:val="auto"/>
          <w:sz w:val="21"/>
          <w:szCs w:val="21"/>
          <w:highlight w:val="none"/>
        </w:rPr>
        <w:t>我方承诺，切实落实《住房城乡建设部 人力资源社会保障部关于印发建筑工人实名管理办法（试行）的通知》（建市〔2019〕18号）、《广东省建设工程领域工人工资支付专用账户管理办法》（粤人社规〔2018〕14号）、《清远市建筑从业人员实名制管理办法》、《清远市建设领域工人工资支付管理暂行办法》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2AC8F1A5">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八、与我方单位负责人为同一人或者与我方存在控股、管理关系的其他单位包括：</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。（注：本条由投标人如实填写，如有，应列出的联合体各方全部满足招标公告资质要求的相关单位的名称；如无，则填写“无”。）</w:t>
      </w:r>
    </w:p>
    <w:p w14:paraId="00196EC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九、我方拟委派专职安全员兼任本工程的工地余泥渣土运输与排放管理员，严格遵守建设工程余泥渣土运输与排放管理制度，执行“一不准进、三不准出”规定，选择合法的余泥渣土运输单位及排放点。</w:t>
      </w:r>
    </w:p>
    <w:p w14:paraId="6E50F5B1">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232C2D0F">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一、本单位及拟派施工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市场监督管理机关在国家企业信用信息公示系统中列入严重违法失信名单；</w:t>
      </w:r>
    </w:p>
    <w:p w14:paraId="4AD77814">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二、本单位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市场监督管理机关在国家企业信用信息公示系统中列入严重违法失信名单。</w:t>
      </w:r>
    </w:p>
    <w:p w14:paraId="444F37FE">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十三、本单位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7E2ECA44">
      <w:pPr>
        <w:adjustRightInd w:val="0"/>
        <w:snapToGrid w:val="0"/>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21889BAE">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十四、本单位或拟派项目负责人、拟派专职安全员未因安全生产违法行为或失信行为被有关行政主管部门采取本行业或者职业禁入等联合惩戒措施（有效期内）。</w:t>
      </w:r>
    </w:p>
    <w:p w14:paraId="44640AA8">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十</w:t>
      </w:r>
      <w:r>
        <w:rPr>
          <w:rFonts w:hint="eastAsia" w:ascii="宋体" w:hAnsi="宋体"/>
          <w:kern w:val="0"/>
          <w:szCs w:val="21"/>
          <w:lang w:val="en-US" w:eastAsia="zh-CN"/>
        </w:rPr>
        <w:t>五</w:t>
      </w:r>
      <w:r>
        <w:rPr>
          <w:rFonts w:hint="eastAsia" w:ascii="宋体" w:hAnsi="宋体"/>
          <w:kern w:val="0"/>
          <w:szCs w:val="21"/>
        </w:rPr>
        <w:t>、本公司违反上述保证，或本声明陈述与事实不符，一经查实将按相关规定进行信用记录。本公司对失信行为产生的一切后果已知悉。如核实存在上述第十</w:t>
      </w:r>
      <w:r>
        <w:rPr>
          <w:rFonts w:hint="eastAsia" w:ascii="宋体" w:hAnsi="宋体"/>
          <w:kern w:val="0"/>
          <w:szCs w:val="21"/>
          <w:lang w:val="en-US" w:eastAsia="zh-CN"/>
        </w:rPr>
        <w:t>一</w:t>
      </w:r>
      <w:r>
        <w:rPr>
          <w:rFonts w:hint="eastAsia" w:ascii="宋体" w:hAnsi="宋体"/>
          <w:kern w:val="0"/>
          <w:szCs w:val="21"/>
        </w:rPr>
        <w:t>条及第十</w:t>
      </w:r>
      <w:r>
        <w:rPr>
          <w:rFonts w:hint="eastAsia" w:ascii="宋体" w:hAnsi="宋体"/>
          <w:kern w:val="0"/>
          <w:szCs w:val="21"/>
          <w:lang w:val="en-US" w:eastAsia="zh-CN"/>
        </w:rPr>
        <w:t>二</w:t>
      </w:r>
      <w:r>
        <w:rPr>
          <w:rFonts w:hint="eastAsia" w:ascii="宋体" w:hAnsi="宋体"/>
          <w:kern w:val="0"/>
          <w:szCs w:val="21"/>
        </w:rPr>
        <w:t>条任一情况，招标人有权取消本公司作为中标人的中标资格。其中，本声明陈述与事实不符的，属于弄虚作假骗取中标，将依法接受监管部门的处罚。</w:t>
      </w:r>
    </w:p>
    <w:p w14:paraId="7D72E6D0">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54E87635">
      <w:pPr>
        <w:pStyle w:val="39"/>
        <w:ind w:left="0" w:right="1449" w:firstLine="3685" w:firstLineChars="1755"/>
        <w:jc w:val="left"/>
        <w:rPr>
          <w:rFonts w:ascii="宋体" w:hAnsi="宋体" w:eastAsia="宋体"/>
          <w:color w:val="auto"/>
          <w:sz w:val="21"/>
          <w:szCs w:val="21"/>
          <w:highlight w:val="none"/>
        </w:rPr>
      </w:pPr>
      <w:r>
        <w:rPr>
          <w:rFonts w:hint="eastAsia" w:ascii="宋体" w:hAnsi="宋体" w:eastAsia="宋体"/>
          <w:color w:val="auto"/>
          <w:sz w:val="21"/>
          <w:szCs w:val="21"/>
          <w:highlight w:val="none"/>
        </w:rPr>
        <w:t>声明企业（施工单位）：（盖单位章）</w:t>
      </w:r>
    </w:p>
    <w:p w14:paraId="25C55173">
      <w:pPr>
        <w:pStyle w:val="38"/>
        <w:ind w:right="11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法定代表人签字：</w:t>
      </w:r>
    </w:p>
    <w:p w14:paraId="62F6796A">
      <w:pPr>
        <w:pStyle w:val="38"/>
        <w:ind w:right="1179" w:firstLine="3685" w:firstLineChars="1755"/>
        <w:jc w:val="left"/>
        <w:rPr>
          <w:rFonts w:hint="default"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项目</w:t>
      </w:r>
      <w:r>
        <w:rPr>
          <w:rFonts w:ascii="宋体" w:hAnsi="宋体" w:eastAsia="宋体"/>
          <w:color w:val="auto"/>
          <w:sz w:val="21"/>
          <w:szCs w:val="21"/>
          <w:highlight w:val="none"/>
        </w:rPr>
        <w:t>负责人签字</w:t>
      </w: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rPr>
        <w:t xml:space="preserve"> </w:t>
      </w:r>
    </w:p>
    <w:p w14:paraId="3C4353BA">
      <w:pPr>
        <w:pStyle w:val="38"/>
        <w:ind w:right="1179" w:firstLine="3685" w:firstLineChars="1755"/>
        <w:jc w:val="left"/>
        <w:rPr>
          <w:rFonts w:hint="default" w:ascii="宋体" w:hAnsi="宋体" w:eastAsia="宋体"/>
          <w:color w:val="auto"/>
          <w:sz w:val="21"/>
          <w:szCs w:val="21"/>
          <w:highlight w:val="none"/>
        </w:rPr>
      </w:pPr>
      <w:r>
        <w:rPr>
          <w:rFonts w:ascii="宋体" w:hAnsi="宋体" w:eastAsia="宋体"/>
          <w:color w:val="auto"/>
          <w:sz w:val="21"/>
          <w:szCs w:val="21"/>
          <w:highlight w:val="none"/>
        </w:rPr>
        <w:t>技术负责人签字：</w:t>
      </w:r>
    </w:p>
    <w:p w14:paraId="3F9D472B">
      <w:pPr>
        <w:pStyle w:val="38"/>
        <w:ind w:right="879" w:firstLine="3685" w:firstLineChars="1755"/>
        <w:jc w:val="right"/>
        <w:rPr>
          <w:rFonts w:ascii="宋体" w:hAnsi="宋体" w:eastAsia="宋体"/>
          <w:color w:val="auto"/>
          <w:sz w:val="21"/>
          <w:szCs w:val="21"/>
          <w:highlight w:val="none"/>
        </w:rPr>
      </w:pPr>
      <w:r>
        <w:rPr>
          <w:rFonts w:ascii="宋体" w:hAnsi="宋体" w:eastAsia="宋体"/>
          <w:color w:val="auto"/>
          <w:sz w:val="21"/>
          <w:szCs w:val="21"/>
          <w:highlight w:val="none"/>
        </w:rPr>
        <w:t>年   月   日</w:t>
      </w:r>
    </w:p>
    <w:p w14:paraId="7D820785">
      <w:pPr>
        <w:pStyle w:val="38"/>
        <w:ind w:right="879" w:firstLine="3685" w:firstLineChars="1755"/>
        <w:jc w:val="right"/>
        <w:rPr>
          <w:rFonts w:ascii="宋体" w:hAnsi="宋体" w:eastAsia="宋体"/>
          <w:color w:val="auto"/>
          <w:sz w:val="21"/>
          <w:szCs w:val="21"/>
          <w:highlight w:val="none"/>
        </w:rPr>
      </w:pPr>
    </w:p>
    <w:p w14:paraId="7EDC4C7E">
      <w:pPr>
        <w:pStyle w:val="38"/>
        <w:ind w:right="879" w:firstLine="0"/>
        <w:jc w:val="left"/>
        <w:rPr>
          <w:rFonts w:ascii="宋体" w:hAnsi="宋体" w:eastAsia="宋体"/>
          <w:color w:val="auto"/>
          <w:sz w:val="21"/>
          <w:szCs w:val="21"/>
          <w:highlight w:val="none"/>
        </w:rPr>
      </w:pPr>
    </w:p>
    <w:p w14:paraId="3DF38233">
      <w:pPr>
        <w:pStyle w:val="38"/>
        <w:ind w:right="879" w:firstLine="4212" w:firstLineChars="1755"/>
        <w:jc w:val="left"/>
        <w:rPr>
          <w:rFonts w:hint="default" w:ascii="宋体" w:hAnsi="宋体"/>
          <w:color w:val="auto"/>
          <w:sz w:val="24"/>
          <w:szCs w:val="24"/>
          <w:highlight w:val="none"/>
        </w:rPr>
      </w:pPr>
      <w:r>
        <w:rPr>
          <w:rFonts w:hint="default" w:ascii="宋体" w:hAnsi="宋体" w:eastAsia="宋体"/>
          <w:color w:val="auto"/>
          <w:sz w:val="24"/>
          <w:szCs w:val="24"/>
          <w:highlight w:val="none"/>
        </w:rPr>
        <w:br w:type="page"/>
      </w:r>
    </w:p>
    <w:p w14:paraId="2B85588A">
      <w:pPr>
        <w:spacing w:line="460" w:lineRule="exact"/>
        <w:jc w:val="center"/>
        <w:rPr>
          <w:rFonts w:ascii="宋体" w:hAnsi="宋体"/>
          <w:b/>
          <w:bCs/>
          <w:color w:val="auto"/>
          <w:sz w:val="30"/>
          <w:szCs w:val="30"/>
          <w:highlight w:val="none"/>
        </w:rPr>
      </w:pPr>
      <w:r>
        <w:rPr>
          <w:rFonts w:hint="eastAsia" w:ascii="宋体" w:hAnsi="宋体"/>
          <w:b/>
          <w:bCs/>
          <w:color w:val="auto"/>
          <w:sz w:val="30"/>
          <w:szCs w:val="30"/>
          <w:highlight w:val="none"/>
        </w:rPr>
        <w:t>投标人声明(</w:t>
      </w:r>
      <w:r>
        <w:rPr>
          <w:rFonts w:hint="eastAsia" w:ascii="宋体" w:hAnsi="宋体"/>
          <w:b/>
          <w:bCs/>
          <w:color w:val="auto"/>
          <w:sz w:val="30"/>
          <w:szCs w:val="30"/>
          <w:highlight w:val="none"/>
          <w:lang w:val="en-US" w:eastAsia="zh-CN"/>
        </w:rPr>
        <w:t>勘察</w:t>
      </w:r>
      <w:r>
        <w:rPr>
          <w:rFonts w:hint="eastAsia" w:ascii="宋体" w:hAnsi="宋体"/>
          <w:b/>
          <w:bCs/>
          <w:color w:val="auto"/>
          <w:sz w:val="30"/>
          <w:szCs w:val="30"/>
          <w:highlight w:val="none"/>
        </w:rPr>
        <w:t>单位提供)</w:t>
      </w:r>
    </w:p>
    <w:p w14:paraId="242E60AE">
      <w:pPr>
        <w:adjustRightInd w:val="0"/>
        <w:snapToGrid w:val="0"/>
        <w:spacing w:line="360" w:lineRule="auto"/>
        <w:rPr>
          <w:rFonts w:ascii="宋体" w:hAnsi="宋体"/>
          <w:color w:val="auto"/>
          <w:szCs w:val="21"/>
          <w:highlight w:val="none"/>
        </w:rPr>
      </w:pPr>
    </w:p>
    <w:p w14:paraId="5CF73D85">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u w:val="single"/>
        </w:rPr>
        <w:t>广清经济特别合作区广佛（佛冈）产业园管理委员会、</w:t>
      </w:r>
      <w:r>
        <w:rPr>
          <w:rFonts w:hint="eastAsia" w:ascii="宋体" w:hAnsi="宋体"/>
          <w:color w:val="auto"/>
          <w:szCs w:val="21"/>
          <w:highlight w:val="none"/>
          <w:u w:val="single"/>
          <w:lang w:eastAsia="zh-CN"/>
        </w:rPr>
        <w:t>广佛(佛冈)产业园高新投资开发有限公司</w:t>
      </w:r>
      <w:r>
        <w:rPr>
          <w:rFonts w:ascii="宋体" w:hAnsi="宋体"/>
          <w:color w:val="auto"/>
          <w:szCs w:val="21"/>
          <w:highlight w:val="none"/>
        </w:rPr>
        <w:t>：</w:t>
      </w:r>
    </w:p>
    <w:p w14:paraId="186B76D2">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407A759C">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557E3F13">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6ED1261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13C30E3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4EF2917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（二）为本标段前期准备提供设计或咨询服务或者与前述咨询服务的机构存在附属关系的；</w:t>
      </w:r>
    </w:p>
    <w:p w14:paraId="759204AC">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04FD54A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537CDAE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5063A7B5">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41C1C92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279DAFF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496C36F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2422E82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2E462B61">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6D9F453">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0153A96E">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01CD72B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BE90AFD">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4140E8B2">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四、与我方单位负责人为同一人或者与我方存在控股、管理关系的其他单位包括：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。（注：本条由投标人如实填写，如有，应列出的联合体各方全部满足招标公告资质要求的相关单位的名称；如无，则填写“无”。）</w:t>
      </w:r>
    </w:p>
    <w:p w14:paraId="1DC97F58">
      <w:pPr>
        <w:widowControl/>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23D00B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EC88A59">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七、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33BE51D0">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03F353F4">
      <w:pPr>
        <w:spacing w:line="276" w:lineRule="auto"/>
        <w:ind w:firstLine="420" w:firstLineChars="200"/>
        <w:rPr>
          <w:rFonts w:ascii="宋体" w:hAnsi="宋体"/>
          <w:color w:val="auto"/>
          <w:szCs w:val="21"/>
          <w:highlight w:val="none"/>
        </w:rPr>
      </w:pPr>
    </w:p>
    <w:p w14:paraId="2E5D252A">
      <w:pPr>
        <w:spacing w:line="276" w:lineRule="auto"/>
        <w:ind w:firstLine="420" w:firstLineChars="200"/>
        <w:rPr>
          <w:rFonts w:ascii="宋体" w:hAnsi="宋体"/>
          <w:color w:val="auto"/>
          <w:szCs w:val="21"/>
          <w:highlight w:val="none"/>
        </w:rPr>
      </w:pPr>
    </w:p>
    <w:p w14:paraId="41456034">
      <w:pPr>
        <w:pStyle w:val="39"/>
        <w:ind w:left="3686" w:right="95"/>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声明企业：（盖单位章）</w:t>
      </w:r>
    </w:p>
    <w:p w14:paraId="74C4B2AB">
      <w:pPr>
        <w:pStyle w:val="38"/>
        <w:ind w:left="3686" w:right="95" w:firstLine="0"/>
        <w:rPr>
          <w:rFonts w:ascii="宋体" w:hAnsi="宋体" w:eastAsia="宋体"/>
          <w:color w:val="auto"/>
          <w:sz w:val="21"/>
          <w:szCs w:val="21"/>
          <w:highlight w:val="none"/>
        </w:rPr>
      </w:pPr>
      <w:r>
        <w:rPr>
          <w:rFonts w:ascii="宋体" w:hAnsi="宋体" w:eastAsia="宋体"/>
          <w:color w:val="auto"/>
          <w:sz w:val="21"/>
          <w:szCs w:val="21"/>
          <w:highlight w:val="none"/>
        </w:rPr>
        <w:t>法定代表人签字：</w:t>
      </w:r>
    </w:p>
    <w:p w14:paraId="709CB2EB">
      <w:pPr>
        <w:pStyle w:val="38"/>
        <w:spacing w:line="480" w:lineRule="auto"/>
        <w:ind w:left="3686" w:right="95" w:firstLine="0"/>
        <w:jc w:val="right"/>
        <w:rPr>
          <w:rFonts w:ascii="宋体" w:hAnsi="宋体" w:eastAsia="宋体"/>
          <w:color w:val="auto"/>
          <w:sz w:val="21"/>
          <w:szCs w:val="21"/>
          <w:highlight w:val="none"/>
        </w:rPr>
      </w:pPr>
      <w:r>
        <w:rPr>
          <w:rFonts w:ascii="宋体" w:hAnsi="宋体" w:eastAsia="宋体"/>
          <w:color w:val="auto"/>
          <w:sz w:val="21"/>
          <w:szCs w:val="21"/>
          <w:highlight w:val="none"/>
        </w:rPr>
        <w:t>年   月   日</w:t>
      </w:r>
    </w:p>
    <w:p w14:paraId="43D8AB8E">
      <w:pPr>
        <w:pStyle w:val="38"/>
        <w:spacing w:line="480" w:lineRule="auto"/>
        <w:ind w:left="3686" w:right="95" w:firstLine="0"/>
        <w:jc w:val="right"/>
        <w:rPr>
          <w:rFonts w:ascii="宋体" w:hAnsi="宋体" w:eastAsia="宋体"/>
          <w:color w:val="auto"/>
          <w:sz w:val="21"/>
          <w:szCs w:val="21"/>
          <w:highlight w:val="none"/>
        </w:rPr>
      </w:pPr>
    </w:p>
    <w:p w14:paraId="43FA88BF">
      <w:pPr>
        <w:pStyle w:val="38"/>
        <w:spacing w:line="480" w:lineRule="auto"/>
        <w:ind w:right="95" w:firstLine="0"/>
        <w:jc w:val="left"/>
        <w:rPr>
          <w:rFonts w:ascii="宋体" w:hAnsi="宋体" w:eastAsia="宋体"/>
          <w:color w:val="auto"/>
          <w:sz w:val="21"/>
          <w:szCs w:val="21"/>
          <w:highlight w:val="none"/>
        </w:rPr>
      </w:pPr>
    </w:p>
    <w:p w14:paraId="51F337B9">
      <w:pPr>
        <w:pStyle w:val="38"/>
        <w:spacing w:line="480" w:lineRule="auto"/>
        <w:ind w:right="95" w:firstLine="0"/>
        <w:jc w:val="left"/>
        <w:rPr>
          <w:rFonts w:ascii="宋体" w:hAnsi="宋体" w:eastAsia="宋体"/>
          <w:color w:val="auto"/>
          <w:sz w:val="21"/>
          <w:szCs w:val="21"/>
          <w:highlight w:val="none"/>
        </w:rPr>
      </w:pPr>
    </w:p>
    <w:p w14:paraId="08B2009A">
      <w:pPr>
        <w:spacing w:line="460" w:lineRule="exact"/>
        <w:jc w:val="center"/>
        <w:rPr>
          <w:rFonts w:ascii="宋体" w:hAnsi="宋体"/>
          <w:b/>
          <w:bCs/>
          <w:color w:val="auto"/>
          <w:sz w:val="30"/>
          <w:szCs w:val="30"/>
          <w:highlight w:val="none"/>
        </w:rPr>
      </w:pPr>
      <w:r>
        <w:rPr>
          <w:rFonts w:ascii="宋体" w:hAnsi="宋体"/>
          <w:color w:val="auto"/>
          <w:szCs w:val="21"/>
          <w:highlight w:val="none"/>
        </w:rPr>
        <w:br w:type="page"/>
      </w:r>
      <w:r>
        <w:rPr>
          <w:rFonts w:hint="eastAsia" w:ascii="宋体" w:hAnsi="宋体"/>
          <w:b/>
          <w:bCs/>
          <w:color w:val="auto"/>
          <w:sz w:val="30"/>
          <w:szCs w:val="30"/>
          <w:highlight w:val="none"/>
        </w:rPr>
        <w:t>投标人声明(</w:t>
      </w:r>
      <w:r>
        <w:rPr>
          <w:rFonts w:hint="eastAsia" w:ascii="宋体" w:hAnsi="宋体"/>
          <w:b/>
          <w:bCs/>
          <w:color w:val="auto"/>
          <w:sz w:val="30"/>
          <w:szCs w:val="30"/>
          <w:highlight w:val="none"/>
          <w:lang w:val="en-US" w:eastAsia="zh-CN"/>
        </w:rPr>
        <w:t>设计</w:t>
      </w:r>
      <w:r>
        <w:rPr>
          <w:rFonts w:hint="eastAsia" w:ascii="宋体" w:hAnsi="宋体"/>
          <w:b/>
          <w:bCs/>
          <w:color w:val="auto"/>
          <w:sz w:val="30"/>
          <w:szCs w:val="30"/>
          <w:highlight w:val="none"/>
        </w:rPr>
        <w:t>单位提供)</w:t>
      </w:r>
    </w:p>
    <w:p w14:paraId="4EA0575B">
      <w:pPr>
        <w:adjustRightInd w:val="0"/>
        <w:snapToGrid w:val="0"/>
        <w:spacing w:line="360" w:lineRule="auto"/>
        <w:rPr>
          <w:rFonts w:ascii="宋体" w:hAnsi="宋体"/>
          <w:color w:val="auto"/>
          <w:szCs w:val="21"/>
          <w:highlight w:val="none"/>
        </w:rPr>
      </w:pPr>
    </w:p>
    <w:p w14:paraId="5BEA0092">
      <w:pPr>
        <w:adjustRightInd w:val="0"/>
        <w:snapToGrid w:val="0"/>
        <w:spacing w:line="360" w:lineRule="auto"/>
        <w:rPr>
          <w:rFonts w:ascii="宋体" w:hAnsi="宋体"/>
          <w:b/>
          <w:color w:val="auto"/>
          <w:szCs w:val="21"/>
          <w:highlight w:val="none"/>
        </w:rPr>
      </w:pPr>
      <w:r>
        <w:rPr>
          <w:rFonts w:hint="eastAsia" w:ascii="宋体" w:hAnsi="宋体"/>
          <w:color w:val="auto"/>
          <w:szCs w:val="21"/>
          <w:highlight w:val="none"/>
          <w:u w:val="single"/>
        </w:rPr>
        <w:t>广清经济特别合作区广佛（佛冈）产业园管理委员会</w:t>
      </w:r>
      <w:r>
        <w:rPr>
          <w:rFonts w:ascii="宋体" w:hAnsi="宋体"/>
          <w:color w:val="auto"/>
          <w:szCs w:val="21"/>
          <w:highlight w:val="none"/>
          <w:u w:val="single"/>
        </w:rPr>
        <w:t>、</w:t>
      </w:r>
      <w:r>
        <w:rPr>
          <w:rFonts w:hint="eastAsia" w:ascii="宋体" w:hAnsi="宋体"/>
          <w:color w:val="auto"/>
          <w:szCs w:val="21"/>
          <w:highlight w:val="none"/>
          <w:u w:val="single"/>
          <w:lang w:eastAsia="zh-CN"/>
        </w:rPr>
        <w:t>广佛(佛冈)产业园高新投资开发有限公司</w:t>
      </w:r>
      <w:r>
        <w:rPr>
          <w:rFonts w:ascii="宋体" w:hAnsi="宋体"/>
          <w:color w:val="auto"/>
          <w:szCs w:val="21"/>
          <w:highlight w:val="none"/>
        </w:rPr>
        <w:t>：</w:t>
      </w:r>
    </w:p>
    <w:p w14:paraId="3D5D8C95">
      <w:pPr>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本公司就参加</w:t>
      </w:r>
      <w:r>
        <w:rPr>
          <w:rFonts w:ascii="宋体" w:hAnsi="宋体"/>
          <w:color w:val="auto"/>
          <w:szCs w:val="21"/>
          <w:highlight w:val="none"/>
          <w:u w:val="single"/>
        </w:rPr>
        <w:t xml:space="preserve">                        </w:t>
      </w:r>
      <w:r>
        <w:rPr>
          <w:rFonts w:hint="eastAsia" w:ascii="宋体" w:hAnsi="宋体"/>
          <w:color w:val="auto"/>
          <w:szCs w:val="21"/>
          <w:highlight w:val="none"/>
        </w:rPr>
        <w:t>投标工作，作出郑重声明：</w:t>
      </w:r>
    </w:p>
    <w:p w14:paraId="7C78E4BA">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一、我方保证投标文件及其后提供的一切材料都是真实的。如我方成为本项目中标候选人，我方同意并授权招标人将我方投标文件商务部分文件的所有内容（包括人员、业绩、奖项等资料）进行公开。</w:t>
      </w:r>
    </w:p>
    <w:p w14:paraId="3BBE4F7C">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二、我方保证在本项目投标中不与其他单位围标、串标，不出让投标资格，不向招标人或评标委员会成员行贿。</w:t>
      </w:r>
    </w:p>
    <w:p w14:paraId="203F3550">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三、我方不存在下列情形之一：</w:t>
      </w:r>
    </w:p>
    <w:p w14:paraId="21298B88">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（一）为招标人不具有独立法人资格的附属机构（单位）；</w:t>
      </w:r>
    </w:p>
    <w:p w14:paraId="56C64C96">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（二）为本标段前期准备提供设计或咨询服务或者与前述咨询服务的机构存在附属关系的；</w:t>
      </w:r>
    </w:p>
    <w:p w14:paraId="4353AD9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（三）为本标段监理人或者与本标段监理人存在隶属关系或者其他利害关系；</w:t>
      </w:r>
    </w:p>
    <w:p w14:paraId="5CDE65E5">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（四）为本标段的代建人；</w:t>
      </w:r>
    </w:p>
    <w:p w14:paraId="167338F7">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（五）为本标段提供招标代理服务的；</w:t>
      </w:r>
    </w:p>
    <w:p w14:paraId="47FADED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（六）与本标段的监理人或代建人或招标代理机构同为一个法定代表人的；</w:t>
      </w:r>
    </w:p>
    <w:p w14:paraId="274091F9">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（七）与本标段的监理人或代建人或招标代理机构互相控股或参股的；</w:t>
      </w:r>
    </w:p>
    <w:p w14:paraId="3540AD6C">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（八）与本标段的监理人或代建人或招标代理机构相互任职或工作的；</w:t>
      </w:r>
    </w:p>
    <w:p w14:paraId="21B11CAD">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（九）与本标段的检测机构有隶属关系或者其他利害关系；</w:t>
      </w:r>
    </w:p>
    <w:p w14:paraId="7B2BFF9C">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（十）与招标人存在利害关系且可能影响招标公正性； </w:t>
      </w:r>
    </w:p>
    <w:p w14:paraId="72B1B59E">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8158A10">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7D1B6AA6">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（十三）进入清算程序，或被宣布破产，或其他丧失履约能力的情形；</w:t>
      </w:r>
    </w:p>
    <w:p w14:paraId="6E94CBFF">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75ECD1A">
      <w:pPr>
        <w:pStyle w:val="38"/>
        <w:adjustRightInd w:val="0"/>
        <w:snapToGrid w:val="0"/>
        <w:ind w:firstLine="420" w:firstLineChars="200"/>
        <w:rPr>
          <w:rFonts w:hint="default" w:ascii="宋体" w:hAnsi="宋体" w:eastAsia="宋体"/>
          <w:color w:val="auto"/>
          <w:sz w:val="21"/>
          <w:szCs w:val="21"/>
          <w:highlight w:val="none"/>
        </w:rPr>
      </w:pPr>
      <w:r>
        <w:rPr>
          <w:rFonts w:ascii="宋体" w:hAnsi="宋体" w:eastAsia="宋体"/>
          <w:color w:val="auto"/>
          <w:sz w:val="21"/>
          <w:szCs w:val="21"/>
          <w:highlight w:val="none"/>
        </w:rPr>
        <w:t>（十五）法律法规规定的其他情形。</w:t>
      </w:r>
    </w:p>
    <w:p w14:paraId="60696DA3">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四、与我方单位负责人为同一人或者与我方存在控股、管理关系的其他单位包括：</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。（注：本条由投标人如实填写，如有，应列出的联合体各方全部满足招标公告资质要求的相关单位的名称；如无，则填写“无”。）</w:t>
      </w:r>
    </w:p>
    <w:p w14:paraId="1671303A">
      <w:pPr>
        <w:widowControl/>
        <w:adjustRightInd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4C95FDB">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六、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308C8F43">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七、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803AB3F">
      <w:pPr>
        <w:adjustRightInd w:val="0"/>
        <w:snapToGrid w:val="0"/>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特此声明。</w:t>
      </w:r>
    </w:p>
    <w:p w14:paraId="2CDB7888">
      <w:pPr>
        <w:spacing w:line="276" w:lineRule="auto"/>
        <w:ind w:firstLine="420" w:firstLineChars="200"/>
        <w:rPr>
          <w:rFonts w:ascii="宋体" w:hAnsi="宋体"/>
          <w:color w:val="auto"/>
          <w:szCs w:val="21"/>
          <w:highlight w:val="none"/>
        </w:rPr>
      </w:pPr>
    </w:p>
    <w:p w14:paraId="75D28D7B">
      <w:pPr>
        <w:spacing w:line="276" w:lineRule="auto"/>
        <w:ind w:firstLine="420" w:firstLineChars="200"/>
        <w:rPr>
          <w:rFonts w:ascii="宋体" w:hAnsi="宋体"/>
          <w:color w:val="auto"/>
          <w:szCs w:val="21"/>
          <w:highlight w:val="none"/>
        </w:rPr>
      </w:pPr>
    </w:p>
    <w:p w14:paraId="4480672C">
      <w:pPr>
        <w:pStyle w:val="39"/>
        <w:ind w:left="3686" w:right="95"/>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声明企业：（盖单位章）</w:t>
      </w:r>
    </w:p>
    <w:p w14:paraId="7420129B">
      <w:pPr>
        <w:pStyle w:val="38"/>
        <w:ind w:left="3686" w:right="95" w:firstLine="0"/>
        <w:rPr>
          <w:rFonts w:ascii="宋体" w:hAnsi="宋体" w:eastAsia="宋体"/>
          <w:color w:val="auto"/>
          <w:sz w:val="21"/>
          <w:szCs w:val="21"/>
          <w:highlight w:val="none"/>
        </w:rPr>
      </w:pPr>
      <w:r>
        <w:rPr>
          <w:rFonts w:ascii="宋体" w:hAnsi="宋体" w:eastAsia="宋体"/>
          <w:color w:val="auto"/>
          <w:sz w:val="21"/>
          <w:szCs w:val="21"/>
          <w:highlight w:val="none"/>
        </w:rPr>
        <w:t>法定代表人签字：</w:t>
      </w:r>
    </w:p>
    <w:p w14:paraId="0145A6AF">
      <w:pPr>
        <w:pStyle w:val="38"/>
        <w:spacing w:line="480" w:lineRule="auto"/>
        <w:ind w:left="3686" w:right="95" w:firstLine="0"/>
        <w:jc w:val="right"/>
        <w:rPr>
          <w:rFonts w:ascii="宋体" w:hAnsi="宋体" w:eastAsia="宋体"/>
          <w:color w:val="auto"/>
          <w:sz w:val="21"/>
          <w:szCs w:val="21"/>
          <w:highlight w:val="none"/>
        </w:rPr>
      </w:pPr>
      <w:r>
        <w:rPr>
          <w:rFonts w:ascii="宋体" w:hAnsi="宋体" w:eastAsia="宋体"/>
          <w:color w:val="auto"/>
          <w:sz w:val="21"/>
          <w:szCs w:val="21"/>
          <w:highlight w:val="none"/>
        </w:rPr>
        <w:t>年   月   日</w:t>
      </w:r>
    </w:p>
    <w:p w14:paraId="4BD7DCE2">
      <w:pPr>
        <w:pStyle w:val="3"/>
        <w:autoSpaceDE w:val="0"/>
        <w:spacing w:line="360" w:lineRule="auto"/>
        <w:rPr>
          <w:rFonts w:ascii="宋体" w:hAnsi="宋体" w:cs="宋体"/>
          <w:color w:val="auto"/>
          <w:sz w:val="24"/>
          <w:highlight w:val="none"/>
        </w:rPr>
      </w:pPr>
      <w:r>
        <w:rPr>
          <w:rFonts w:ascii="宋体" w:hAnsi="宋体"/>
          <w:color w:val="auto"/>
          <w:szCs w:val="21"/>
          <w:highlight w:val="none"/>
        </w:rPr>
        <w:br w:type="page"/>
      </w:r>
      <w:r>
        <w:rPr>
          <w:rFonts w:hint="eastAsia" w:ascii="宋体" w:hAnsi="宋体" w:cs="宋体"/>
          <w:color w:val="auto"/>
          <w:sz w:val="24"/>
          <w:highlight w:val="none"/>
        </w:rPr>
        <w:t>附件二：</w:t>
      </w:r>
    </w:p>
    <w:p w14:paraId="78AEF0C9">
      <w:pPr>
        <w:autoSpaceDE w:val="0"/>
        <w:spacing w:line="360" w:lineRule="auto"/>
        <w:ind w:right="-46"/>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联合体投标协议书</w:t>
      </w:r>
    </w:p>
    <w:p w14:paraId="464C47E0">
      <w:pPr>
        <w:topLinePunct/>
        <w:spacing w:line="400" w:lineRule="exact"/>
        <w:ind w:firstLine="630" w:firstLineChars="3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u w:val="single"/>
          <w:shd w:val="clear" w:color="auto" w:fill="auto"/>
        </w:rPr>
        <w:t>（主办方单位名称、各成员名称）</w:t>
      </w:r>
      <w:r>
        <w:rPr>
          <w:rFonts w:hint="eastAsia" w:ascii="宋体" w:hAnsi="宋体" w:eastAsia="宋体" w:cs="宋体"/>
          <w:color w:val="auto"/>
          <w:szCs w:val="21"/>
          <w:highlight w:val="none"/>
          <w:shd w:val="clear" w:color="auto" w:fill="auto"/>
        </w:rPr>
        <w:t>自愿组成联合体，共同参加</w:t>
      </w:r>
      <w:r>
        <w:rPr>
          <w:rFonts w:hint="eastAsia" w:ascii="宋体" w:hAnsi="宋体" w:eastAsia="宋体" w:cs="宋体"/>
          <w:color w:val="auto"/>
          <w:szCs w:val="21"/>
          <w:highlight w:val="none"/>
          <w:u w:val="single"/>
          <w:shd w:val="clear" w:color="auto" w:fill="auto"/>
        </w:rPr>
        <w:t>（项目名称）</w:t>
      </w:r>
      <w:r>
        <w:rPr>
          <w:rFonts w:hint="eastAsia" w:ascii="宋体" w:hAnsi="宋体" w:eastAsia="宋体" w:cs="宋体"/>
          <w:color w:val="auto"/>
          <w:szCs w:val="21"/>
          <w:highlight w:val="none"/>
          <w:shd w:val="clear" w:color="auto" w:fill="auto"/>
        </w:rPr>
        <w:t>投标。现就联合体投标事宜订立如下协议。</w:t>
      </w:r>
    </w:p>
    <w:p w14:paraId="6048B066">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u w:val="single"/>
          <w:shd w:val="clear" w:color="auto" w:fill="auto"/>
        </w:rPr>
        <w:t xml:space="preserve">        （施工单位名称）</w:t>
      </w:r>
      <w:r>
        <w:rPr>
          <w:rFonts w:hint="eastAsia" w:ascii="宋体" w:hAnsi="宋体" w:eastAsia="宋体" w:cs="宋体"/>
          <w:color w:val="auto"/>
          <w:szCs w:val="21"/>
          <w:highlight w:val="none"/>
          <w:shd w:val="clear" w:color="auto" w:fill="auto"/>
        </w:rPr>
        <w:t>为联合体主办方。</w:t>
      </w:r>
    </w:p>
    <w:p w14:paraId="3B0609BA">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1C2657A2">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3、联合体将严格按照招标文件的各项要求，递交投标文件，履行合同，联合体各成员向招标人承担连带责任。</w:t>
      </w:r>
    </w:p>
    <w:p w14:paraId="37409641">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4、联合体各成员单位内部的职责分工如下：</w:t>
      </w:r>
    </w:p>
    <w:p w14:paraId="7F0061AB">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：作为联合体的主办方负责本工程的施工及牵头工作。联合体其他相关方违约时，主办方应承担连带责任，具体按合同要求。联合体其他相关方违约时，主办方应承担连带责任，具体按合同要求。</w:t>
      </w:r>
    </w:p>
    <w:p w14:paraId="2498B4BB">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：主要负责本工程的</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工作，具体按合同要求。</w:t>
      </w:r>
    </w:p>
    <w:p w14:paraId="0A8ACA18">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r>
        <w:rPr>
          <w:rFonts w:hint="eastAsia" w:ascii="宋体" w:hAnsi="宋体" w:eastAsia="宋体" w:cs="宋体"/>
          <w:color w:val="auto"/>
          <w:szCs w:val="21"/>
          <w:highlight w:val="none"/>
          <w:u w:val="single"/>
          <w:shd w:val="clear" w:color="auto" w:fill="auto"/>
          <w:lang w:val="en-US" w:eastAsia="zh-CN"/>
        </w:rPr>
        <w:t xml:space="preserve"> （如有）       </w:t>
      </w:r>
      <w:r>
        <w:rPr>
          <w:rFonts w:hint="eastAsia" w:ascii="宋体" w:hAnsi="宋体" w:eastAsia="宋体" w:cs="宋体"/>
          <w:color w:val="auto"/>
          <w:szCs w:val="21"/>
          <w:highlight w:val="none"/>
          <w:shd w:val="clear" w:color="auto" w:fill="auto"/>
        </w:rPr>
        <w:t>：主要负责本工程的</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工作，具体按合同要求。</w:t>
      </w:r>
    </w:p>
    <w:p w14:paraId="098EF60D">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 xml:space="preserve">5、本协议书自签署之日起生效，合同履行完毕后自动失效。 </w:t>
      </w:r>
    </w:p>
    <w:p w14:paraId="3CF05E57">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施工单位名称：</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14:paraId="5C4CBCE6">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14:paraId="525F3A5F">
      <w:pPr>
        <w:topLinePunct/>
        <w:spacing w:line="400" w:lineRule="exact"/>
        <w:ind w:firstLine="420" w:firstLineChars="200"/>
        <w:rPr>
          <w:rFonts w:hint="eastAsia" w:ascii="宋体" w:hAnsi="宋体" w:eastAsia="宋体" w:cs="宋体"/>
          <w:color w:val="auto"/>
          <w:szCs w:val="21"/>
          <w:highlight w:val="none"/>
          <w:shd w:val="clear" w:color="auto" w:fill="auto"/>
        </w:rPr>
      </w:pPr>
    </w:p>
    <w:p w14:paraId="729347A0">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成员1名称：</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14:paraId="37291685">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14:paraId="2D0F7264">
      <w:pPr>
        <w:topLinePunct/>
        <w:spacing w:line="400" w:lineRule="exact"/>
        <w:ind w:firstLine="420" w:firstLineChars="200"/>
        <w:rPr>
          <w:rFonts w:hint="eastAsia" w:ascii="宋体" w:hAnsi="宋体" w:eastAsia="宋体" w:cs="宋体"/>
          <w:color w:val="auto"/>
          <w:szCs w:val="21"/>
          <w:highlight w:val="none"/>
          <w:shd w:val="clear" w:color="auto" w:fill="auto"/>
        </w:rPr>
      </w:pPr>
    </w:p>
    <w:p w14:paraId="3453E731">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成员2名称（如有）：</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（盖单位章）</w:t>
      </w:r>
    </w:p>
    <w:p w14:paraId="1B89C839">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法定代表人：</w:t>
      </w:r>
      <w:r>
        <w:rPr>
          <w:rFonts w:hint="eastAsia" w:ascii="宋体" w:hAnsi="宋体" w:eastAsia="宋体" w:cs="宋体"/>
          <w:color w:val="auto"/>
          <w:szCs w:val="21"/>
          <w:highlight w:val="none"/>
          <w:u w:val="single"/>
          <w:shd w:val="clear" w:color="auto" w:fill="auto"/>
          <w:lang w:val="en-US" w:eastAsia="zh-CN"/>
        </w:rPr>
        <w:t xml:space="preserve">                </w:t>
      </w:r>
      <w:r>
        <w:rPr>
          <w:rFonts w:hint="eastAsia" w:ascii="宋体" w:hAnsi="宋体" w:eastAsia="宋体" w:cs="宋体"/>
          <w:color w:val="auto"/>
          <w:szCs w:val="21"/>
          <w:highlight w:val="none"/>
          <w:shd w:val="clear" w:color="auto" w:fill="auto"/>
        </w:rPr>
        <w:t>（签字或盖章）</w:t>
      </w:r>
    </w:p>
    <w:p w14:paraId="48D19E50">
      <w:pPr>
        <w:topLinePunct/>
        <w:spacing w:line="400" w:lineRule="exact"/>
        <w:ind w:firstLine="420" w:firstLineChars="200"/>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w:t>
      </w:r>
    </w:p>
    <w:p w14:paraId="2103D5C1">
      <w:pPr>
        <w:topLinePunct/>
        <w:spacing w:line="400" w:lineRule="exact"/>
        <w:ind w:firstLine="420" w:firstLineChars="200"/>
        <w:rPr>
          <w:rFonts w:hint="eastAsia" w:ascii="宋体" w:hAnsi="宋体" w:eastAsia="宋体" w:cs="宋体"/>
          <w:color w:val="auto"/>
          <w:szCs w:val="21"/>
          <w:highlight w:val="none"/>
          <w:shd w:val="clear" w:color="auto" w:fill="auto"/>
        </w:rPr>
      </w:pPr>
    </w:p>
    <w:p w14:paraId="02CFDB5E">
      <w:pPr>
        <w:spacing w:line="360" w:lineRule="auto"/>
        <w:ind w:firstLine="539" w:firstLineChars="257"/>
        <w:rPr>
          <w:rFonts w:ascii="宋体" w:hAnsi="宋体" w:cs="微软雅黑"/>
          <w:color w:val="auto"/>
          <w:szCs w:val="21"/>
          <w:highlight w:val="none"/>
        </w:rPr>
      </w:pPr>
      <w:r>
        <w:rPr>
          <w:rFonts w:hint="eastAsia" w:ascii="宋体" w:hAnsi="宋体" w:eastAsia="宋体" w:cs="宋体"/>
          <w:color w:val="auto"/>
          <w:szCs w:val="21"/>
          <w:highlight w:val="none"/>
          <w:shd w:val="clear" w:color="auto" w:fill="auto"/>
        </w:rPr>
        <w:t>日期：     年     月     日</w:t>
      </w:r>
    </w:p>
    <w:p w14:paraId="3887E601">
      <w:pPr>
        <w:spacing w:line="360" w:lineRule="auto"/>
        <w:ind w:firstLine="539" w:firstLineChars="257"/>
        <w:rPr>
          <w:rFonts w:ascii="宋体" w:hAnsi="宋体" w:cs="微软雅黑"/>
          <w:color w:val="auto"/>
          <w:szCs w:val="21"/>
          <w:highlight w:val="none"/>
        </w:rPr>
      </w:pPr>
    </w:p>
    <w:p w14:paraId="3B232DD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Cs w:val="21"/>
          <w:highlight w:val="none"/>
        </w:rPr>
      </w:pPr>
      <w:r>
        <w:rPr>
          <w:rFonts w:hint="eastAsia" w:ascii="宋体" w:hAnsi="宋体" w:cs="微软雅黑"/>
          <w:color w:val="auto"/>
          <w:szCs w:val="21"/>
          <w:highlight w:val="none"/>
        </w:rPr>
        <w:t>注：联合体投标人可以根据联合体成员数量及其职责分工对《联合体投标协议书》内容和格式进行相应调整。单独投标的，无需提交本协议书。</w:t>
      </w:r>
    </w:p>
    <w:sectPr>
      <w:footerReference r:id="rId3"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3EEB5">
    <w:pPr>
      <w:pStyle w:val="8"/>
      <w:jc w:val="center"/>
    </w:pPr>
    <w:r>
      <w:fldChar w:fldCharType="begin"/>
    </w:r>
    <w:r>
      <w:instrText xml:space="preserve">PAGE   \* MERGEFORMAT</w:instrText>
    </w:r>
    <w:r>
      <w:fldChar w:fldCharType="separate"/>
    </w:r>
    <w:r>
      <w:rPr>
        <w:lang w:val="zh-CN"/>
      </w:rPr>
      <w:t>18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766FA"/>
    <w:multiLevelType w:val="singleLevel"/>
    <w:tmpl w:val="1BC766FA"/>
    <w:lvl w:ilvl="0" w:tentative="0">
      <w:start w:val="1"/>
      <w:numFmt w:val="decimal"/>
      <w:suff w:val="nothing"/>
      <w:lvlText w:val="（%1）"/>
      <w:lvlJc w:val="left"/>
    </w:lvl>
  </w:abstractNum>
  <w:abstractNum w:abstractNumId="1">
    <w:nsid w:val="48981E4F"/>
    <w:multiLevelType w:val="singleLevel"/>
    <w:tmpl w:val="48981E4F"/>
    <w:lvl w:ilvl="0" w:tentative="0">
      <w:start w:val="8"/>
      <w:numFmt w:val="decimal"/>
      <w:suff w:val="space"/>
      <w:lvlText w:val="%1."/>
      <w:lvlJc w:val="left"/>
    </w:lvl>
  </w:abstractNum>
  <w:abstractNum w:abstractNumId="2">
    <w:nsid w:val="5E0DA5D1"/>
    <w:multiLevelType w:val="singleLevel"/>
    <w:tmpl w:val="5E0DA5D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xMDJjM2U3OGZiOGU3MmZkM2FhNTAyNzBlNjU0MjYifQ=="/>
    <w:docVar w:name="KSO_WPS_MARK_KEY" w:val="2c6d9b21-a1c7-469b-ae91-4f72320bd3d4"/>
  </w:docVars>
  <w:rsids>
    <w:rsidRoot w:val="00CB693B"/>
    <w:rsid w:val="00000B94"/>
    <w:rsid w:val="00007DFF"/>
    <w:rsid w:val="00014EB9"/>
    <w:rsid w:val="000215E3"/>
    <w:rsid w:val="000224D7"/>
    <w:rsid w:val="00022A57"/>
    <w:rsid w:val="0002572E"/>
    <w:rsid w:val="000322A0"/>
    <w:rsid w:val="00032AC3"/>
    <w:rsid w:val="000338CE"/>
    <w:rsid w:val="00035C10"/>
    <w:rsid w:val="00036688"/>
    <w:rsid w:val="000436D9"/>
    <w:rsid w:val="000471C3"/>
    <w:rsid w:val="00052D39"/>
    <w:rsid w:val="000530AC"/>
    <w:rsid w:val="00053BA1"/>
    <w:rsid w:val="00062B4F"/>
    <w:rsid w:val="0006510A"/>
    <w:rsid w:val="000656E6"/>
    <w:rsid w:val="000735A9"/>
    <w:rsid w:val="00074DD3"/>
    <w:rsid w:val="0007621D"/>
    <w:rsid w:val="0007731F"/>
    <w:rsid w:val="000776A8"/>
    <w:rsid w:val="000818BF"/>
    <w:rsid w:val="000826C2"/>
    <w:rsid w:val="000826DE"/>
    <w:rsid w:val="00084C7D"/>
    <w:rsid w:val="00095D73"/>
    <w:rsid w:val="000A118B"/>
    <w:rsid w:val="000A2CF7"/>
    <w:rsid w:val="000A321C"/>
    <w:rsid w:val="000A663B"/>
    <w:rsid w:val="000B0708"/>
    <w:rsid w:val="000B3904"/>
    <w:rsid w:val="000B6371"/>
    <w:rsid w:val="000C3135"/>
    <w:rsid w:val="000D2158"/>
    <w:rsid w:val="000D46EA"/>
    <w:rsid w:val="000D4DE0"/>
    <w:rsid w:val="000D7D4B"/>
    <w:rsid w:val="000E01B0"/>
    <w:rsid w:val="000E4647"/>
    <w:rsid w:val="000E58D0"/>
    <w:rsid w:val="000E78EA"/>
    <w:rsid w:val="000F58C0"/>
    <w:rsid w:val="001045C6"/>
    <w:rsid w:val="001054C7"/>
    <w:rsid w:val="00107773"/>
    <w:rsid w:val="00116F30"/>
    <w:rsid w:val="00120127"/>
    <w:rsid w:val="00120AFD"/>
    <w:rsid w:val="001219B7"/>
    <w:rsid w:val="001225E6"/>
    <w:rsid w:val="0012481E"/>
    <w:rsid w:val="00127ACE"/>
    <w:rsid w:val="0013282D"/>
    <w:rsid w:val="001357E5"/>
    <w:rsid w:val="00136C77"/>
    <w:rsid w:val="00140E8C"/>
    <w:rsid w:val="00143D1E"/>
    <w:rsid w:val="00145306"/>
    <w:rsid w:val="00145B22"/>
    <w:rsid w:val="00150C04"/>
    <w:rsid w:val="00151810"/>
    <w:rsid w:val="001529C1"/>
    <w:rsid w:val="00153CF7"/>
    <w:rsid w:val="001544AB"/>
    <w:rsid w:val="00155709"/>
    <w:rsid w:val="00155893"/>
    <w:rsid w:val="00161260"/>
    <w:rsid w:val="00170857"/>
    <w:rsid w:val="001740F9"/>
    <w:rsid w:val="00174635"/>
    <w:rsid w:val="00185398"/>
    <w:rsid w:val="001936DF"/>
    <w:rsid w:val="00194931"/>
    <w:rsid w:val="00196853"/>
    <w:rsid w:val="001A2F08"/>
    <w:rsid w:val="001A3528"/>
    <w:rsid w:val="001A7761"/>
    <w:rsid w:val="001B34A6"/>
    <w:rsid w:val="001B704D"/>
    <w:rsid w:val="001D2918"/>
    <w:rsid w:val="001E3FE9"/>
    <w:rsid w:val="001E51CE"/>
    <w:rsid w:val="001F0EA2"/>
    <w:rsid w:val="001F3544"/>
    <w:rsid w:val="001F42E8"/>
    <w:rsid w:val="001F4804"/>
    <w:rsid w:val="001F48FB"/>
    <w:rsid w:val="001F4D56"/>
    <w:rsid w:val="001F6B14"/>
    <w:rsid w:val="0020137D"/>
    <w:rsid w:val="00206CF4"/>
    <w:rsid w:val="002112AB"/>
    <w:rsid w:val="002120C7"/>
    <w:rsid w:val="00213B39"/>
    <w:rsid w:val="0021445D"/>
    <w:rsid w:val="00217D05"/>
    <w:rsid w:val="00222C8C"/>
    <w:rsid w:val="002248F6"/>
    <w:rsid w:val="002253D6"/>
    <w:rsid w:val="00235CF6"/>
    <w:rsid w:val="00242213"/>
    <w:rsid w:val="00243871"/>
    <w:rsid w:val="00243EDB"/>
    <w:rsid w:val="002534F6"/>
    <w:rsid w:val="00260769"/>
    <w:rsid w:val="00261140"/>
    <w:rsid w:val="00261941"/>
    <w:rsid w:val="0026349D"/>
    <w:rsid w:val="0026466B"/>
    <w:rsid w:val="00267BE5"/>
    <w:rsid w:val="002731B3"/>
    <w:rsid w:val="00274431"/>
    <w:rsid w:val="00274A2E"/>
    <w:rsid w:val="00274EA2"/>
    <w:rsid w:val="002913D3"/>
    <w:rsid w:val="00291940"/>
    <w:rsid w:val="00291AE9"/>
    <w:rsid w:val="00294240"/>
    <w:rsid w:val="002A12DE"/>
    <w:rsid w:val="002A13EA"/>
    <w:rsid w:val="002A706E"/>
    <w:rsid w:val="002B005F"/>
    <w:rsid w:val="002B00EF"/>
    <w:rsid w:val="002B221C"/>
    <w:rsid w:val="002B276F"/>
    <w:rsid w:val="002B3131"/>
    <w:rsid w:val="002B6ACC"/>
    <w:rsid w:val="002B7601"/>
    <w:rsid w:val="002C09AE"/>
    <w:rsid w:val="002C20A0"/>
    <w:rsid w:val="002C2A74"/>
    <w:rsid w:val="002C60BC"/>
    <w:rsid w:val="002C6ECB"/>
    <w:rsid w:val="002D0F97"/>
    <w:rsid w:val="002D3A1F"/>
    <w:rsid w:val="002D5C4D"/>
    <w:rsid w:val="002D638E"/>
    <w:rsid w:val="002D70B9"/>
    <w:rsid w:val="002E0A82"/>
    <w:rsid w:val="002E19BC"/>
    <w:rsid w:val="002E1EF6"/>
    <w:rsid w:val="002E276C"/>
    <w:rsid w:val="002E5618"/>
    <w:rsid w:val="002E6909"/>
    <w:rsid w:val="002E7828"/>
    <w:rsid w:val="002F0FDE"/>
    <w:rsid w:val="002F1896"/>
    <w:rsid w:val="002F4828"/>
    <w:rsid w:val="002F5AF0"/>
    <w:rsid w:val="002F6DCA"/>
    <w:rsid w:val="003023B6"/>
    <w:rsid w:val="003023DA"/>
    <w:rsid w:val="00303D0F"/>
    <w:rsid w:val="00304FA7"/>
    <w:rsid w:val="003100FE"/>
    <w:rsid w:val="00315056"/>
    <w:rsid w:val="00321726"/>
    <w:rsid w:val="00321848"/>
    <w:rsid w:val="00321FC2"/>
    <w:rsid w:val="00323657"/>
    <w:rsid w:val="003249CD"/>
    <w:rsid w:val="003311B2"/>
    <w:rsid w:val="00346F2F"/>
    <w:rsid w:val="003514DA"/>
    <w:rsid w:val="00353FBC"/>
    <w:rsid w:val="00354040"/>
    <w:rsid w:val="00355813"/>
    <w:rsid w:val="00361E4C"/>
    <w:rsid w:val="00361F99"/>
    <w:rsid w:val="00363286"/>
    <w:rsid w:val="0036701A"/>
    <w:rsid w:val="00370FC5"/>
    <w:rsid w:val="0037453D"/>
    <w:rsid w:val="00375CCF"/>
    <w:rsid w:val="003779E1"/>
    <w:rsid w:val="00381509"/>
    <w:rsid w:val="00383DA1"/>
    <w:rsid w:val="00387A9C"/>
    <w:rsid w:val="00387C9C"/>
    <w:rsid w:val="00390CB6"/>
    <w:rsid w:val="003939C6"/>
    <w:rsid w:val="00394F51"/>
    <w:rsid w:val="00395A4D"/>
    <w:rsid w:val="003A2BD6"/>
    <w:rsid w:val="003A56C3"/>
    <w:rsid w:val="003A6840"/>
    <w:rsid w:val="003B0D9B"/>
    <w:rsid w:val="003B6197"/>
    <w:rsid w:val="003C3859"/>
    <w:rsid w:val="003C699B"/>
    <w:rsid w:val="003C6C3E"/>
    <w:rsid w:val="003D0438"/>
    <w:rsid w:val="003E16A8"/>
    <w:rsid w:val="003E3287"/>
    <w:rsid w:val="003F0FA9"/>
    <w:rsid w:val="003F2100"/>
    <w:rsid w:val="003F2D17"/>
    <w:rsid w:val="003F51DE"/>
    <w:rsid w:val="003F62B2"/>
    <w:rsid w:val="004003CD"/>
    <w:rsid w:val="00402A09"/>
    <w:rsid w:val="00403821"/>
    <w:rsid w:val="00403893"/>
    <w:rsid w:val="0040678C"/>
    <w:rsid w:val="00407638"/>
    <w:rsid w:val="00407755"/>
    <w:rsid w:val="0041113B"/>
    <w:rsid w:val="00412E52"/>
    <w:rsid w:val="00423A18"/>
    <w:rsid w:val="00423A26"/>
    <w:rsid w:val="0042426B"/>
    <w:rsid w:val="004278A6"/>
    <w:rsid w:val="00430098"/>
    <w:rsid w:val="004313D4"/>
    <w:rsid w:val="00432755"/>
    <w:rsid w:val="00436D23"/>
    <w:rsid w:val="00437EBC"/>
    <w:rsid w:val="00437EF1"/>
    <w:rsid w:val="00440DA0"/>
    <w:rsid w:val="0044245A"/>
    <w:rsid w:val="00444E42"/>
    <w:rsid w:val="004459CD"/>
    <w:rsid w:val="00447CA4"/>
    <w:rsid w:val="00450CA6"/>
    <w:rsid w:val="00452FD6"/>
    <w:rsid w:val="00453779"/>
    <w:rsid w:val="004615BF"/>
    <w:rsid w:val="00464E95"/>
    <w:rsid w:val="00474CCC"/>
    <w:rsid w:val="004761B5"/>
    <w:rsid w:val="004823AA"/>
    <w:rsid w:val="004851AF"/>
    <w:rsid w:val="00485DDB"/>
    <w:rsid w:val="0048738F"/>
    <w:rsid w:val="00487D87"/>
    <w:rsid w:val="00496FAC"/>
    <w:rsid w:val="004A0FBB"/>
    <w:rsid w:val="004A1624"/>
    <w:rsid w:val="004A6DF4"/>
    <w:rsid w:val="004A7147"/>
    <w:rsid w:val="004B005B"/>
    <w:rsid w:val="004B25AC"/>
    <w:rsid w:val="004B5B04"/>
    <w:rsid w:val="004C1110"/>
    <w:rsid w:val="004C2BD1"/>
    <w:rsid w:val="004C31EE"/>
    <w:rsid w:val="004C6BC3"/>
    <w:rsid w:val="004D05CF"/>
    <w:rsid w:val="004D5138"/>
    <w:rsid w:val="004D6144"/>
    <w:rsid w:val="004D6F49"/>
    <w:rsid w:val="004D763C"/>
    <w:rsid w:val="004E3AB5"/>
    <w:rsid w:val="004F1C5D"/>
    <w:rsid w:val="004F3DBD"/>
    <w:rsid w:val="005142B2"/>
    <w:rsid w:val="00515DB8"/>
    <w:rsid w:val="0051762A"/>
    <w:rsid w:val="00520D10"/>
    <w:rsid w:val="00522847"/>
    <w:rsid w:val="0052347F"/>
    <w:rsid w:val="00525F43"/>
    <w:rsid w:val="00532D51"/>
    <w:rsid w:val="005400B4"/>
    <w:rsid w:val="00543787"/>
    <w:rsid w:val="00546D53"/>
    <w:rsid w:val="00547334"/>
    <w:rsid w:val="005536BC"/>
    <w:rsid w:val="00553F8B"/>
    <w:rsid w:val="00554A9D"/>
    <w:rsid w:val="00555716"/>
    <w:rsid w:val="00555772"/>
    <w:rsid w:val="00555940"/>
    <w:rsid w:val="0055614F"/>
    <w:rsid w:val="005633BD"/>
    <w:rsid w:val="00564647"/>
    <w:rsid w:val="00570401"/>
    <w:rsid w:val="00570779"/>
    <w:rsid w:val="0057139E"/>
    <w:rsid w:val="005765B8"/>
    <w:rsid w:val="0057775C"/>
    <w:rsid w:val="00581FB3"/>
    <w:rsid w:val="00583067"/>
    <w:rsid w:val="005921E9"/>
    <w:rsid w:val="005924E9"/>
    <w:rsid w:val="00593A81"/>
    <w:rsid w:val="005A03FE"/>
    <w:rsid w:val="005A1376"/>
    <w:rsid w:val="005A186D"/>
    <w:rsid w:val="005A194E"/>
    <w:rsid w:val="005A4F5F"/>
    <w:rsid w:val="005A6623"/>
    <w:rsid w:val="005B46CE"/>
    <w:rsid w:val="005B6F9F"/>
    <w:rsid w:val="005C129E"/>
    <w:rsid w:val="005D02A9"/>
    <w:rsid w:val="005D266F"/>
    <w:rsid w:val="005D4B37"/>
    <w:rsid w:val="005D65A4"/>
    <w:rsid w:val="005D7312"/>
    <w:rsid w:val="005E05AE"/>
    <w:rsid w:val="005E3C54"/>
    <w:rsid w:val="005F036B"/>
    <w:rsid w:val="005F158D"/>
    <w:rsid w:val="005F3817"/>
    <w:rsid w:val="005F53F4"/>
    <w:rsid w:val="005F5CD2"/>
    <w:rsid w:val="005F5D62"/>
    <w:rsid w:val="005F74FD"/>
    <w:rsid w:val="005F7CB0"/>
    <w:rsid w:val="006032FE"/>
    <w:rsid w:val="00603A23"/>
    <w:rsid w:val="00605DCF"/>
    <w:rsid w:val="00611D60"/>
    <w:rsid w:val="006134AF"/>
    <w:rsid w:val="00616D21"/>
    <w:rsid w:val="00620DD6"/>
    <w:rsid w:val="00621D8A"/>
    <w:rsid w:val="00621E02"/>
    <w:rsid w:val="00622BCF"/>
    <w:rsid w:val="0062588A"/>
    <w:rsid w:val="00625B0B"/>
    <w:rsid w:val="0063611A"/>
    <w:rsid w:val="006369B4"/>
    <w:rsid w:val="00636EF6"/>
    <w:rsid w:val="00640F39"/>
    <w:rsid w:val="00642CC1"/>
    <w:rsid w:val="006506DA"/>
    <w:rsid w:val="00650E13"/>
    <w:rsid w:val="006518C9"/>
    <w:rsid w:val="006520CF"/>
    <w:rsid w:val="006549DB"/>
    <w:rsid w:val="006558CF"/>
    <w:rsid w:val="00656402"/>
    <w:rsid w:val="006572C1"/>
    <w:rsid w:val="0066237B"/>
    <w:rsid w:val="00662A50"/>
    <w:rsid w:val="00663A94"/>
    <w:rsid w:val="00672DA5"/>
    <w:rsid w:val="00683397"/>
    <w:rsid w:val="00686D40"/>
    <w:rsid w:val="0069252D"/>
    <w:rsid w:val="00693605"/>
    <w:rsid w:val="006938C9"/>
    <w:rsid w:val="006950A7"/>
    <w:rsid w:val="0069667A"/>
    <w:rsid w:val="006B30FE"/>
    <w:rsid w:val="006B3DDA"/>
    <w:rsid w:val="006B54E7"/>
    <w:rsid w:val="006B6EC9"/>
    <w:rsid w:val="006C39EF"/>
    <w:rsid w:val="006C7E31"/>
    <w:rsid w:val="006D1B33"/>
    <w:rsid w:val="006D3A5D"/>
    <w:rsid w:val="006D64C5"/>
    <w:rsid w:val="006E13F7"/>
    <w:rsid w:val="006E4EFF"/>
    <w:rsid w:val="006E6794"/>
    <w:rsid w:val="006F278C"/>
    <w:rsid w:val="006F40CC"/>
    <w:rsid w:val="006F7C82"/>
    <w:rsid w:val="00710131"/>
    <w:rsid w:val="00710A96"/>
    <w:rsid w:val="007121F9"/>
    <w:rsid w:val="00716524"/>
    <w:rsid w:val="00724734"/>
    <w:rsid w:val="00727BBE"/>
    <w:rsid w:val="00730736"/>
    <w:rsid w:val="007309F8"/>
    <w:rsid w:val="00731094"/>
    <w:rsid w:val="00732E09"/>
    <w:rsid w:val="007371BF"/>
    <w:rsid w:val="00737E07"/>
    <w:rsid w:val="00740535"/>
    <w:rsid w:val="00742110"/>
    <w:rsid w:val="007449F5"/>
    <w:rsid w:val="0074689A"/>
    <w:rsid w:val="00751FC1"/>
    <w:rsid w:val="00757284"/>
    <w:rsid w:val="00757CD5"/>
    <w:rsid w:val="00760054"/>
    <w:rsid w:val="007626A3"/>
    <w:rsid w:val="00765629"/>
    <w:rsid w:val="00766F3D"/>
    <w:rsid w:val="00770542"/>
    <w:rsid w:val="0077060A"/>
    <w:rsid w:val="00772F77"/>
    <w:rsid w:val="007761E7"/>
    <w:rsid w:val="007763D5"/>
    <w:rsid w:val="007769DE"/>
    <w:rsid w:val="00777055"/>
    <w:rsid w:val="0078028E"/>
    <w:rsid w:val="00782B72"/>
    <w:rsid w:val="00783140"/>
    <w:rsid w:val="00784D4C"/>
    <w:rsid w:val="00784E4D"/>
    <w:rsid w:val="00786C4C"/>
    <w:rsid w:val="007901D4"/>
    <w:rsid w:val="00793C45"/>
    <w:rsid w:val="00795097"/>
    <w:rsid w:val="007A1F1E"/>
    <w:rsid w:val="007A3E78"/>
    <w:rsid w:val="007A4B23"/>
    <w:rsid w:val="007A594B"/>
    <w:rsid w:val="007A7CDF"/>
    <w:rsid w:val="007B175D"/>
    <w:rsid w:val="007B1A5B"/>
    <w:rsid w:val="007B21CD"/>
    <w:rsid w:val="007B4312"/>
    <w:rsid w:val="007B5ED2"/>
    <w:rsid w:val="007B6B33"/>
    <w:rsid w:val="007B7D5F"/>
    <w:rsid w:val="007C781E"/>
    <w:rsid w:val="007D18B2"/>
    <w:rsid w:val="007D214F"/>
    <w:rsid w:val="007D6937"/>
    <w:rsid w:val="007E165C"/>
    <w:rsid w:val="007E5594"/>
    <w:rsid w:val="007E6527"/>
    <w:rsid w:val="007E7E9D"/>
    <w:rsid w:val="007F0B80"/>
    <w:rsid w:val="007F2C00"/>
    <w:rsid w:val="007F450F"/>
    <w:rsid w:val="007F4D85"/>
    <w:rsid w:val="007F643C"/>
    <w:rsid w:val="007F7545"/>
    <w:rsid w:val="007F7C45"/>
    <w:rsid w:val="00800AB4"/>
    <w:rsid w:val="00800CBB"/>
    <w:rsid w:val="008037F2"/>
    <w:rsid w:val="00803AE4"/>
    <w:rsid w:val="00804512"/>
    <w:rsid w:val="00804727"/>
    <w:rsid w:val="00814364"/>
    <w:rsid w:val="008172AB"/>
    <w:rsid w:val="00822E05"/>
    <w:rsid w:val="00823549"/>
    <w:rsid w:val="00823B18"/>
    <w:rsid w:val="00823C26"/>
    <w:rsid w:val="0083255E"/>
    <w:rsid w:val="00835A4B"/>
    <w:rsid w:val="00840321"/>
    <w:rsid w:val="00842616"/>
    <w:rsid w:val="00842ABF"/>
    <w:rsid w:val="00842D70"/>
    <w:rsid w:val="008474CC"/>
    <w:rsid w:val="00847B95"/>
    <w:rsid w:val="00852E99"/>
    <w:rsid w:val="00853F0D"/>
    <w:rsid w:val="0085502C"/>
    <w:rsid w:val="0085587A"/>
    <w:rsid w:val="00856B11"/>
    <w:rsid w:val="00860D23"/>
    <w:rsid w:val="008615D1"/>
    <w:rsid w:val="00863871"/>
    <w:rsid w:val="00863944"/>
    <w:rsid w:val="00863B52"/>
    <w:rsid w:val="00864EA1"/>
    <w:rsid w:val="00866CC9"/>
    <w:rsid w:val="00867DFF"/>
    <w:rsid w:val="00876846"/>
    <w:rsid w:val="00886592"/>
    <w:rsid w:val="00887F99"/>
    <w:rsid w:val="00893076"/>
    <w:rsid w:val="00895BC5"/>
    <w:rsid w:val="008A39D2"/>
    <w:rsid w:val="008B12FA"/>
    <w:rsid w:val="008B5A6B"/>
    <w:rsid w:val="008C067E"/>
    <w:rsid w:val="008C08B2"/>
    <w:rsid w:val="008C3A9A"/>
    <w:rsid w:val="008C48FF"/>
    <w:rsid w:val="008C5FC7"/>
    <w:rsid w:val="008C6273"/>
    <w:rsid w:val="008C72A1"/>
    <w:rsid w:val="008D288B"/>
    <w:rsid w:val="008D2A43"/>
    <w:rsid w:val="008D5A3A"/>
    <w:rsid w:val="008D7D6F"/>
    <w:rsid w:val="008E06AA"/>
    <w:rsid w:val="008E4047"/>
    <w:rsid w:val="008E73B9"/>
    <w:rsid w:val="008E7DD0"/>
    <w:rsid w:val="008F55F4"/>
    <w:rsid w:val="008F5A89"/>
    <w:rsid w:val="008F6FE0"/>
    <w:rsid w:val="008F7A0C"/>
    <w:rsid w:val="009029BD"/>
    <w:rsid w:val="00902E36"/>
    <w:rsid w:val="00904FDA"/>
    <w:rsid w:val="00906928"/>
    <w:rsid w:val="00912229"/>
    <w:rsid w:val="00912B8A"/>
    <w:rsid w:val="00913948"/>
    <w:rsid w:val="0092004F"/>
    <w:rsid w:val="009229F6"/>
    <w:rsid w:val="00924DFA"/>
    <w:rsid w:val="00924FF8"/>
    <w:rsid w:val="00925757"/>
    <w:rsid w:val="00925810"/>
    <w:rsid w:val="00926B8C"/>
    <w:rsid w:val="009276E8"/>
    <w:rsid w:val="00931B23"/>
    <w:rsid w:val="0093301E"/>
    <w:rsid w:val="00937578"/>
    <w:rsid w:val="00942795"/>
    <w:rsid w:val="009449EF"/>
    <w:rsid w:val="009464F8"/>
    <w:rsid w:val="00947E32"/>
    <w:rsid w:val="00950B5A"/>
    <w:rsid w:val="00950E71"/>
    <w:rsid w:val="00951638"/>
    <w:rsid w:val="0095385B"/>
    <w:rsid w:val="009556C4"/>
    <w:rsid w:val="009559D3"/>
    <w:rsid w:val="009566DE"/>
    <w:rsid w:val="00956745"/>
    <w:rsid w:val="00963BD4"/>
    <w:rsid w:val="00964F91"/>
    <w:rsid w:val="00970FC0"/>
    <w:rsid w:val="009713DF"/>
    <w:rsid w:val="009727E7"/>
    <w:rsid w:val="00972CF2"/>
    <w:rsid w:val="00973E6E"/>
    <w:rsid w:val="00975353"/>
    <w:rsid w:val="0097558D"/>
    <w:rsid w:val="009805EC"/>
    <w:rsid w:val="00983A21"/>
    <w:rsid w:val="00992A9C"/>
    <w:rsid w:val="00994C07"/>
    <w:rsid w:val="009A0EC2"/>
    <w:rsid w:val="009A45F7"/>
    <w:rsid w:val="009A6200"/>
    <w:rsid w:val="009B0A89"/>
    <w:rsid w:val="009B2363"/>
    <w:rsid w:val="009B4165"/>
    <w:rsid w:val="009B577F"/>
    <w:rsid w:val="009B6531"/>
    <w:rsid w:val="009C303B"/>
    <w:rsid w:val="009D0780"/>
    <w:rsid w:val="009D290B"/>
    <w:rsid w:val="009D5BC8"/>
    <w:rsid w:val="009D7E44"/>
    <w:rsid w:val="009E00AC"/>
    <w:rsid w:val="009E3552"/>
    <w:rsid w:val="009E5623"/>
    <w:rsid w:val="009F3848"/>
    <w:rsid w:val="009F41C6"/>
    <w:rsid w:val="009F43B3"/>
    <w:rsid w:val="009F7B77"/>
    <w:rsid w:val="00A007D9"/>
    <w:rsid w:val="00A00DEA"/>
    <w:rsid w:val="00A01EE5"/>
    <w:rsid w:val="00A02515"/>
    <w:rsid w:val="00A037DA"/>
    <w:rsid w:val="00A051FB"/>
    <w:rsid w:val="00A13C11"/>
    <w:rsid w:val="00A20465"/>
    <w:rsid w:val="00A22926"/>
    <w:rsid w:val="00A22FA8"/>
    <w:rsid w:val="00A23A4C"/>
    <w:rsid w:val="00A27BF6"/>
    <w:rsid w:val="00A27EBC"/>
    <w:rsid w:val="00A31FA6"/>
    <w:rsid w:val="00A3236A"/>
    <w:rsid w:val="00A4317F"/>
    <w:rsid w:val="00A444C6"/>
    <w:rsid w:val="00A45D8F"/>
    <w:rsid w:val="00A47695"/>
    <w:rsid w:val="00A50248"/>
    <w:rsid w:val="00A50EAF"/>
    <w:rsid w:val="00A53AB0"/>
    <w:rsid w:val="00A55313"/>
    <w:rsid w:val="00A5743F"/>
    <w:rsid w:val="00A63CF4"/>
    <w:rsid w:val="00A65DEF"/>
    <w:rsid w:val="00A66F91"/>
    <w:rsid w:val="00A71237"/>
    <w:rsid w:val="00A72297"/>
    <w:rsid w:val="00A73FD6"/>
    <w:rsid w:val="00A74452"/>
    <w:rsid w:val="00A75217"/>
    <w:rsid w:val="00A75F17"/>
    <w:rsid w:val="00A7627E"/>
    <w:rsid w:val="00A77528"/>
    <w:rsid w:val="00A80B04"/>
    <w:rsid w:val="00A84057"/>
    <w:rsid w:val="00A86A7B"/>
    <w:rsid w:val="00A8703B"/>
    <w:rsid w:val="00A94F85"/>
    <w:rsid w:val="00A96EE0"/>
    <w:rsid w:val="00A97A9E"/>
    <w:rsid w:val="00A97D3D"/>
    <w:rsid w:val="00AA09AD"/>
    <w:rsid w:val="00AB2AAC"/>
    <w:rsid w:val="00AB316B"/>
    <w:rsid w:val="00AB5C17"/>
    <w:rsid w:val="00AC232E"/>
    <w:rsid w:val="00AC721B"/>
    <w:rsid w:val="00AD0FB6"/>
    <w:rsid w:val="00AD1ADC"/>
    <w:rsid w:val="00AD412F"/>
    <w:rsid w:val="00AD420D"/>
    <w:rsid w:val="00AD484A"/>
    <w:rsid w:val="00AD4F4D"/>
    <w:rsid w:val="00AE0485"/>
    <w:rsid w:val="00AE5979"/>
    <w:rsid w:val="00AE77D9"/>
    <w:rsid w:val="00AF0C75"/>
    <w:rsid w:val="00AF48A0"/>
    <w:rsid w:val="00AF686C"/>
    <w:rsid w:val="00AF7A4C"/>
    <w:rsid w:val="00B009A1"/>
    <w:rsid w:val="00B0516B"/>
    <w:rsid w:val="00B06568"/>
    <w:rsid w:val="00B07148"/>
    <w:rsid w:val="00B0745C"/>
    <w:rsid w:val="00B10052"/>
    <w:rsid w:val="00B16CBA"/>
    <w:rsid w:val="00B20DD1"/>
    <w:rsid w:val="00B21736"/>
    <w:rsid w:val="00B22508"/>
    <w:rsid w:val="00B2618A"/>
    <w:rsid w:val="00B26599"/>
    <w:rsid w:val="00B34137"/>
    <w:rsid w:val="00B35C1B"/>
    <w:rsid w:val="00B36ABC"/>
    <w:rsid w:val="00B378CC"/>
    <w:rsid w:val="00B40770"/>
    <w:rsid w:val="00B441B5"/>
    <w:rsid w:val="00B46AE0"/>
    <w:rsid w:val="00B46CBC"/>
    <w:rsid w:val="00B47114"/>
    <w:rsid w:val="00B50375"/>
    <w:rsid w:val="00B52693"/>
    <w:rsid w:val="00B55FB7"/>
    <w:rsid w:val="00B56C53"/>
    <w:rsid w:val="00B57076"/>
    <w:rsid w:val="00B6467A"/>
    <w:rsid w:val="00B64B4E"/>
    <w:rsid w:val="00B65003"/>
    <w:rsid w:val="00B65415"/>
    <w:rsid w:val="00B67DA3"/>
    <w:rsid w:val="00B70604"/>
    <w:rsid w:val="00B73B2A"/>
    <w:rsid w:val="00B7499F"/>
    <w:rsid w:val="00B76DC6"/>
    <w:rsid w:val="00B8104F"/>
    <w:rsid w:val="00B87B7E"/>
    <w:rsid w:val="00B90D06"/>
    <w:rsid w:val="00B9291A"/>
    <w:rsid w:val="00B9553C"/>
    <w:rsid w:val="00B9562A"/>
    <w:rsid w:val="00BA0ED2"/>
    <w:rsid w:val="00BA146A"/>
    <w:rsid w:val="00BA3A9A"/>
    <w:rsid w:val="00BA548A"/>
    <w:rsid w:val="00BA6971"/>
    <w:rsid w:val="00BA7BE9"/>
    <w:rsid w:val="00BB1233"/>
    <w:rsid w:val="00BB2A82"/>
    <w:rsid w:val="00BB3C73"/>
    <w:rsid w:val="00BC04B9"/>
    <w:rsid w:val="00BC5F8B"/>
    <w:rsid w:val="00BC6A73"/>
    <w:rsid w:val="00BD011F"/>
    <w:rsid w:val="00BD1C1B"/>
    <w:rsid w:val="00BD2053"/>
    <w:rsid w:val="00BE15DF"/>
    <w:rsid w:val="00BE3E3B"/>
    <w:rsid w:val="00BE6844"/>
    <w:rsid w:val="00BF3C67"/>
    <w:rsid w:val="00C02C8D"/>
    <w:rsid w:val="00C041CF"/>
    <w:rsid w:val="00C1111C"/>
    <w:rsid w:val="00C15E98"/>
    <w:rsid w:val="00C16C71"/>
    <w:rsid w:val="00C22346"/>
    <w:rsid w:val="00C246BA"/>
    <w:rsid w:val="00C30347"/>
    <w:rsid w:val="00C305D7"/>
    <w:rsid w:val="00C312BC"/>
    <w:rsid w:val="00C31A11"/>
    <w:rsid w:val="00C3474A"/>
    <w:rsid w:val="00C367CD"/>
    <w:rsid w:val="00C40E4F"/>
    <w:rsid w:val="00C44188"/>
    <w:rsid w:val="00C44E10"/>
    <w:rsid w:val="00C4564D"/>
    <w:rsid w:val="00C54CC4"/>
    <w:rsid w:val="00C55BB8"/>
    <w:rsid w:val="00C577F3"/>
    <w:rsid w:val="00C612C7"/>
    <w:rsid w:val="00C62802"/>
    <w:rsid w:val="00C62F73"/>
    <w:rsid w:val="00C6382A"/>
    <w:rsid w:val="00C63A4A"/>
    <w:rsid w:val="00C65C98"/>
    <w:rsid w:val="00C66D55"/>
    <w:rsid w:val="00C672C9"/>
    <w:rsid w:val="00C672CE"/>
    <w:rsid w:val="00C700B0"/>
    <w:rsid w:val="00C7602C"/>
    <w:rsid w:val="00C76AA8"/>
    <w:rsid w:val="00C77B82"/>
    <w:rsid w:val="00C80531"/>
    <w:rsid w:val="00C80D32"/>
    <w:rsid w:val="00C83B4F"/>
    <w:rsid w:val="00C83C34"/>
    <w:rsid w:val="00C83D5B"/>
    <w:rsid w:val="00C85FBA"/>
    <w:rsid w:val="00C92113"/>
    <w:rsid w:val="00C97C9B"/>
    <w:rsid w:val="00CA1DBE"/>
    <w:rsid w:val="00CA347E"/>
    <w:rsid w:val="00CB0AC8"/>
    <w:rsid w:val="00CB693B"/>
    <w:rsid w:val="00CB6EFE"/>
    <w:rsid w:val="00CB7262"/>
    <w:rsid w:val="00CB7BB4"/>
    <w:rsid w:val="00CC33E5"/>
    <w:rsid w:val="00CC3638"/>
    <w:rsid w:val="00CC5397"/>
    <w:rsid w:val="00CC5BEF"/>
    <w:rsid w:val="00CC7BEC"/>
    <w:rsid w:val="00CD1195"/>
    <w:rsid w:val="00CD2D12"/>
    <w:rsid w:val="00CD37F4"/>
    <w:rsid w:val="00CD5BD2"/>
    <w:rsid w:val="00CE1E63"/>
    <w:rsid w:val="00CE757D"/>
    <w:rsid w:val="00CE7757"/>
    <w:rsid w:val="00CE7E69"/>
    <w:rsid w:val="00CF34E2"/>
    <w:rsid w:val="00CF441B"/>
    <w:rsid w:val="00CF4614"/>
    <w:rsid w:val="00CF5AFA"/>
    <w:rsid w:val="00CF6235"/>
    <w:rsid w:val="00CF642D"/>
    <w:rsid w:val="00CF6DF5"/>
    <w:rsid w:val="00CF6EF2"/>
    <w:rsid w:val="00CF763C"/>
    <w:rsid w:val="00D0698C"/>
    <w:rsid w:val="00D07A93"/>
    <w:rsid w:val="00D13DEE"/>
    <w:rsid w:val="00D15DF0"/>
    <w:rsid w:val="00D23077"/>
    <w:rsid w:val="00D26400"/>
    <w:rsid w:val="00D33087"/>
    <w:rsid w:val="00D33434"/>
    <w:rsid w:val="00D338B1"/>
    <w:rsid w:val="00D36C59"/>
    <w:rsid w:val="00D43CBF"/>
    <w:rsid w:val="00D46EF1"/>
    <w:rsid w:val="00D47BB8"/>
    <w:rsid w:val="00D47E1D"/>
    <w:rsid w:val="00D508CC"/>
    <w:rsid w:val="00D53848"/>
    <w:rsid w:val="00D53BA2"/>
    <w:rsid w:val="00D5503A"/>
    <w:rsid w:val="00D610F2"/>
    <w:rsid w:val="00D6467B"/>
    <w:rsid w:val="00D64945"/>
    <w:rsid w:val="00D678D6"/>
    <w:rsid w:val="00D67C2C"/>
    <w:rsid w:val="00D70BAA"/>
    <w:rsid w:val="00D74BDD"/>
    <w:rsid w:val="00D75C8D"/>
    <w:rsid w:val="00D83052"/>
    <w:rsid w:val="00D8344E"/>
    <w:rsid w:val="00D85C1C"/>
    <w:rsid w:val="00D85D4F"/>
    <w:rsid w:val="00D90275"/>
    <w:rsid w:val="00D92248"/>
    <w:rsid w:val="00D92671"/>
    <w:rsid w:val="00D94A5A"/>
    <w:rsid w:val="00D97F69"/>
    <w:rsid w:val="00DA063D"/>
    <w:rsid w:val="00DA4317"/>
    <w:rsid w:val="00DA54DA"/>
    <w:rsid w:val="00DA61B2"/>
    <w:rsid w:val="00DA780E"/>
    <w:rsid w:val="00DB204D"/>
    <w:rsid w:val="00DB5585"/>
    <w:rsid w:val="00DB5E31"/>
    <w:rsid w:val="00DB6035"/>
    <w:rsid w:val="00DB60D3"/>
    <w:rsid w:val="00DC4339"/>
    <w:rsid w:val="00DC43F3"/>
    <w:rsid w:val="00DD2AF3"/>
    <w:rsid w:val="00DD3F64"/>
    <w:rsid w:val="00DD4C0F"/>
    <w:rsid w:val="00DD592F"/>
    <w:rsid w:val="00DE3510"/>
    <w:rsid w:val="00DE3F53"/>
    <w:rsid w:val="00DF127F"/>
    <w:rsid w:val="00DF1A74"/>
    <w:rsid w:val="00DF1F52"/>
    <w:rsid w:val="00DF5BA8"/>
    <w:rsid w:val="00DF70E3"/>
    <w:rsid w:val="00E039E8"/>
    <w:rsid w:val="00E11DFD"/>
    <w:rsid w:val="00E13A2F"/>
    <w:rsid w:val="00E20A09"/>
    <w:rsid w:val="00E2381E"/>
    <w:rsid w:val="00E23DCA"/>
    <w:rsid w:val="00E2509C"/>
    <w:rsid w:val="00E27BDA"/>
    <w:rsid w:val="00E30C54"/>
    <w:rsid w:val="00E3181B"/>
    <w:rsid w:val="00E360D2"/>
    <w:rsid w:val="00E42157"/>
    <w:rsid w:val="00E431F4"/>
    <w:rsid w:val="00E45537"/>
    <w:rsid w:val="00E469AE"/>
    <w:rsid w:val="00E470D0"/>
    <w:rsid w:val="00E51305"/>
    <w:rsid w:val="00E51D9C"/>
    <w:rsid w:val="00E530E1"/>
    <w:rsid w:val="00E56DBD"/>
    <w:rsid w:val="00E5779A"/>
    <w:rsid w:val="00E57E7E"/>
    <w:rsid w:val="00E61C29"/>
    <w:rsid w:val="00E63219"/>
    <w:rsid w:val="00E65DD6"/>
    <w:rsid w:val="00E718BB"/>
    <w:rsid w:val="00E73A59"/>
    <w:rsid w:val="00E74ECC"/>
    <w:rsid w:val="00E75770"/>
    <w:rsid w:val="00E8352E"/>
    <w:rsid w:val="00E9009B"/>
    <w:rsid w:val="00E93369"/>
    <w:rsid w:val="00E95E32"/>
    <w:rsid w:val="00EA1BBF"/>
    <w:rsid w:val="00EA3D23"/>
    <w:rsid w:val="00EA72F0"/>
    <w:rsid w:val="00EB204A"/>
    <w:rsid w:val="00EB2142"/>
    <w:rsid w:val="00EB638B"/>
    <w:rsid w:val="00EB6FDE"/>
    <w:rsid w:val="00EC0484"/>
    <w:rsid w:val="00EC0C4B"/>
    <w:rsid w:val="00EC5B59"/>
    <w:rsid w:val="00EC727A"/>
    <w:rsid w:val="00ED0DA5"/>
    <w:rsid w:val="00ED3B3F"/>
    <w:rsid w:val="00ED67DC"/>
    <w:rsid w:val="00ED7798"/>
    <w:rsid w:val="00ED7E4D"/>
    <w:rsid w:val="00ED7F46"/>
    <w:rsid w:val="00EE2154"/>
    <w:rsid w:val="00EE51F0"/>
    <w:rsid w:val="00EE549A"/>
    <w:rsid w:val="00EF0D01"/>
    <w:rsid w:val="00EF5066"/>
    <w:rsid w:val="00EF5707"/>
    <w:rsid w:val="00F01A56"/>
    <w:rsid w:val="00F0291C"/>
    <w:rsid w:val="00F03937"/>
    <w:rsid w:val="00F1389D"/>
    <w:rsid w:val="00F13C0E"/>
    <w:rsid w:val="00F17244"/>
    <w:rsid w:val="00F209BB"/>
    <w:rsid w:val="00F25CDB"/>
    <w:rsid w:val="00F27D1C"/>
    <w:rsid w:val="00F301A6"/>
    <w:rsid w:val="00F30548"/>
    <w:rsid w:val="00F3200E"/>
    <w:rsid w:val="00F34298"/>
    <w:rsid w:val="00F372D6"/>
    <w:rsid w:val="00F4566A"/>
    <w:rsid w:val="00F50F97"/>
    <w:rsid w:val="00F52816"/>
    <w:rsid w:val="00F54704"/>
    <w:rsid w:val="00F61358"/>
    <w:rsid w:val="00F7145F"/>
    <w:rsid w:val="00F71967"/>
    <w:rsid w:val="00F725F6"/>
    <w:rsid w:val="00F747A5"/>
    <w:rsid w:val="00F75119"/>
    <w:rsid w:val="00F81075"/>
    <w:rsid w:val="00F82E3C"/>
    <w:rsid w:val="00F83B0A"/>
    <w:rsid w:val="00F84AE9"/>
    <w:rsid w:val="00F91D86"/>
    <w:rsid w:val="00F947CF"/>
    <w:rsid w:val="00F95FBF"/>
    <w:rsid w:val="00F96463"/>
    <w:rsid w:val="00FA21C4"/>
    <w:rsid w:val="00FB1ED5"/>
    <w:rsid w:val="00FB2862"/>
    <w:rsid w:val="00FB5E33"/>
    <w:rsid w:val="00FB7E78"/>
    <w:rsid w:val="00FC019D"/>
    <w:rsid w:val="00FD12BC"/>
    <w:rsid w:val="00FD71B2"/>
    <w:rsid w:val="00FE54FD"/>
    <w:rsid w:val="00FE5964"/>
    <w:rsid w:val="00FE6E42"/>
    <w:rsid w:val="00FE7D08"/>
    <w:rsid w:val="00FF04D5"/>
    <w:rsid w:val="00FF0BE8"/>
    <w:rsid w:val="00FF12E9"/>
    <w:rsid w:val="00FF19E1"/>
    <w:rsid w:val="00FF2CB9"/>
    <w:rsid w:val="00FF5209"/>
    <w:rsid w:val="00FF6D51"/>
    <w:rsid w:val="01423F24"/>
    <w:rsid w:val="02DE29E8"/>
    <w:rsid w:val="032A2EC2"/>
    <w:rsid w:val="040751D5"/>
    <w:rsid w:val="04157B2F"/>
    <w:rsid w:val="04EB6EF5"/>
    <w:rsid w:val="05065269"/>
    <w:rsid w:val="065207A1"/>
    <w:rsid w:val="06797919"/>
    <w:rsid w:val="0691100D"/>
    <w:rsid w:val="06B31B44"/>
    <w:rsid w:val="074243B0"/>
    <w:rsid w:val="076072C9"/>
    <w:rsid w:val="07727AEC"/>
    <w:rsid w:val="078E0AF3"/>
    <w:rsid w:val="08296773"/>
    <w:rsid w:val="08623531"/>
    <w:rsid w:val="08803584"/>
    <w:rsid w:val="0A32761B"/>
    <w:rsid w:val="0A7E6359"/>
    <w:rsid w:val="0AC15E1A"/>
    <w:rsid w:val="0BDF2B93"/>
    <w:rsid w:val="0C4E097D"/>
    <w:rsid w:val="0C834B7A"/>
    <w:rsid w:val="0CDB15BC"/>
    <w:rsid w:val="0D467E49"/>
    <w:rsid w:val="0E3A41D5"/>
    <w:rsid w:val="0E4A1275"/>
    <w:rsid w:val="0E6C4BE3"/>
    <w:rsid w:val="0F0071CD"/>
    <w:rsid w:val="0F0D5446"/>
    <w:rsid w:val="0F1B5DB5"/>
    <w:rsid w:val="0F6B527E"/>
    <w:rsid w:val="0FAC496E"/>
    <w:rsid w:val="106002EB"/>
    <w:rsid w:val="1143019C"/>
    <w:rsid w:val="117E4C78"/>
    <w:rsid w:val="118A0FD0"/>
    <w:rsid w:val="11E65A2D"/>
    <w:rsid w:val="121328DF"/>
    <w:rsid w:val="12180ED0"/>
    <w:rsid w:val="136F029D"/>
    <w:rsid w:val="139D62CF"/>
    <w:rsid w:val="141352AC"/>
    <w:rsid w:val="14411E19"/>
    <w:rsid w:val="14C33176"/>
    <w:rsid w:val="15502B4A"/>
    <w:rsid w:val="15AB710C"/>
    <w:rsid w:val="17664CEC"/>
    <w:rsid w:val="18296C01"/>
    <w:rsid w:val="18A96F10"/>
    <w:rsid w:val="1925271C"/>
    <w:rsid w:val="19842B0A"/>
    <w:rsid w:val="199C4212"/>
    <w:rsid w:val="1A524B32"/>
    <w:rsid w:val="1ABE1584"/>
    <w:rsid w:val="1B692E30"/>
    <w:rsid w:val="1BA5551F"/>
    <w:rsid w:val="1BAF48D6"/>
    <w:rsid w:val="1BEB07B1"/>
    <w:rsid w:val="1C9E4BB5"/>
    <w:rsid w:val="1CB12E09"/>
    <w:rsid w:val="1E1260A9"/>
    <w:rsid w:val="1FBFD33C"/>
    <w:rsid w:val="1FF42436"/>
    <w:rsid w:val="211C66EB"/>
    <w:rsid w:val="214221B1"/>
    <w:rsid w:val="21C76B63"/>
    <w:rsid w:val="21E464DA"/>
    <w:rsid w:val="220646A2"/>
    <w:rsid w:val="224A077C"/>
    <w:rsid w:val="23B34EC1"/>
    <w:rsid w:val="23DE69B2"/>
    <w:rsid w:val="242D23BA"/>
    <w:rsid w:val="247E0C38"/>
    <w:rsid w:val="24CC0649"/>
    <w:rsid w:val="261A33AD"/>
    <w:rsid w:val="274E4B21"/>
    <w:rsid w:val="27A40966"/>
    <w:rsid w:val="27BC4370"/>
    <w:rsid w:val="2816330E"/>
    <w:rsid w:val="28187A54"/>
    <w:rsid w:val="29E34703"/>
    <w:rsid w:val="2A3F4BF5"/>
    <w:rsid w:val="2A7B736D"/>
    <w:rsid w:val="2AD9419C"/>
    <w:rsid w:val="2B6572BE"/>
    <w:rsid w:val="2BEB7764"/>
    <w:rsid w:val="2DA2135E"/>
    <w:rsid w:val="2F141116"/>
    <w:rsid w:val="2F15214C"/>
    <w:rsid w:val="2FC56001"/>
    <w:rsid w:val="30000983"/>
    <w:rsid w:val="304B76CC"/>
    <w:rsid w:val="30937A49"/>
    <w:rsid w:val="30990CDE"/>
    <w:rsid w:val="30F57DBC"/>
    <w:rsid w:val="31C1740E"/>
    <w:rsid w:val="324C4353"/>
    <w:rsid w:val="32CB34CA"/>
    <w:rsid w:val="32D46AEA"/>
    <w:rsid w:val="330A1D37"/>
    <w:rsid w:val="33D8534E"/>
    <w:rsid w:val="33DC77DE"/>
    <w:rsid w:val="344F15FC"/>
    <w:rsid w:val="35352DFF"/>
    <w:rsid w:val="354A061B"/>
    <w:rsid w:val="35632437"/>
    <w:rsid w:val="362B6FD8"/>
    <w:rsid w:val="365503E4"/>
    <w:rsid w:val="36C50230"/>
    <w:rsid w:val="36E20DE2"/>
    <w:rsid w:val="37661EDA"/>
    <w:rsid w:val="379E594D"/>
    <w:rsid w:val="37FE1C4C"/>
    <w:rsid w:val="38664C72"/>
    <w:rsid w:val="38B31176"/>
    <w:rsid w:val="39364732"/>
    <w:rsid w:val="39A93E39"/>
    <w:rsid w:val="3A3F78CE"/>
    <w:rsid w:val="3AB872D8"/>
    <w:rsid w:val="3AE25855"/>
    <w:rsid w:val="3BB07762"/>
    <w:rsid w:val="3C0149A1"/>
    <w:rsid w:val="3C22631F"/>
    <w:rsid w:val="3CDA4CE5"/>
    <w:rsid w:val="3CE609AA"/>
    <w:rsid w:val="3D35459E"/>
    <w:rsid w:val="3D820C29"/>
    <w:rsid w:val="3E4D12A7"/>
    <w:rsid w:val="3EC03351"/>
    <w:rsid w:val="3EF45B57"/>
    <w:rsid w:val="3F156852"/>
    <w:rsid w:val="3F94145B"/>
    <w:rsid w:val="3FD61332"/>
    <w:rsid w:val="3FFD7AA6"/>
    <w:rsid w:val="40501FD8"/>
    <w:rsid w:val="41542160"/>
    <w:rsid w:val="42206C63"/>
    <w:rsid w:val="426B7702"/>
    <w:rsid w:val="42BD4C3E"/>
    <w:rsid w:val="42EA1F7E"/>
    <w:rsid w:val="42F552C9"/>
    <w:rsid w:val="43254DBA"/>
    <w:rsid w:val="44507CD3"/>
    <w:rsid w:val="45044F83"/>
    <w:rsid w:val="45BB4AE0"/>
    <w:rsid w:val="45F664C6"/>
    <w:rsid w:val="475A6773"/>
    <w:rsid w:val="47C54534"/>
    <w:rsid w:val="489539B1"/>
    <w:rsid w:val="49930FAC"/>
    <w:rsid w:val="4B2E23F0"/>
    <w:rsid w:val="4BB943B0"/>
    <w:rsid w:val="4C122214"/>
    <w:rsid w:val="4CDE4FD3"/>
    <w:rsid w:val="4D762CF9"/>
    <w:rsid w:val="4DAB0D9E"/>
    <w:rsid w:val="4DF86C08"/>
    <w:rsid w:val="4DF97EB0"/>
    <w:rsid w:val="4E3903EE"/>
    <w:rsid w:val="4EB4661F"/>
    <w:rsid w:val="4F3E8784"/>
    <w:rsid w:val="50153B7F"/>
    <w:rsid w:val="50874A7C"/>
    <w:rsid w:val="51367811"/>
    <w:rsid w:val="51786173"/>
    <w:rsid w:val="52CE1ACF"/>
    <w:rsid w:val="52F41E2A"/>
    <w:rsid w:val="531A7922"/>
    <w:rsid w:val="53591FD4"/>
    <w:rsid w:val="538B5E00"/>
    <w:rsid w:val="53DC50DF"/>
    <w:rsid w:val="54CF3934"/>
    <w:rsid w:val="55FB3593"/>
    <w:rsid w:val="56AC22C3"/>
    <w:rsid w:val="56FC0B72"/>
    <w:rsid w:val="573A5BE4"/>
    <w:rsid w:val="579E25E8"/>
    <w:rsid w:val="58331046"/>
    <w:rsid w:val="58421289"/>
    <w:rsid w:val="586B0F9F"/>
    <w:rsid w:val="58BA7656"/>
    <w:rsid w:val="5A4F2BB3"/>
    <w:rsid w:val="5ABD033C"/>
    <w:rsid w:val="5AEE394A"/>
    <w:rsid w:val="5B6C5663"/>
    <w:rsid w:val="5B87770C"/>
    <w:rsid w:val="5C49201D"/>
    <w:rsid w:val="5D0F5577"/>
    <w:rsid w:val="5D186424"/>
    <w:rsid w:val="5D882184"/>
    <w:rsid w:val="5DF272AD"/>
    <w:rsid w:val="5E372BB4"/>
    <w:rsid w:val="5E9E3C2D"/>
    <w:rsid w:val="5F1D5DDC"/>
    <w:rsid w:val="5FC058B5"/>
    <w:rsid w:val="6020045A"/>
    <w:rsid w:val="607958DA"/>
    <w:rsid w:val="60C43E0B"/>
    <w:rsid w:val="61462FEE"/>
    <w:rsid w:val="624A590A"/>
    <w:rsid w:val="6287090C"/>
    <w:rsid w:val="6332454D"/>
    <w:rsid w:val="634F22A9"/>
    <w:rsid w:val="63BB7703"/>
    <w:rsid w:val="64E77E8C"/>
    <w:rsid w:val="64EE1AB7"/>
    <w:rsid w:val="64F953C5"/>
    <w:rsid w:val="65CEE9EB"/>
    <w:rsid w:val="65EC40BC"/>
    <w:rsid w:val="65FD7B1B"/>
    <w:rsid w:val="660C3238"/>
    <w:rsid w:val="663B6ADC"/>
    <w:rsid w:val="667E59C4"/>
    <w:rsid w:val="6683388F"/>
    <w:rsid w:val="67941547"/>
    <w:rsid w:val="67DA7730"/>
    <w:rsid w:val="69117181"/>
    <w:rsid w:val="692700E1"/>
    <w:rsid w:val="69433957"/>
    <w:rsid w:val="6A8D0A8A"/>
    <w:rsid w:val="6AD70C43"/>
    <w:rsid w:val="6B016D82"/>
    <w:rsid w:val="6B671C82"/>
    <w:rsid w:val="6B8960C0"/>
    <w:rsid w:val="6C547ACA"/>
    <w:rsid w:val="6F944668"/>
    <w:rsid w:val="6FFC1C69"/>
    <w:rsid w:val="70473218"/>
    <w:rsid w:val="70FA674D"/>
    <w:rsid w:val="712455AF"/>
    <w:rsid w:val="719018DC"/>
    <w:rsid w:val="71C1726B"/>
    <w:rsid w:val="71CB1768"/>
    <w:rsid w:val="720D1255"/>
    <w:rsid w:val="729F75AC"/>
    <w:rsid w:val="7343153B"/>
    <w:rsid w:val="73E3796C"/>
    <w:rsid w:val="744C5512"/>
    <w:rsid w:val="748925BD"/>
    <w:rsid w:val="74EE0567"/>
    <w:rsid w:val="74F6722B"/>
    <w:rsid w:val="750B3C47"/>
    <w:rsid w:val="76271035"/>
    <w:rsid w:val="76A82B09"/>
    <w:rsid w:val="78671C84"/>
    <w:rsid w:val="7A266580"/>
    <w:rsid w:val="7A3B6E79"/>
    <w:rsid w:val="7A671274"/>
    <w:rsid w:val="7AB5336F"/>
    <w:rsid w:val="7B7E03C7"/>
    <w:rsid w:val="7CDA0BC2"/>
    <w:rsid w:val="7E6D54A1"/>
    <w:rsid w:val="7F5BC8F9"/>
    <w:rsid w:val="7FD57D24"/>
    <w:rsid w:val="7FFF00AD"/>
    <w:rsid w:val="7FFF168A"/>
    <w:rsid w:val="7FFFEE66"/>
    <w:rsid w:val="D36FA5F6"/>
    <w:rsid w:val="EFCE6274"/>
    <w:rsid w:val="FEFD98E3"/>
    <w:rsid w:val="FFE302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4"/>
    <w:qFormat/>
    <w:uiPriority w:val="0"/>
    <w:pPr>
      <w:keepNext/>
      <w:keepLines/>
      <w:spacing w:before="260" w:after="260" w:line="416" w:lineRule="auto"/>
      <w:outlineLvl w:val="1"/>
    </w:pPr>
    <w:rPr>
      <w:rFonts w:ascii="Cambria" w:hAnsi="Cambria" w:eastAsia="等线"/>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Normal Indent"/>
    <w:basedOn w:val="1"/>
    <w:link w:val="25"/>
    <w:unhideWhenUsed/>
    <w:qFormat/>
    <w:uiPriority w:val="99"/>
    <w:pPr>
      <w:ind w:firstLine="420" w:firstLineChars="200"/>
    </w:pPr>
  </w:style>
  <w:style w:type="paragraph" w:styleId="4">
    <w:name w:val="annotation text"/>
    <w:basedOn w:val="1"/>
    <w:link w:val="26"/>
    <w:unhideWhenUsed/>
    <w:qFormat/>
    <w:uiPriority w:val="99"/>
    <w:pPr>
      <w:jc w:val="left"/>
    </w:pPr>
  </w:style>
  <w:style w:type="paragraph" w:styleId="5">
    <w:name w:val="Body Text Indent"/>
    <w:basedOn w:val="1"/>
    <w:link w:val="27"/>
    <w:unhideWhenUsed/>
    <w:qFormat/>
    <w:uiPriority w:val="99"/>
    <w:pPr>
      <w:spacing w:after="120"/>
      <w:ind w:left="420" w:leftChars="200"/>
    </w:pPr>
  </w:style>
  <w:style w:type="paragraph" w:styleId="6">
    <w:name w:val="Plain Text"/>
    <w:basedOn w:val="1"/>
    <w:next w:val="1"/>
    <w:link w:val="28"/>
    <w:qFormat/>
    <w:uiPriority w:val="0"/>
    <w:rPr>
      <w:rFonts w:ascii="宋体" w:hAnsi="Courier New"/>
      <w:kern w:val="0"/>
      <w:sz w:val="20"/>
      <w:szCs w:val="20"/>
    </w:rPr>
  </w:style>
  <w:style w:type="paragraph" w:styleId="7">
    <w:name w:val="Balloon Text"/>
    <w:basedOn w:val="1"/>
    <w:link w:val="29"/>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kern w:val="0"/>
      <w:sz w:val="18"/>
      <w:szCs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2"/>
    <w:unhideWhenUsed/>
    <w:qFormat/>
    <w:uiPriority w:val="99"/>
    <w:rPr>
      <w:rFonts w:ascii="宋体"/>
      <w:sz w:val="24"/>
      <w:szCs w:val="24"/>
      <w:u w:val="single"/>
    </w:rPr>
  </w:style>
  <w:style w:type="paragraph" w:styleId="11">
    <w:name w:val="HTML Preformatted"/>
    <w:basedOn w:val="1"/>
    <w:link w:val="3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annotation subject"/>
    <w:basedOn w:val="4"/>
    <w:next w:val="4"/>
    <w:link w:val="34"/>
    <w:unhideWhenUsed/>
    <w:qFormat/>
    <w:uiPriority w:val="99"/>
    <w:rPr>
      <w:b/>
      <w:bCs/>
    </w:rPr>
  </w:style>
  <w:style w:type="paragraph" w:styleId="13">
    <w:name w:val="Body Text First Indent 2"/>
    <w:basedOn w:val="5"/>
    <w:link w:val="35"/>
    <w:unhideWhenUsed/>
    <w:qFormat/>
    <w:uiPriority w:val="99"/>
    <w:pPr>
      <w:widowControl/>
      <w:spacing w:line="259" w:lineRule="auto"/>
      <w:ind w:firstLine="420" w:firstLineChars="200"/>
      <w:jc w:val="left"/>
    </w:pPr>
    <w:rPr>
      <w:rFonts w:ascii="Calibri" w:hAnsi="Calibri" w:eastAsia="Times New Roman" w:cs="Calibri"/>
      <w:color w:val="000000"/>
      <w:sz w:val="22"/>
    </w:rPr>
  </w:style>
  <w:style w:type="character" w:styleId="16">
    <w:name w:val="Strong"/>
    <w:basedOn w:val="15"/>
    <w:qFormat/>
    <w:uiPriority w:val="22"/>
    <w:rPr>
      <w:b/>
      <w:bCs/>
    </w:rPr>
  </w:style>
  <w:style w:type="character" w:styleId="17">
    <w:name w:val="FollowedHyperlink"/>
    <w:basedOn w:val="15"/>
    <w:semiHidden/>
    <w:unhideWhenUsed/>
    <w:qFormat/>
    <w:uiPriority w:val="99"/>
    <w:rPr>
      <w:rFonts w:hint="eastAsia" w:ascii="微软雅黑" w:hAnsi="微软雅黑" w:eastAsia="微软雅黑" w:cs="微软雅黑"/>
      <w:color w:val="337AB7"/>
      <w:u w:val="none"/>
    </w:rPr>
  </w:style>
  <w:style w:type="character" w:styleId="18">
    <w:name w:val="HTML Definition"/>
    <w:basedOn w:val="15"/>
    <w:semiHidden/>
    <w:unhideWhenUsed/>
    <w:qFormat/>
    <w:uiPriority w:val="99"/>
    <w:rPr>
      <w:i/>
      <w:iCs/>
    </w:rPr>
  </w:style>
  <w:style w:type="character" w:styleId="19">
    <w:name w:val="Hyperlink"/>
    <w:qFormat/>
    <w:uiPriority w:val="99"/>
    <w:rPr>
      <w:color w:val="000000"/>
      <w:u w:val="none"/>
    </w:rPr>
  </w:style>
  <w:style w:type="character" w:styleId="20">
    <w:name w:val="HTML Code"/>
    <w:basedOn w:val="15"/>
    <w:semiHidden/>
    <w:unhideWhenUsed/>
    <w:qFormat/>
    <w:uiPriority w:val="99"/>
    <w:rPr>
      <w:rFonts w:hint="default" w:ascii="Consolas" w:hAnsi="Consolas" w:eastAsia="Consolas" w:cs="Consolas"/>
      <w:color w:val="C7254E"/>
      <w:sz w:val="21"/>
      <w:szCs w:val="21"/>
      <w:bdr w:val="single" w:color="E1E1E1" w:sz="6" w:space="0"/>
      <w:shd w:val="clear" w:fill="F9F2F4"/>
    </w:rPr>
  </w:style>
  <w:style w:type="character" w:styleId="21">
    <w:name w:val="annotation reference"/>
    <w:qFormat/>
    <w:uiPriority w:val="99"/>
    <w:rPr>
      <w:sz w:val="21"/>
      <w:szCs w:val="21"/>
    </w:rPr>
  </w:style>
  <w:style w:type="character" w:styleId="22">
    <w:name w:val="HTML Keyboard"/>
    <w:basedOn w:val="15"/>
    <w:semiHidden/>
    <w:unhideWhenUsed/>
    <w:qFormat/>
    <w:uiPriority w:val="99"/>
    <w:rPr>
      <w:rFonts w:ascii="Consolas" w:hAnsi="Consolas" w:eastAsia="Consolas" w:cs="Consolas"/>
      <w:color w:val="FFFFFF"/>
      <w:sz w:val="21"/>
      <w:szCs w:val="21"/>
      <w:shd w:val="clear" w:fill="333333"/>
    </w:rPr>
  </w:style>
  <w:style w:type="character" w:styleId="23">
    <w:name w:val="HTML Sample"/>
    <w:basedOn w:val="15"/>
    <w:semiHidden/>
    <w:unhideWhenUsed/>
    <w:qFormat/>
    <w:uiPriority w:val="99"/>
    <w:rPr>
      <w:rFonts w:hint="default" w:ascii="Consolas" w:hAnsi="Consolas" w:eastAsia="Consolas" w:cs="Consolas"/>
      <w:sz w:val="21"/>
      <w:szCs w:val="21"/>
    </w:rPr>
  </w:style>
  <w:style w:type="character" w:customStyle="1" w:styleId="24">
    <w:name w:val="标题 2 Char"/>
    <w:link w:val="2"/>
    <w:qFormat/>
    <w:uiPriority w:val="0"/>
    <w:rPr>
      <w:rFonts w:ascii="Cambria" w:hAnsi="Cambria" w:eastAsia="等线" w:cs="Times New Roman"/>
      <w:b/>
      <w:bCs/>
      <w:sz w:val="32"/>
      <w:szCs w:val="32"/>
    </w:rPr>
  </w:style>
  <w:style w:type="character" w:customStyle="1" w:styleId="25">
    <w:name w:val="正文缩进 Char"/>
    <w:link w:val="3"/>
    <w:qFormat/>
    <w:uiPriority w:val="99"/>
    <w:rPr>
      <w:rFonts w:ascii="Times New Roman" w:hAnsi="Times New Roman" w:eastAsia="宋体" w:cs="Times New Roman"/>
    </w:rPr>
  </w:style>
  <w:style w:type="character" w:customStyle="1" w:styleId="26">
    <w:name w:val="批注文字 Char"/>
    <w:link w:val="4"/>
    <w:semiHidden/>
    <w:qFormat/>
    <w:uiPriority w:val="99"/>
    <w:rPr>
      <w:rFonts w:ascii="Times New Roman" w:hAnsi="Times New Roman" w:eastAsia="宋体" w:cs="Times New Roman"/>
    </w:rPr>
  </w:style>
  <w:style w:type="character" w:customStyle="1" w:styleId="27">
    <w:name w:val="正文文本缩进 Char"/>
    <w:link w:val="5"/>
    <w:semiHidden/>
    <w:qFormat/>
    <w:uiPriority w:val="99"/>
    <w:rPr>
      <w:rFonts w:ascii="Times New Roman" w:hAnsi="Times New Roman" w:eastAsia="宋体" w:cs="Times New Roman"/>
    </w:rPr>
  </w:style>
  <w:style w:type="character" w:customStyle="1" w:styleId="28">
    <w:name w:val="纯文本 Char"/>
    <w:link w:val="6"/>
    <w:qFormat/>
    <w:uiPriority w:val="0"/>
    <w:rPr>
      <w:rFonts w:ascii="宋体" w:hAnsi="Courier New" w:eastAsia="宋体" w:cs="Times New Roman"/>
      <w:kern w:val="0"/>
      <w:sz w:val="20"/>
      <w:szCs w:val="20"/>
    </w:rPr>
  </w:style>
  <w:style w:type="character" w:customStyle="1" w:styleId="29">
    <w:name w:val="批注框文本 Char"/>
    <w:link w:val="7"/>
    <w:semiHidden/>
    <w:qFormat/>
    <w:uiPriority w:val="99"/>
    <w:rPr>
      <w:rFonts w:ascii="Times New Roman" w:hAnsi="Times New Roman" w:eastAsia="宋体" w:cs="Times New Roman"/>
      <w:sz w:val="18"/>
      <w:szCs w:val="18"/>
    </w:rPr>
  </w:style>
  <w:style w:type="character" w:customStyle="1" w:styleId="30">
    <w:name w:val="页脚 Char"/>
    <w:link w:val="8"/>
    <w:qFormat/>
    <w:uiPriority w:val="99"/>
    <w:rPr>
      <w:rFonts w:ascii="Times New Roman" w:hAnsi="Times New Roman" w:eastAsia="宋体" w:cs="Times New Roman"/>
      <w:kern w:val="0"/>
      <w:sz w:val="18"/>
      <w:szCs w:val="18"/>
    </w:rPr>
  </w:style>
  <w:style w:type="character" w:customStyle="1" w:styleId="31">
    <w:name w:val="页眉 Char"/>
    <w:link w:val="9"/>
    <w:qFormat/>
    <w:uiPriority w:val="99"/>
    <w:rPr>
      <w:rFonts w:ascii="Times New Roman" w:hAnsi="Times New Roman" w:eastAsia="宋体" w:cs="Times New Roman"/>
      <w:sz w:val="18"/>
      <w:szCs w:val="18"/>
    </w:rPr>
  </w:style>
  <w:style w:type="character" w:customStyle="1" w:styleId="32">
    <w:name w:val="正文文本 2 Char"/>
    <w:link w:val="10"/>
    <w:qFormat/>
    <w:uiPriority w:val="99"/>
    <w:rPr>
      <w:rFonts w:ascii="宋体" w:hAnsi="Times New Roman" w:eastAsia="宋体" w:cs="Times New Roman"/>
      <w:sz w:val="24"/>
      <w:szCs w:val="24"/>
      <w:u w:val="single"/>
    </w:rPr>
  </w:style>
  <w:style w:type="character" w:customStyle="1" w:styleId="33">
    <w:name w:val="HTML 预设格式 Char"/>
    <w:link w:val="11"/>
    <w:qFormat/>
    <w:uiPriority w:val="99"/>
    <w:rPr>
      <w:rFonts w:ascii="宋体" w:hAnsi="宋体" w:eastAsia="宋体" w:cs="宋体"/>
      <w:kern w:val="0"/>
      <w:sz w:val="24"/>
      <w:szCs w:val="24"/>
    </w:rPr>
  </w:style>
  <w:style w:type="character" w:customStyle="1" w:styleId="34">
    <w:name w:val="批注主题 Char"/>
    <w:link w:val="12"/>
    <w:semiHidden/>
    <w:qFormat/>
    <w:uiPriority w:val="99"/>
    <w:rPr>
      <w:rFonts w:ascii="Times New Roman" w:hAnsi="Times New Roman" w:eastAsia="宋体" w:cs="Times New Roman"/>
      <w:b/>
      <w:bCs/>
    </w:rPr>
  </w:style>
  <w:style w:type="character" w:customStyle="1" w:styleId="35">
    <w:name w:val="正文首行缩进 2 Char"/>
    <w:link w:val="13"/>
    <w:semiHidden/>
    <w:qFormat/>
    <w:uiPriority w:val="99"/>
    <w:rPr>
      <w:rFonts w:ascii="Calibri" w:hAnsi="Calibri" w:eastAsia="Times New Roman" w:cs="Calibri"/>
      <w:color w:val="000000"/>
      <w:sz w:val="22"/>
    </w:rPr>
  </w:style>
  <w:style w:type="paragraph" w:customStyle="1" w:styleId="3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7">
    <w:name w:val="章节三"/>
    <w:basedOn w:val="1"/>
    <w:next w:val="1"/>
    <w:qFormat/>
    <w:uiPriority w:val="99"/>
    <w:pPr>
      <w:topLinePunct/>
      <w:adjustRightInd w:val="0"/>
      <w:snapToGrid w:val="0"/>
      <w:spacing w:beforeLines="50" w:afterLines="50"/>
      <w:jc w:val="left"/>
      <w:outlineLvl w:val="2"/>
    </w:pPr>
    <w:rPr>
      <w:rFonts w:ascii="黑体" w:hAnsi="宋体" w:eastAsia="黑体"/>
      <w:b/>
      <w:spacing w:val="4"/>
      <w:sz w:val="24"/>
      <w:szCs w:val="24"/>
    </w:rPr>
  </w:style>
  <w:style w:type="paragraph" w:customStyle="1" w:styleId="38">
    <w:name w:val="公文正文"/>
    <w:basedOn w:val="1"/>
    <w:qFormat/>
    <w:uiPriority w:val="0"/>
    <w:pPr>
      <w:spacing w:line="360" w:lineRule="auto"/>
      <w:ind w:firstLine="629"/>
    </w:pPr>
    <w:rPr>
      <w:rFonts w:hint="eastAsia" w:ascii="仿宋_GB2312" w:hAnsi="Calisto MT" w:eastAsia="仿宋_GB2312"/>
      <w:color w:val="000000"/>
      <w:kern w:val="0"/>
      <w:sz w:val="32"/>
      <w:szCs w:val="20"/>
    </w:rPr>
  </w:style>
  <w:style w:type="paragraph" w:customStyle="1" w:styleId="39">
    <w:name w:val="发文落款"/>
    <w:basedOn w:val="38"/>
    <w:qFormat/>
    <w:uiPriority w:val="0"/>
    <w:pPr>
      <w:ind w:left="4094" w:right="607" w:firstLine="0"/>
      <w:jc w:val="center"/>
    </w:pPr>
    <w:rPr>
      <w:rFonts w:hint="default"/>
    </w:rPr>
  </w:style>
  <w:style w:type="character" w:customStyle="1" w:styleId="40">
    <w:name w:val="title24"/>
    <w:basedOn w:val="15"/>
    <w:qFormat/>
    <w:uiPriority w:val="0"/>
  </w:style>
  <w:style w:type="character" w:customStyle="1" w:styleId="41">
    <w:name w:val="username"/>
    <w:basedOn w:val="1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15956</Words>
  <Characters>16593</Characters>
  <Lines>137</Lines>
  <Paragraphs>38</Paragraphs>
  <TotalTime>153</TotalTime>
  <ScaleCrop>false</ScaleCrop>
  <LinksUpToDate>false</LinksUpToDate>
  <CharactersWithSpaces>16986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2023-09-13T15:13:00Z</dcterms:created>
  <dc:creator>Admin</dc:creator>
  <cp:lastModifiedBy>GDYS-Liu</cp:lastModifiedBy>
  <cp:lastPrinted>2024-08-09T07:15:00Z</cp:lastPrinted>
  <dcterms:modified xsi:type="dcterms:W3CDTF">2024-08-13T04:58:53Z</dcterms:modified>
  <dc:title>黄埔区临江大道（鱼珠湾隧道）建设工程勘察设计施工总承包</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0C64D4E5F19646EA921F056FCA334A8C_13</vt:lpwstr>
  </property>
</Properties>
</file>