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36"/>
          <w:szCs w:val="44"/>
        </w:rPr>
      </w:pPr>
      <w:r>
        <w:rPr>
          <w:rFonts w:hint="eastAsia"/>
          <w:sz w:val="36"/>
          <w:szCs w:val="44"/>
        </w:rPr>
        <w:t>湛江经开区龙潮东路（人民大道至海滨大道段）改造工程</w:t>
      </w:r>
    </w:p>
    <w:p>
      <w:pPr>
        <w:jc w:val="center"/>
        <w:rPr>
          <w:b/>
          <w:bCs/>
          <w:sz w:val="36"/>
          <w:szCs w:val="36"/>
        </w:rPr>
      </w:pPr>
      <w:r>
        <w:rPr>
          <w:rFonts w:hint="eastAsia"/>
          <w:sz w:val="36"/>
          <w:szCs w:val="44"/>
        </w:rPr>
        <w:t>预算评审说明</w:t>
      </w:r>
    </w:p>
    <w:p>
      <w:pPr>
        <w:tabs>
          <w:tab w:val="left" w:pos="3135"/>
        </w:tabs>
        <w:spacing w:line="600" w:lineRule="exact"/>
      </w:pPr>
      <w:r>
        <w:rPr>
          <w:rFonts w:hint="eastAsia"/>
          <w:b/>
          <w:sz w:val="28"/>
        </w:rPr>
        <w:t>湛江经济技术开发区财政局</w:t>
      </w:r>
      <w:r>
        <w:rPr>
          <w:rFonts w:hint="eastAsia"/>
          <w:b/>
          <w:bCs/>
          <w:sz w:val="28"/>
        </w:rPr>
        <w:t>：</w:t>
      </w:r>
      <w:r>
        <w:rPr>
          <w:rFonts w:hint="eastAsia"/>
        </w:rPr>
        <w:t xml:space="preserve">                                                          </w:t>
      </w:r>
    </w:p>
    <w:p>
      <w:pPr>
        <w:spacing w:line="360" w:lineRule="auto"/>
        <w:ind w:firstLine="480"/>
        <w:jc w:val="left"/>
        <w:rPr>
          <w:rFonts w:ascii="宋体" w:hAnsi="宋体"/>
          <w:sz w:val="24"/>
        </w:rPr>
      </w:pPr>
      <w:r>
        <w:rPr>
          <w:rFonts w:hint="eastAsia" w:ascii="宋体" w:hAnsi="宋体"/>
          <w:sz w:val="24"/>
        </w:rPr>
        <w:t>我公司接受贵单位委托，对湛江经开区龙潮东路（人民大道至海滨大道段）改造工程预算进行审核。本着独立、客观、科学的工作原则和遵循公正、公平、公开的执业准则，按照国家有关工程造价咨询业务操作规程和工程造价管理规定要求，对委托的建设工程项目实施切实有效的审核。现工程预算审核工作已结束，其预算审核结果向贵单位报告如下</w:t>
      </w:r>
      <w:r>
        <w:rPr>
          <w:rFonts w:hint="eastAsia" w:ascii="宋体" w:hAnsi="宋体"/>
          <w:sz w:val="28"/>
        </w:rPr>
        <w:t>：</w:t>
      </w:r>
    </w:p>
    <w:p>
      <w:pPr>
        <w:spacing w:line="360" w:lineRule="auto"/>
        <w:ind w:firstLine="480"/>
        <w:jc w:val="left"/>
        <w:rPr>
          <w:rFonts w:hint="eastAsia" w:ascii="宋体" w:hAnsi="宋体"/>
          <w:sz w:val="24"/>
        </w:rPr>
      </w:pPr>
      <w:r>
        <w:rPr>
          <w:rFonts w:hint="eastAsia" w:ascii="宋体" w:hAnsi="宋体"/>
          <w:sz w:val="24"/>
        </w:rPr>
        <w:t>报告如下</w:t>
      </w:r>
      <w:r>
        <w:rPr>
          <w:rFonts w:hint="eastAsia" w:ascii="宋体" w:hAnsi="宋体"/>
          <w:sz w:val="28"/>
        </w:rPr>
        <w:t>：</w:t>
      </w:r>
    </w:p>
    <w:p>
      <w:pPr>
        <w:spacing w:line="360" w:lineRule="auto"/>
        <w:ind w:firstLine="361" w:firstLineChars="150"/>
        <w:rPr>
          <w:rFonts w:ascii="宋体" w:hAnsi="宋体"/>
          <w:b/>
          <w:bCs/>
          <w:sz w:val="24"/>
        </w:rPr>
      </w:pPr>
      <w:r>
        <w:rPr>
          <w:rFonts w:hint="eastAsia" w:ascii="宋体" w:hAnsi="宋体"/>
          <w:b/>
          <w:bCs/>
          <w:sz w:val="24"/>
        </w:rPr>
        <w:t>一、工程概况</w:t>
      </w:r>
    </w:p>
    <w:p>
      <w:pPr>
        <w:spacing w:line="360" w:lineRule="auto"/>
        <w:ind w:firstLine="480" w:firstLineChars="200"/>
        <w:rPr>
          <w:rFonts w:ascii="宋体" w:hAnsi="宋体"/>
          <w:color w:val="FF0000"/>
          <w:sz w:val="24"/>
        </w:rPr>
      </w:pPr>
      <w:r>
        <w:rPr>
          <w:rFonts w:hint="eastAsia" w:ascii="宋体" w:hAnsi="宋体"/>
          <w:sz w:val="24"/>
        </w:rPr>
        <w:t>1、建设单位：湛江经济技术开发区城市综合管理局</w:t>
      </w:r>
    </w:p>
    <w:p>
      <w:pPr>
        <w:spacing w:line="360" w:lineRule="auto"/>
        <w:ind w:firstLine="480" w:firstLineChars="200"/>
        <w:rPr>
          <w:rFonts w:ascii="宋体" w:hAnsi="宋体"/>
          <w:sz w:val="24"/>
        </w:rPr>
      </w:pPr>
      <w:r>
        <w:rPr>
          <w:rFonts w:hint="eastAsia" w:ascii="宋体" w:hAnsi="宋体"/>
          <w:sz w:val="24"/>
        </w:rPr>
        <w:t>2、工程名称：湛江经开区龙潮东路（人民大道至海滨大道段）改造工程</w:t>
      </w:r>
    </w:p>
    <w:p>
      <w:pPr>
        <w:spacing w:line="360" w:lineRule="auto"/>
        <w:ind w:firstLine="480" w:firstLineChars="200"/>
        <w:rPr>
          <w:rFonts w:ascii="宋体" w:hAnsi="宋体"/>
          <w:sz w:val="24"/>
        </w:rPr>
      </w:pPr>
      <w:r>
        <w:rPr>
          <w:rFonts w:hint="eastAsia" w:ascii="宋体" w:hAnsi="宋体"/>
          <w:sz w:val="24"/>
        </w:rPr>
        <w:t>3、工程概况：</w:t>
      </w:r>
      <w:r>
        <w:rPr>
          <w:rFonts w:hint="eastAsia" w:ascii="Times New Roman" w:hAnsi="Times New Roman" w:eastAsia="宋体" w:cs="Times New Roman"/>
          <w:sz w:val="24"/>
        </w:rPr>
        <w:t>本项目龙潮东路路采用城市主干道标准，现状为双向四车道，拟改建拓宽为双向六车道</w:t>
      </w:r>
      <w:r>
        <w:rPr>
          <w:rFonts w:hint="eastAsia" w:ascii="Times New Roman" w:hAnsi="Times New Roman" w:eastAsia="宋体" w:cs="Times New Roman"/>
          <w:sz w:val="24"/>
          <w:lang w:eastAsia="zh-CN"/>
        </w:rPr>
        <w:t>；本工程设计内容包含道路工程、交通工程、排水工程、照明工程、绿化工程</w:t>
      </w:r>
      <w:r>
        <w:rPr>
          <w:rFonts w:hint="eastAsia" w:ascii="宋体" w:hAnsi="宋体"/>
          <w:sz w:val="24"/>
        </w:rPr>
        <w:t>。</w:t>
      </w:r>
    </w:p>
    <w:p>
      <w:pPr>
        <w:spacing w:line="360" w:lineRule="auto"/>
        <w:ind w:firstLine="361" w:firstLineChars="150"/>
        <w:rPr>
          <w:rFonts w:hint="eastAsia"/>
          <w:b/>
          <w:bCs/>
          <w:sz w:val="24"/>
        </w:rPr>
      </w:pPr>
    </w:p>
    <w:p>
      <w:pPr>
        <w:spacing w:line="360" w:lineRule="auto"/>
        <w:ind w:firstLine="361" w:firstLineChars="150"/>
        <w:rPr>
          <w:b/>
          <w:bCs/>
          <w:sz w:val="24"/>
        </w:rPr>
      </w:pPr>
      <w:r>
        <w:rPr>
          <w:rFonts w:hint="eastAsia"/>
          <w:b/>
          <w:bCs/>
          <w:sz w:val="24"/>
        </w:rPr>
        <w:t>二、工程预算审核依据</w:t>
      </w:r>
    </w:p>
    <w:p>
      <w:pPr>
        <w:spacing w:line="360" w:lineRule="auto"/>
        <w:ind w:firstLine="570"/>
        <w:rPr>
          <w:sz w:val="24"/>
        </w:rPr>
      </w:pPr>
      <w:r>
        <w:rPr>
          <w:rFonts w:hint="eastAsia"/>
          <w:sz w:val="24"/>
        </w:rPr>
        <w:t>1、《广东省建设工程计价依据》（2018）、《建设工程清单计价规范》（2013），并套用《广东省市政工程综合定额（2018）》《广东省通用安装工程综合定额（2018）》《广东省园林绿化工程综合定额（2018）》</w:t>
      </w:r>
      <w:r>
        <w:rPr>
          <w:rFonts w:hint="eastAsia"/>
          <w:sz w:val="24"/>
          <w:lang w:eastAsia="zh-CN"/>
        </w:rPr>
        <w:t>《广东省房屋建筑与装饰工程综合定额</w:t>
      </w:r>
      <w:r>
        <w:rPr>
          <w:rFonts w:hint="eastAsia"/>
          <w:sz w:val="24"/>
        </w:rPr>
        <w:t>（2018）</w:t>
      </w:r>
      <w:r>
        <w:rPr>
          <w:rFonts w:hint="eastAsia"/>
          <w:sz w:val="24"/>
          <w:lang w:eastAsia="zh-CN"/>
        </w:rPr>
        <w:t>》</w:t>
      </w:r>
      <w:r>
        <w:rPr>
          <w:rFonts w:hint="eastAsia"/>
          <w:sz w:val="24"/>
        </w:rPr>
        <w:t>及相应的计价办法；</w:t>
      </w:r>
    </w:p>
    <w:p>
      <w:pPr>
        <w:spacing w:line="360" w:lineRule="auto"/>
        <w:ind w:firstLine="570"/>
        <w:rPr>
          <w:rFonts w:hint="eastAsia"/>
          <w:sz w:val="24"/>
        </w:rPr>
      </w:pPr>
      <w:r>
        <w:rPr>
          <w:rFonts w:hint="eastAsia"/>
          <w:sz w:val="24"/>
        </w:rPr>
        <w:t>2、主材价格依据2021年</w:t>
      </w:r>
      <w:r>
        <w:rPr>
          <w:rFonts w:hint="eastAsia"/>
          <w:sz w:val="24"/>
          <w:lang w:val="en-US" w:eastAsia="zh-CN"/>
        </w:rPr>
        <w:t>12</w:t>
      </w:r>
      <w:r>
        <w:rPr>
          <w:rFonts w:hint="eastAsia"/>
          <w:sz w:val="24"/>
        </w:rPr>
        <w:t>月及2021年第三季度《湛江建设工程造价信息》中的建安工程主要材料参考价而确定，缺项主材价格参考市场价；</w:t>
      </w:r>
    </w:p>
    <w:p>
      <w:pPr>
        <w:spacing w:line="360" w:lineRule="auto"/>
        <w:ind w:firstLine="570"/>
        <w:rPr>
          <w:rFonts w:hint="default" w:eastAsia="宋体"/>
          <w:sz w:val="24"/>
          <w:lang w:val="en-US" w:eastAsia="zh-CN"/>
        </w:rPr>
      </w:pPr>
      <w:r>
        <w:rPr>
          <w:rFonts w:hint="eastAsia"/>
          <w:sz w:val="24"/>
          <w:lang w:val="en-US" w:eastAsia="zh-CN"/>
        </w:rPr>
        <w:t>3、</w:t>
      </w:r>
      <w:r>
        <w:rPr>
          <w:rFonts w:hint="eastAsia" w:ascii="宋体" w:hAnsi="宋体" w:cs="宋体"/>
          <w:sz w:val="24"/>
          <w:lang w:val="zh-CN"/>
        </w:rPr>
        <w:t>人工费：人工的动态工资调整按最新规定文件计取为</w:t>
      </w:r>
      <w:r>
        <w:rPr>
          <w:rFonts w:hint="eastAsia" w:ascii="宋体" w:hAnsi="宋体" w:cs="宋体"/>
          <w:sz w:val="24"/>
          <w:lang w:val="en-US" w:eastAsia="zh-CN"/>
        </w:rPr>
        <w:t>0.99。</w:t>
      </w:r>
    </w:p>
    <w:p>
      <w:pPr>
        <w:spacing w:line="360" w:lineRule="auto"/>
        <w:ind w:firstLine="361" w:firstLineChars="150"/>
        <w:rPr>
          <w:rFonts w:hint="eastAsia"/>
          <w:b/>
          <w:bCs/>
          <w:sz w:val="24"/>
        </w:rPr>
      </w:pPr>
    </w:p>
    <w:p>
      <w:pPr>
        <w:spacing w:line="360" w:lineRule="auto"/>
        <w:ind w:firstLine="361" w:firstLineChars="150"/>
        <w:rPr>
          <w:b/>
          <w:bCs/>
          <w:sz w:val="24"/>
        </w:rPr>
      </w:pPr>
      <w:r>
        <w:rPr>
          <w:rFonts w:hint="eastAsia"/>
          <w:b/>
          <w:bCs/>
          <w:sz w:val="24"/>
        </w:rPr>
        <w:t>三、审核预算范围</w:t>
      </w:r>
    </w:p>
    <w:p>
      <w:pPr>
        <w:spacing w:line="360" w:lineRule="auto"/>
        <w:ind w:firstLine="570"/>
        <w:rPr>
          <w:sz w:val="24"/>
        </w:rPr>
      </w:pPr>
      <w:r>
        <w:rPr>
          <w:rFonts w:hint="eastAsia"/>
          <w:sz w:val="24"/>
        </w:rPr>
        <w:t>按照委托单位与我公司签订的《委托合同》有关约定，本次审核预算范围仅限于委托单位委托的项目经建设单位确认提供的该工程施工图、送审的工程预算资料所示相关内容。</w:t>
      </w:r>
    </w:p>
    <w:p>
      <w:pPr>
        <w:spacing w:line="360" w:lineRule="auto"/>
        <w:ind w:firstLine="361" w:firstLineChars="150"/>
        <w:rPr>
          <w:rFonts w:hint="eastAsia"/>
          <w:b/>
          <w:bCs/>
          <w:sz w:val="24"/>
        </w:rPr>
      </w:pPr>
    </w:p>
    <w:p>
      <w:pPr>
        <w:spacing w:line="360" w:lineRule="auto"/>
        <w:ind w:firstLine="361" w:firstLineChars="150"/>
        <w:rPr>
          <w:b/>
          <w:bCs/>
          <w:sz w:val="24"/>
        </w:rPr>
      </w:pPr>
      <w:r>
        <w:rPr>
          <w:rFonts w:hint="eastAsia"/>
          <w:b/>
          <w:bCs/>
          <w:sz w:val="24"/>
        </w:rPr>
        <w:t>四、核减（增）原因</w:t>
      </w:r>
    </w:p>
    <w:p>
      <w:pPr>
        <w:spacing w:line="360" w:lineRule="auto"/>
        <w:ind w:firstLine="600" w:firstLineChars="250"/>
        <w:rPr>
          <w:sz w:val="24"/>
        </w:rPr>
      </w:pPr>
      <w:r>
        <w:rPr>
          <w:rFonts w:hint="eastAsia"/>
          <w:sz w:val="24"/>
        </w:rPr>
        <w:t>1、工程量依据建设单位提供的该工程施工图计算。</w:t>
      </w:r>
    </w:p>
    <w:p>
      <w:pPr>
        <w:spacing w:line="360" w:lineRule="auto"/>
        <w:ind w:firstLine="600" w:firstLineChars="250"/>
        <w:rPr>
          <w:sz w:val="24"/>
        </w:rPr>
      </w:pPr>
      <w:r>
        <w:rPr>
          <w:rFonts w:hint="eastAsia"/>
          <w:sz w:val="24"/>
        </w:rPr>
        <w:t>2、主要核减（增）原因：</w:t>
      </w:r>
    </w:p>
    <w:p>
      <w:pPr>
        <w:spacing w:line="360" w:lineRule="auto"/>
        <w:ind w:firstLine="600" w:firstLineChars="250"/>
        <w:rPr>
          <w:sz w:val="24"/>
        </w:rPr>
      </w:pPr>
      <w:r>
        <w:rPr>
          <w:rFonts w:hint="eastAsia"/>
          <w:sz w:val="24"/>
        </w:rPr>
        <w:t>（1）单位工程：</w:t>
      </w:r>
    </w:p>
    <w:p>
      <w:pPr>
        <w:spacing w:line="360" w:lineRule="auto"/>
        <w:ind w:firstLine="480" w:firstLineChars="200"/>
        <w:rPr>
          <w:rFonts w:hint="eastAsia" w:ascii="宋体" w:hAnsi="宋体" w:eastAsia="宋体" w:cs="宋体"/>
          <w:bCs/>
          <w:sz w:val="24"/>
          <w:lang w:val="en-US" w:eastAsia="zh-CN"/>
        </w:rPr>
      </w:pPr>
      <w:r>
        <w:rPr>
          <w:rFonts w:hint="eastAsia" w:ascii="宋体" w:hAnsi="宋体" w:cs="宋体"/>
          <w:bCs/>
          <w:sz w:val="24"/>
        </w:rPr>
        <w:t>①、道路工程,送审金额为40672490.2元，审定金额为38711122.09元，核减金额</w:t>
      </w:r>
      <w:r>
        <w:rPr>
          <w:rFonts w:hint="eastAsia" w:ascii="宋体" w:hAnsi="宋体" w:cs="宋体"/>
          <w:bCs/>
          <w:sz w:val="24"/>
          <w:lang w:val="en-US" w:eastAsia="zh-CN"/>
        </w:rPr>
        <w:t>1961368.11</w:t>
      </w:r>
      <w:r>
        <w:rPr>
          <w:rFonts w:hint="eastAsia" w:ascii="宋体" w:hAnsi="宋体" w:cs="宋体"/>
          <w:bCs/>
          <w:sz w:val="24"/>
        </w:rPr>
        <w:t>元（主要原因为：</w:t>
      </w:r>
      <w:r>
        <w:rPr>
          <w:rFonts w:hint="eastAsia" w:ascii="宋体" w:hAnsi="宋体" w:cs="宋体"/>
          <w:bCs/>
          <w:sz w:val="24"/>
          <w:lang w:val="en-US" w:eastAsia="zh-CN"/>
        </w:rPr>
        <w:t>1.</w:t>
      </w:r>
      <w:r>
        <w:rPr>
          <w:rFonts w:hint="eastAsia" w:ascii="宋体" w:hAnsi="宋体" w:cs="宋体"/>
          <w:bCs/>
          <w:sz w:val="24"/>
          <w:lang w:eastAsia="zh-CN"/>
        </w:rPr>
        <w:t>新建人行道中</w:t>
      </w:r>
      <w:r>
        <w:rPr>
          <w:rFonts w:hint="eastAsia" w:ascii="宋体" w:hAnsi="宋体" w:cs="宋体"/>
          <w:bCs/>
          <w:sz w:val="24"/>
          <w:lang w:val="en-US" w:eastAsia="zh-CN"/>
        </w:rPr>
        <w:t>现浇混凝土项送审厚度有误，混凝土单价有误，该项约核减78.61万元；2.</w:t>
      </w:r>
      <w:r>
        <w:rPr>
          <w:rFonts w:hint="eastAsia" w:ascii="宋体" w:hAnsi="宋体" w:cs="宋体"/>
          <w:bCs/>
          <w:sz w:val="24"/>
          <w:lang w:eastAsia="zh-CN"/>
        </w:rPr>
        <w:t>新建人行道中人行道块料铺设，送审定额含量未修改，</w:t>
      </w:r>
      <w:r>
        <w:rPr>
          <w:rFonts w:hint="eastAsia" w:ascii="宋体" w:hAnsi="宋体" w:cs="宋体"/>
          <w:bCs/>
          <w:sz w:val="24"/>
          <w:lang w:val="en-US" w:eastAsia="zh-CN"/>
        </w:rPr>
        <w:t>15cm级配碎石重复送审，该项约核减113.69万元；</w:t>
      </w:r>
      <w:r>
        <w:rPr>
          <w:rFonts w:hint="eastAsia" w:ascii="宋体" w:hAnsi="宋体" w:cs="宋体"/>
          <w:bCs/>
          <w:sz w:val="24"/>
        </w:rPr>
        <w:t>本次审核主材材料价按最新信息价调整）；</w:t>
      </w:r>
      <w:r>
        <w:rPr>
          <w:rFonts w:hint="eastAsia" w:ascii="宋体" w:hAnsi="宋体" w:cs="宋体"/>
          <w:bCs/>
          <w:sz w:val="24"/>
          <w:lang w:val="en-US" w:eastAsia="zh-CN"/>
        </w:rPr>
        <w:t xml:space="preserve"> </w:t>
      </w:r>
    </w:p>
    <w:p>
      <w:pPr>
        <w:spacing w:line="360" w:lineRule="auto"/>
        <w:ind w:firstLine="480" w:firstLineChars="200"/>
        <w:rPr>
          <w:rFonts w:ascii="宋体" w:hAnsi="宋体" w:cs="宋体"/>
          <w:bCs/>
          <w:sz w:val="24"/>
        </w:rPr>
      </w:pPr>
      <w:r>
        <w:rPr>
          <w:rFonts w:hint="eastAsia" w:ascii="宋体" w:hAnsi="宋体" w:cs="宋体"/>
          <w:bCs/>
          <w:sz w:val="24"/>
        </w:rPr>
        <w:t>②排水工程,送审金额为3666527.62元，审定金额为3459914.5元，核</w:t>
      </w:r>
      <w:r>
        <w:rPr>
          <w:rFonts w:hint="eastAsia" w:ascii="宋体" w:hAnsi="宋体" w:cs="宋体"/>
          <w:bCs/>
          <w:sz w:val="24"/>
          <w:lang w:eastAsia="zh-CN"/>
        </w:rPr>
        <w:t>减</w:t>
      </w:r>
      <w:r>
        <w:rPr>
          <w:rFonts w:hint="eastAsia" w:ascii="宋体" w:hAnsi="宋体" w:cs="宋体"/>
          <w:bCs/>
          <w:sz w:val="24"/>
        </w:rPr>
        <w:t>金额</w:t>
      </w:r>
      <w:r>
        <w:rPr>
          <w:rFonts w:hint="eastAsia" w:ascii="宋体" w:hAnsi="宋体" w:cs="宋体"/>
          <w:bCs/>
          <w:sz w:val="24"/>
          <w:lang w:val="en-US" w:eastAsia="zh-CN"/>
        </w:rPr>
        <w:t>206613.12</w:t>
      </w:r>
      <w:r>
        <w:rPr>
          <w:rFonts w:hint="eastAsia" w:ascii="宋体" w:hAnsi="宋体" w:cs="宋体"/>
          <w:bCs/>
          <w:sz w:val="24"/>
        </w:rPr>
        <w:t>元（主要原因为：</w:t>
      </w:r>
      <w:r>
        <w:rPr>
          <w:rFonts w:hint="eastAsia" w:ascii="宋体" w:hAnsi="宋体" w:cs="宋体"/>
          <w:bCs/>
          <w:sz w:val="24"/>
          <w:lang w:val="en-US" w:eastAsia="zh-CN"/>
        </w:rPr>
        <w:t>1.送审含有淤泥处理费，审核不计取，该项约核减19.31万元；</w:t>
      </w:r>
      <w:r>
        <w:rPr>
          <w:rFonts w:hint="eastAsia" w:ascii="宋体" w:hAnsi="宋体" w:cs="宋体"/>
          <w:bCs/>
          <w:sz w:val="24"/>
        </w:rPr>
        <w:t>本次审核主材材料价按最新信息价调整）；</w:t>
      </w:r>
    </w:p>
    <w:p>
      <w:pPr>
        <w:spacing w:line="360" w:lineRule="auto"/>
        <w:ind w:firstLine="480" w:firstLineChars="200"/>
        <w:rPr>
          <w:rFonts w:ascii="宋体" w:hAnsi="宋体" w:cs="宋体"/>
          <w:bCs/>
          <w:sz w:val="24"/>
        </w:rPr>
      </w:pPr>
      <w:r>
        <w:rPr>
          <w:rFonts w:hint="eastAsia" w:ascii="宋体" w:hAnsi="宋体" w:cs="宋体"/>
          <w:bCs/>
          <w:sz w:val="24"/>
        </w:rPr>
        <w:t>③、交通工程，送审金额为2725734.45元，审定金额为3207794.77元，核</w:t>
      </w:r>
      <w:r>
        <w:rPr>
          <w:rFonts w:hint="eastAsia" w:ascii="宋体" w:hAnsi="宋体" w:cs="宋体"/>
          <w:bCs/>
          <w:sz w:val="24"/>
          <w:lang w:eastAsia="zh-CN"/>
        </w:rPr>
        <w:t>增</w:t>
      </w:r>
      <w:r>
        <w:rPr>
          <w:rFonts w:hint="eastAsia" w:ascii="宋体" w:hAnsi="宋体" w:cs="宋体"/>
          <w:bCs/>
          <w:sz w:val="24"/>
        </w:rPr>
        <w:t>金额</w:t>
      </w:r>
      <w:r>
        <w:rPr>
          <w:rFonts w:hint="eastAsia" w:ascii="宋体" w:hAnsi="宋体" w:cs="宋体"/>
          <w:bCs/>
          <w:sz w:val="24"/>
          <w:lang w:val="en-US" w:eastAsia="zh-CN"/>
        </w:rPr>
        <w:t>482060.32</w:t>
      </w:r>
      <w:r>
        <w:rPr>
          <w:rFonts w:hint="eastAsia" w:ascii="宋体" w:hAnsi="宋体" w:cs="宋体"/>
          <w:bCs/>
          <w:sz w:val="24"/>
        </w:rPr>
        <w:t>元（主要原因为：</w:t>
      </w:r>
      <w:r>
        <w:rPr>
          <w:rFonts w:hint="eastAsia" w:ascii="宋体" w:hAnsi="宋体" w:cs="宋体"/>
          <w:bCs/>
          <w:sz w:val="24"/>
          <w:lang w:eastAsia="zh-CN"/>
        </w:rPr>
        <w:t>措施项目中施工围挡项，送审与设计图纸不符，该项约核增</w:t>
      </w:r>
      <w:r>
        <w:rPr>
          <w:rFonts w:hint="eastAsia" w:ascii="宋体" w:hAnsi="宋体" w:cs="宋体"/>
          <w:bCs/>
          <w:sz w:val="24"/>
          <w:lang w:val="en-US" w:eastAsia="zh-CN"/>
        </w:rPr>
        <w:t>60.33万元，</w:t>
      </w:r>
      <w:r>
        <w:rPr>
          <w:rFonts w:hint="eastAsia" w:ascii="宋体" w:hAnsi="宋体" w:cs="宋体"/>
          <w:bCs/>
          <w:sz w:val="24"/>
        </w:rPr>
        <w:t>本次审核主材材料价按最新信息价调整）；</w:t>
      </w:r>
    </w:p>
    <w:p>
      <w:pPr>
        <w:spacing w:line="360" w:lineRule="auto"/>
        <w:ind w:firstLine="480" w:firstLineChars="200"/>
        <w:rPr>
          <w:rFonts w:ascii="宋体" w:hAnsi="宋体" w:cs="宋体"/>
          <w:bCs/>
          <w:sz w:val="24"/>
        </w:rPr>
      </w:pPr>
      <w:r>
        <w:rPr>
          <w:rFonts w:hint="eastAsia" w:ascii="宋体" w:hAnsi="宋体" w:cs="宋体"/>
          <w:bCs/>
          <w:sz w:val="24"/>
        </w:rPr>
        <w:t>④、照明工程，送审金额为3766459.55元，审定金额为3021822.52元，核减金额</w:t>
      </w:r>
      <w:r>
        <w:rPr>
          <w:rFonts w:hint="eastAsia" w:ascii="宋体" w:hAnsi="宋体" w:cs="宋体"/>
          <w:bCs/>
          <w:sz w:val="24"/>
          <w:lang w:val="en-US" w:eastAsia="zh-CN"/>
        </w:rPr>
        <w:t>744637.03</w:t>
      </w:r>
      <w:r>
        <w:rPr>
          <w:rFonts w:hint="eastAsia" w:ascii="宋体" w:hAnsi="宋体" w:cs="宋体"/>
          <w:bCs/>
          <w:sz w:val="24"/>
        </w:rPr>
        <w:t>元（主要原因为：</w:t>
      </w:r>
      <w:r>
        <w:rPr>
          <w:rFonts w:hint="eastAsia" w:ascii="宋体" w:hAnsi="宋体" w:cs="宋体"/>
          <w:bCs/>
          <w:sz w:val="24"/>
          <w:lang w:val="en-US" w:eastAsia="zh-CN"/>
        </w:rPr>
        <w:t>1.</w:t>
      </w:r>
      <w:r>
        <w:rPr>
          <w:rFonts w:hint="eastAsia" w:ascii="宋体" w:hAnsi="宋体" w:cs="宋体"/>
          <w:bCs/>
          <w:sz w:val="24"/>
          <w:lang w:eastAsia="zh-CN"/>
        </w:rPr>
        <w:t>拆除电杆项，约核减</w:t>
      </w:r>
      <w:r>
        <w:rPr>
          <w:rFonts w:hint="eastAsia" w:ascii="宋体" w:hAnsi="宋体" w:cs="宋体"/>
          <w:bCs/>
          <w:sz w:val="24"/>
          <w:lang w:val="en-US" w:eastAsia="zh-CN"/>
        </w:rPr>
        <w:t>18.72万元；2.一般路灯（双壁路灯、投光灯）项送审基础混凝土工程量计算错误，约核减8.11万元</w:t>
      </w:r>
      <w:r>
        <w:rPr>
          <w:rFonts w:hint="eastAsia" w:ascii="宋体" w:hAnsi="宋体" w:cs="宋体"/>
          <w:bCs/>
          <w:sz w:val="24"/>
        </w:rPr>
        <w:t>；</w:t>
      </w:r>
      <w:r>
        <w:rPr>
          <w:rFonts w:hint="eastAsia" w:ascii="宋体" w:hAnsi="宋体" w:cs="宋体"/>
          <w:bCs/>
          <w:sz w:val="24"/>
          <w:lang w:val="en-US" w:eastAsia="zh-CN"/>
        </w:rPr>
        <w:t>3.</w:t>
      </w:r>
      <w:r>
        <w:rPr>
          <w:rFonts w:hint="eastAsia" w:ascii="宋体" w:hAnsi="宋体" w:cs="宋体"/>
          <w:bCs/>
          <w:sz w:val="24"/>
          <w:lang w:eastAsia="zh-CN"/>
        </w:rPr>
        <w:t>电力电缆、基础模板两项，约核减</w:t>
      </w:r>
      <w:r>
        <w:rPr>
          <w:rFonts w:hint="eastAsia" w:ascii="宋体" w:hAnsi="宋体" w:cs="宋体"/>
          <w:bCs/>
          <w:sz w:val="24"/>
          <w:lang w:val="en-US" w:eastAsia="zh-CN"/>
        </w:rPr>
        <w:t>14.27万元</w:t>
      </w:r>
      <w:r>
        <w:rPr>
          <w:rFonts w:hint="eastAsia" w:ascii="宋体" w:hAnsi="宋体" w:cs="宋体"/>
          <w:bCs/>
          <w:sz w:val="24"/>
          <w:lang w:eastAsia="zh-CN"/>
        </w:rPr>
        <w:t>；</w:t>
      </w:r>
      <w:r>
        <w:rPr>
          <w:rFonts w:hint="eastAsia" w:ascii="宋体" w:hAnsi="宋体" w:cs="宋体"/>
          <w:bCs/>
          <w:sz w:val="24"/>
          <w:lang w:val="en-US" w:eastAsia="zh-CN"/>
        </w:rPr>
        <w:t>4.接地连接线项定额调整，约核减10.44万；5.送审计取概算幅度差约9.3万元，漏记预算包干费约2.45万元；</w:t>
      </w:r>
      <w:r>
        <w:rPr>
          <w:rFonts w:hint="eastAsia" w:ascii="宋体" w:hAnsi="宋体" w:cs="宋体"/>
          <w:bCs/>
          <w:sz w:val="24"/>
        </w:rPr>
        <w:t>本次审核主材材料价按最新信息价调整）；</w:t>
      </w:r>
    </w:p>
    <w:p>
      <w:pPr>
        <w:spacing w:line="360" w:lineRule="auto"/>
        <w:ind w:firstLine="480" w:firstLineChars="200"/>
        <w:rPr>
          <w:rFonts w:ascii="宋体" w:hAnsi="宋体" w:cs="宋体"/>
          <w:bCs/>
          <w:sz w:val="24"/>
        </w:rPr>
      </w:pPr>
      <w:r>
        <w:rPr>
          <w:rFonts w:hint="eastAsia" w:ascii="宋体" w:hAnsi="宋体" w:cs="宋体"/>
          <w:bCs/>
          <w:sz w:val="24"/>
        </w:rPr>
        <w:t>⑤、绿化工程，送审金额为2826728.86元，审定金额为2675256.04元，核</w:t>
      </w:r>
      <w:r>
        <w:rPr>
          <w:rFonts w:hint="eastAsia" w:ascii="宋体" w:hAnsi="宋体" w:cs="宋体"/>
          <w:bCs/>
          <w:sz w:val="24"/>
          <w:lang w:eastAsia="zh-CN"/>
        </w:rPr>
        <w:t>减</w:t>
      </w:r>
      <w:r>
        <w:rPr>
          <w:rFonts w:hint="eastAsia" w:ascii="宋体" w:hAnsi="宋体" w:cs="宋体"/>
          <w:bCs/>
          <w:sz w:val="24"/>
        </w:rPr>
        <w:t>金额</w:t>
      </w:r>
      <w:r>
        <w:rPr>
          <w:rFonts w:hint="eastAsia" w:ascii="宋体" w:hAnsi="宋体" w:cs="宋体"/>
          <w:bCs/>
          <w:sz w:val="24"/>
          <w:lang w:val="en-US" w:eastAsia="zh-CN"/>
        </w:rPr>
        <w:t>151472.826</w:t>
      </w:r>
      <w:r>
        <w:rPr>
          <w:rFonts w:hint="eastAsia" w:ascii="宋体" w:hAnsi="宋体" w:cs="宋体"/>
          <w:bCs/>
          <w:sz w:val="24"/>
        </w:rPr>
        <w:t>元（主要原因为：本次审核主材材料价按最新信息价调整）。</w:t>
      </w:r>
    </w:p>
    <w:p>
      <w:pPr>
        <w:spacing w:line="360" w:lineRule="auto"/>
        <w:ind w:firstLine="600" w:firstLineChars="250"/>
        <w:rPr>
          <w:sz w:val="24"/>
        </w:rPr>
      </w:pPr>
      <w:r>
        <w:rPr>
          <w:rFonts w:hint="eastAsia"/>
          <w:sz w:val="24"/>
        </w:rPr>
        <w:t>（2）措施项目：</w:t>
      </w:r>
    </w:p>
    <w:p>
      <w:pPr>
        <w:pStyle w:val="5"/>
        <w:widowControl/>
        <w:spacing w:before="0" w:beforeAutospacing="0" w:after="0" w:afterAutospacing="0" w:line="360" w:lineRule="auto"/>
        <w:ind w:firstLine="480" w:firstLineChars="200"/>
        <w:rPr>
          <w:rFonts w:ascii="宋体" w:hAnsi="宋体" w:cs="宋体"/>
          <w:bCs/>
        </w:rPr>
      </w:pPr>
      <w:r>
        <w:rPr>
          <w:rFonts w:hint="eastAsia" w:ascii="宋体" w:hAnsi="宋体" w:cs="宋体"/>
          <w:bCs/>
        </w:rPr>
        <w:t>①</w:t>
      </w:r>
      <w:r>
        <w:rPr>
          <w:rFonts w:hint="eastAsia" w:ascii="宋体" w:hAnsi="宋体" w:cs="宋体"/>
          <w:bCs/>
          <w:kern w:val="2"/>
        </w:rPr>
        <w:t>、</w:t>
      </w:r>
      <w:r>
        <w:rPr>
          <w:rFonts w:hint="eastAsia" w:ascii="宋体" w:hAnsi="宋体" w:cs="宋体"/>
          <w:bCs/>
        </w:rPr>
        <w:t>道路工程中</w:t>
      </w:r>
      <w:r>
        <w:rPr>
          <w:rFonts w:ascii="宋体" w:hAnsi="宋体" w:cs="宋体"/>
          <w:bCs/>
          <w:kern w:val="2"/>
        </w:rPr>
        <w:t>绿色施工安全防护措施费</w:t>
      </w:r>
      <w:r>
        <w:rPr>
          <w:rFonts w:hint="eastAsia" w:ascii="宋体" w:hAnsi="宋体" w:cs="宋体"/>
          <w:bCs/>
          <w:kern w:val="2"/>
        </w:rPr>
        <w:t>，送审金额为</w:t>
      </w:r>
      <w:r>
        <w:rPr>
          <w:rFonts w:hint="eastAsia" w:ascii="宋体" w:hAnsi="宋体" w:cs="宋体"/>
          <w:bCs/>
          <w:kern w:val="2"/>
          <w:lang w:val="en-US" w:eastAsia="zh-CN"/>
        </w:rPr>
        <w:t>1227193.54</w:t>
      </w:r>
      <w:r>
        <w:rPr>
          <w:rFonts w:hint="eastAsia" w:ascii="宋体" w:hAnsi="宋体" w:cs="宋体"/>
          <w:bCs/>
          <w:kern w:val="2"/>
        </w:rPr>
        <w:t>元，审定金额为954920.3元</w:t>
      </w:r>
      <w:r>
        <w:rPr>
          <w:rFonts w:hint="eastAsia" w:ascii="宋体" w:hAnsi="宋体" w:cs="宋体"/>
          <w:bCs/>
        </w:rPr>
        <w:t>；</w:t>
      </w:r>
    </w:p>
    <w:p>
      <w:pPr>
        <w:pStyle w:val="5"/>
        <w:widowControl/>
        <w:spacing w:before="0" w:beforeAutospacing="0" w:after="0" w:afterAutospacing="0" w:line="360" w:lineRule="auto"/>
        <w:ind w:firstLine="480" w:firstLineChars="200"/>
        <w:rPr>
          <w:rFonts w:ascii="宋体" w:hAnsi="宋体" w:cs="宋体"/>
          <w:bCs/>
        </w:rPr>
      </w:pPr>
      <w:r>
        <w:rPr>
          <w:rFonts w:hint="eastAsia" w:ascii="宋体" w:hAnsi="宋体" w:cs="宋体"/>
          <w:bCs/>
        </w:rPr>
        <w:t>②、排水工程中</w:t>
      </w:r>
      <w:r>
        <w:rPr>
          <w:rFonts w:ascii="宋体" w:hAnsi="宋体" w:cs="宋体"/>
          <w:bCs/>
          <w:kern w:val="2"/>
        </w:rPr>
        <w:t>绿色施工安全防护措施费</w:t>
      </w:r>
      <w:r>
        <w:rPr>
          <w:rFonts w:hint="eastAsia" w:ascii="宋体" w:hAnsi="宋体" w:cs="宋体"/>
          <w:bCs/>
          <w:kern w:val="2"/>
        </w:rPr>
        <w:t>，送审金额为</w:t>
      </w:r>
      <w:r>
        <w:rPr>
          <w:rFonts w:hint="eastAsia" w:ascii="宋体" w:hAnsi="宋体" w:cs="宋体"/>
          <w:bCs/>
          <w:kern w:val="2"/>
          <w:lang w:val="en-US" w:eastAsia="zh-CN"/>
        </w:rPr>
        <w:t>434689.08</w:t>
      </w:r>
      <w:r>
        <w:rPr>
          <w:rFonts w:hint="eastAsia" w:ascii="宋体" w:hAnsi="宋体" w:cs="宋体"/>
          <w:bCs/>
          <w:kern w:val="2"/>
        </w:rPr>
        <w:t>元，审定金额为423230.05元</w:t>
      </w:r>
      <w:r>
        <w:rPr>
          <w:rFonts w:hint="eastAsia" w:ascii="宋体" w:hAnsi="宋体" w:cs="宋体"/>
          <w:bCs/>
        </w:rPr>
        <w:t>；</w:t>
      </w:r>
    </w:p>
    <w:p>
      <w:pPr>
        <w:pStyle w:val="5"/>
        <w:widowControl/>
        <w:spacing w:before="0" w:beforeAutospacing="0" w:after="0" w:afterAutospacing="0" w:line="360" w:lineRule="auto"/>
        <w:ind w:firstLine="480" w:firstLineChars="200"/>
        <w:rPr>
          <w:rFonts w:ascii="宋体" w:hAnsi="宋体" w:cs="宋体"/>
          <w:bCs/>
        </w:rPr>
      </w:pPr>
      <w:r>
        <w:rPr>
          <w:rFonts w:hint="eastAsia" w:ascii="宋体" w:hAnsi="宋体" w:cs="宋体"/>
          <w:bCs/>
        </w:rPr>
        <w:t>③、交通工程中</w:t>
      </w:r>
      <w:r>
        <w:rPr>
          <w:rFonts w:ascii="宋体" w:hAnsi="宋体" w:cs="宋体"/>
          <w:bCs/>
          <w:kern w:val="2"/>
        </w:rPr>
        <w:t>绿色施工安全防护措施费</w:t>
      </w:r>
      <w:r>
        <w:rPr>
          <w:rFonts w:hint="eastAsia" w:ascii="宋体" w:hAnsi="宋体" w:cs="宋体"/>
          <w:bCs/>
          <w:kern w:val="2"/>
        </w:rPr>
        <w:t>，送审金额为</w:t>
      </w:r>
      <w:r>
        <w:rPr>
          <w:rFonts w:hint="eastAsia" w:ascii="宋体" w:hAnsi="宋体" w:cs="宋体"/>
          <w:bCs/>
          <w:kern w:val="2"/>
          <w:lang w:val="en-US" w:eastAsia="zh-CN"/>
        </w:rPr>
        <w:t>370569.76</w:t>
      </w:r>
      <w:r>
        <w:rPr>
          <w:rFonts w:hint="eastAsia" w:ascii="宋体" w:hAnsi="宋体" w:cs="宋体"/>
          <w:bCs/>
          <w:kern w:val="2"/>
        </w:rPr>
        <w:t>元，审定金额为998395.46元</w:t>
      </w:r>
      <w:r>
        <w:rPr>
          <w:rFonts w:hint="eastAsia" w:ascii="宋体" w:hAnsi="宋体" w:cs="宋体"/>
          <w:bCs/>
        </w:rPr>
        <w:t>；</w:t>
      </w:r>
    </w:p>
    <w:p>
      <w:pPr>
        <w:pStyle w:val="5"/>
        <w:widowControl/>
        <w:spacing w:before="0" w:beforeAutospacing="0" w:after="0" w:afterAutospacing="0" w:line="360" w:lineRule="auto"/>
        <w:ind w:firstLine="480" w:firstLineChars="200"/>
        <w:rPr>
          <w:rFonts w:ascii="宋体" w:hAnsi="宋体" w:cs="宋体"/>
          <w:bCs/>
        </w:rPr>
      </w:pPr>
      <w:r>
        <w:rPr>
          <w:rFonts w:hint="eastAsia" w:ascii="宋体" w:hAnsi="宋体" w:cs="宋体"/>
          <w:bCs/>
        </w:rPr>
        <w:t>④、照明工程中</w:t>
      </w:r>
      <w:r>
        <w:rPr>
          <w:rFonts w:ascii="宋体" w:hAnsi="宋体" w:cs="宋体"/>
          <w:bCs/>
          <w:kern w:val="2"/>
        </w:rPr>
        <w:t>绿色施工安全防护措施费</w:t>
      </w:r>
      <w:r>
        <w:rPr>
          <w:rFonts w:hint="eastAsia" w:ascii="宋体" w:hAnsi="宋体" w:cs="宋体"/>
          <w:bCs/>
          <w:kern w:val="2"/>
        </w:rPr>
        <w:t>，送审金额为</w:t>
      </w:r>
      <w:r>
        <w:rPr>
          <w:rFonts w:hint="eastAsia" w:ascii="宋体" w:hAnsi="宋体" w:cs="宋体"/>
          <w:bCs/>
          <w:kern w:val="2"/>
          <w:lang w:val="en-US" w:eastAsia="zh-CN"/>
        </w:rPr>
        <w:t>262471.11</w:t>
      </w:r>
      <w:r>
        <w:rPr>
          <w:rFonts w:hint="eastAsia" w:ascii="宋体" w:hAnsi="宋体" w:cs="宋体"/>
          <w:bCs/>
          <w:kern w:val="2"/>
        </w:rPr>
        <w:t>元，审定金额为145840.65元</w:t>
      </w:r>
      <w:r>
        <w:rPr>
          <w:rFonts w:hint="eastAsia" w:ascii="宋体" w:hAnsi="宋体" w:cs="宋体"/>
          <w:bCs/>
        </w:rPr>
        <w:t>；</w:t>
      </w:r>
    </w:p>
    <w:p>
      <w:pPr>
        <w:pStyle w:val="5"/>
        <w:widowControl/>
        <w:spacing w:before="0" w:beforeAutospacing="0" w:after="0" w:afterAutospacing="0" w:line="360" w:lineRule="auto"/>
        <w:ind w:firstLine="480" w:firstLineChars="200"/>
        <w:rPr>
          <w:rFonts w:hint="eastAsia" w:ascii="宋体" w:hAnsi="宋体" w:cs="宋体"/>
          <w:bCs/>
        </w:rPr>
      </w:pPr>
      <w:r>
        <w:rPr>
          <w:rFonts w:hint="eastAsia" w:ascii="宋体" w:hAnsi="宋体" w:cs="宋体"/>
          <w:bCs/>
        </w:rPr>
        <w:t>⑤、绿化工程中</w:t>
      </w:r>
      <w:r>
        <w:rPr>
          <w:rFonts w:ascii="宋体" w:hAnsi="宋体" w:cs="宋体"/>
          <w:bCs/>
          <w:kern w:val="2"/>
        </w:rPr>
        <w:t>绿色施工安全防护措施费</w:t>
      </w:r>
      <w:r>
        <w:rPr>
          <w:rFonts w:hint="eastAsia" w:ascii="宋体" w:hAnsi="宋体" w:cs="宋体"/>
          <w:bCs/>
          <w:kern w:val="2"/>
        </w:rPr>
        <w:t>，送审金额为</w:t>
      </w:r>
      <w:r>
        <w:rPr>
          <w:rFonts w:hint="eastAsia" w:ascii="宋体" w:hAnsi="宋体" w:cs="宋体"/>
          <w:bCs/>
          <w:kern w:val="2"/>
          <w:lang w:val="en-US" w:eastAsia="zh-CN"/>
        </w:rPr>
        <w:t>80435.79</w:t>
      </w:r>
      <w:r>
        <w:rPr>
          <w:rFonts w:hint="eastAsia" w:ascii="宋体" w:hAnsi="宋体" w:cs="宋体"/>
          <w:bCs/>
          <w:kern w:val="2"/>
        </w:rPr>
        <w:t>元，审定金额为70000.16元</w:t>
      </w:r>
      <w:r>
        <w:rPr>
          <w:rFonts w:hint="eastAsia" w:ascii="宋体" w:hAnsi="宋体" w:cs="宋体"/>
          <w:bCs/>
        </w:rPr>
        <w:t>。</w:t>
      </w:r>
      <w:r>
        <w:rPr>
          <w:rFonts w:hint="eastAsia" w:ascii="宋体" w:hAnsi="宋体" w:cs="宋体"/>
          <w:bCs/>
          <w:color w:val="FF0000"/>
        </w:rPr>
        <w:t xml:space="preserve">     </w:t>
      </w:r>
    </w:p>
    <w:p>
      <w:pPr>
        <w:spacing w:line="360" w:lineRule="auto"/>
        <w:rPr>
          <w:rFonts w:hint="eastAsia" w:ascii="宋体" w:hAnsi="宋体"/>
          <w:b/>
          <w:bCs/>
          <w:sz w:val="24"/>
        </w:rPr>
      </w:pPr>
    </w:p>
    <w:p>
      <w:pPr>
        <w:spacing w:line="360" w:lineRule="auto"/>
        <w:ind w:firstLine="361" w:firstLineChars="150"/>
        <w:rPr>
          <w:rFonts w:ascii="宋体" w:hAnsi="宋体"/>
          <w:b/>
          <w:bCs/>
          <w:sz w:val="24"/>
        </w:rPr>
      </w:pPr>
      <w:r>
        <w:rPr>
          <w:rFonts w:hint="eastAsia" w:ascii="宋体" w:hAnsi="宋体"/>
          <w:b/>
          <w:bCs/>
          <w:sz w:val="24"/>
        </w:rPr>
        <w:t>五、审核结论</w:t>
      </w:r>
      <w:bookmarkStart w:id="0" w:name="_GoBack"/>
      <w:bookmarkEnd w:id="0"/>
    </w:p>
    <w:p>
      <w:pPr>
        <w:pStyle w:val="5"/>
        <w:widowControl/>
        <w:spacing w:before="0" w:beforeAutospacing="0" w:after="0" w:afterAutospacing="0" w:line="360" w:lineRule="auto"/>
        <w:ind w:firstLine="360" w:firstLineChars="150"/>
        <w:rPr>
          <w:rFonts w:hint="eastAsia" w:ascii="宋体" w:hAnsi="宋体" w:eastAsia="宋体" w:cs="宋体"/>
          <w:bCs/>
          <w:kern w:val="2"/>
          <w:lang w:eastAsia="zh-CN"/>
        </w:rPr>
      </w:pPr>
      <w:r>
        <w:rPr>
          <w:rFonts w:hint="eastAsia" w:ascii="宋体" w:hAnsi="宋体" w:cs="宋体"/>
          <w:bCs/>
          <w:kern w:val="2"/>
        </w:rPr>
        <w:t>送审造价：53657940.68元</w:t>
      </w:r>
      <w:r>
        <w:rPr>
          <w:rFonts w:hint="eastAsia" w:ascii="宋体" w:hAnsi="宋体" w:cs="宋体"/>
          <w:bCs/>
          <w:kern w:val="2"/>
          <w:lang w:eastAsia="zh-CN"/>
        </w:rPr>
        <w:t>；</w:t>
      </w:r>
    </w:p>
    <w:p>
      <w:pPr>
        <w:pStyle w:val="5"/>
        <w:widowControl/>
        <w:spacing w:before="0" w:beforeAutospacing="0" w:after="0" w:afterAutospacing="0" w:line="360" w:lineRule="auto"/>
        <w:ind w:firstLine="360" w:firstLineChars="150"/>
        <w:rPr>
          <w:rFonts w:hint="eastAsia" w:ascii="宋体" w:hAnsi="宋体" w:eastAsia="宋体" w:cs="宋体"/>
          <w:bCs/>
          <w:kern w:val="2"/>
          <w:lang w:eastAsia="zh-CN"/>
        </w:rPr>
      </w:pPr>
      <w:r>
        <w:rPr>
          <w:rFonts w:hint="eastAsia" w:ascii="宋体" w:hAnsi="宋体" w:cs="宋体"/>
          <w:bCs/>
          <w:kern w:val="2"/>
        </w:rPr>
        <w:t>审核造价：</w:t>
      </w:r>
      <w:r>
        <w:rPr>
          <w:rFonts w:hint="eastAsia" w:ascii="宋体" w:hAnsi="宋体" w:cs="宋体"/>
          <w:bCs/>
          <w:kern w:val="2"/>
          <w:lang w:val="en-US" w:eastAsia="zh-CN"/>
        </w:rPr>
        <w:t>51075909.92</w:t>
      </w:r>
      <w:r>
        <w:rPr>
          <w:rFonts w:hint="eastAsia" w:ascii="宋体" w:hAnsi="宋体" w:cs="宋体"/>
          <w:bCs/>
          <w:kern w:val="2"/>
        </w:rPr>
        <w:t>元</w:t>
      </w:r>
      <w:r>
        <w:rPr>
          <w:rFonts w:hint="eastAsia" w:ascii="宋体" w:hAnsi="宋体" w:cs="宋体"/>
          <w:bCs/>
          <w:kern w:val="2"/>
          <w:lang w:eastAsia="zh-CN"/>
        </w:rPr>
        <w:t>；</w:t>
      </w:r>
    </w:p>
    <w:p>
      <w:pPr>
        <w:spacing w:line="360" w:lineRule="auto"/>
        <w:ind w:firstLine="360" w:firstLineChars="150"/>
        <w:rPr>
          <w:rFonts w:hint="eastAsia" w:ascii="宋体" w:hAnsi="宋体" w:cs="宋体"/>
          <w:bCs/>
          <w:sz w:val="24"/>
          <w:lang w:eastAsia="zh-CN"/>
        </w:rPr>
      </w:pPr>
      <w:r>
        <w:rPr>
          <w:rFonts w:hint="eastAsia" w:ascii="宋体" w:hAnsi="宋体" w:cs="宋体"/>
          <w:bCs/>
          <w:sz w:val="24"/>
        </w:rPr>
        <w:t>核减金额：</w:t>
      </w:r>
      <w:r>
        <w:rPr>
          <w:rFonts w:hint="eastAsia" w:ascii="宋体" w:hAnsi="宋体" w:cs="宋体"/>
          <w:bCs/>
          <w:sz w:val="24"/>
          <w:lang w:val="en-US" w:eastAsia="zh-CN"/>
        </w:rPr>
        <w:t>2582030.76</w:t>
      </w:r>
      <w:r>
        <w:rPr>
          <w:rFonts w:hint="eastAsia" w:ascii="宋体" w:hAnsi="宋体" w:cs="宋体"/>
          <w:bCs/>
          <w:sz w:val="24"/>
        </w:rPr>
        <w:t>元</w:t>
      </w:r>
      <w:r>
        <w:rPr>
          <w:rFonts w:hint="eastAsia" w:ascii="宋体" w:hAnsi="宋体" w:cs="宋体"/>
          <w:bCs/>
          <w:sz w:val="24"/>
          <w:lang w:eastAsia="zh-CN"/>
        </w:rPr>
        <w:t>；</w:t>
      </w:r>
    </w:p>
    <w:p>
      <w:pPr>
        <w:spacing w:line="360" w:lineRule="auto"/>
        <w:ind w:firstLine="360" w:firstLineChars="150"/>
        <w:rPr>
          <w:rFonts w:hint="default" w:ascii="宋体" w:hAnsi="宋体" w:cs="宋体"/>
          <w:bCs/>
          <w:sz w:val="24"/>
          <w:lang w:val="en-US" w:eastAsia="zh-CN"/>
        </w:rPr>
      </w:pPr>
      <w:r>
        <w:rPr>
          <w:rFonts w:hint="eastAsia" w:ascii="宋体" w:hAnsi="宋体" w:cs="宋体"/>
          <w:bCs/>
          <w:sz w:val="24"/>
          <w:lang w:eastAsia="zh-CN"/>
        </w:rPr>
        <w:t>核减比例：</w:t>
      </w:r>
      <w:r>
        <w:rPr>
          <w:rFonts w:hint="eastAsia" w:ascii="宋体" w:hAnsi="宋体" w:cs="宋体"/>
          <w:bCs/>
          <w:sz w:val="24"/>
          <w:lang w:val="en-US" w:eastAsia="zh-CN"/>
        </w:rPr>
        <w:t>4.81%。</w:t>
      </w:r>
    </w:p>
    <w:p>
      <w:pPr>
        <w:spacing w:line="360" w:lineRule="auto"/>
        <w:ind w:firstLine="360" w:firstLineChars="150"/>
        <w:rPr>
          <w:rFonts w:hint="eastAsia" w:ascii="宋体" w:hAnsi="宋体" w:cs="宋体"/>
          <w:bCs/>
          <w:sz w:val="24"/>
          <w:lang w:val="en-US" w:eastAsia="zh-CN"/>
        </w:rPr>
      </w:pPr>
    </w:p>
    <w:p>
      <w:pPr>
        <w:spacing w:line="360" w:lineRule="auto"/>
        <w:ind w:firstLine="360" w:firstLineChars="150"/>
        <w:rPr>
          <w:rFonts w:hint="eastAsia" w:ascii="宋体" w:hAnsi="宋体" w:cs="宋体"/>
          <w:bCs/>
          <w:sz w:val="24"/>
          <w:lang w:val="en-US" w:eastAsia="zh-CN"/>
        </w:rPr>
      </w:pPr>
    </w:p>
    <w:p>
      <w:pPr>
        <w:spacing w:line="360" w:lineRule="auto"/>
        <w:ind w:firstLine="360" w:firstLineChars="150"/>
        <w:rPr>
          <w:rFonts w:hint="default" w:ascii="宋体" w:hAnsi="宋体" w:cs="宋体"/>
          <w:bCs/>
          <w:sz w:val="24"/>
          <w:lang w:val="en-US" w:eastAsia="zh-CN"/>
        </w:rPr>
      </w:pPr>
    </w:p>
    <w:p>
      <w:pPr>
        <w:spacing w:line="360" w:lineRule="auto"/>
        <w:jc w:val="right"/>
        <w:rPr>
          <w:b/>
          <w:bCs/>
          <w:sz w:val="24"/>
        </w:rPr>
      </w:pPr>
      <w:r>
        <w:rPr>
          <w:rFonts w:hint="eastAsia"/>
          <w:b/>
          <w:bCs/>
          <w:sz w:val="24"/>
        </w:rPr>
        <w:t>审核单位：东莞市建业工程造价咨询事务所有限公司</w:t>
      </w:r>
    </w:p>
    <w:p>
      <w:pPr>
        <w:spacing w:line="360" w:lineRule="auto"/>
        <w:jc w:val="right"/>
        <w:rPr>
          <w:sz w:val="28"/>
        </w:rPr>
      </w:pPr>
      <w:r>
        <w:rPr>
          <w:rFonts w:hint="eastAsia"/>
          <w:b/>
          <w:bCs/>
          <w:sz w:val="24"/>
        </w:rPr>
        <w:t>日  期：2022年0</w:t>
      </w:r>
      <w:r>
        <w:rPr>
          <w:rFonts w:hint="eastAsia"/>
          <w:b/>
          <w:bCs/>
          <w:sz w:val="24"/>
          <w:lang w:val="en-US" w:eastAsia="zh-CN"/>
        </w:rPr>
        <w:t>2</w:t>
      </w:r>
      <w:r>
        <w:rPr>
          <w:rFonts w:hint="eastAsia"/>
          <w:b/>
          <w:bCs/>
          <w:sz w:val="24"/>
        </w:rPr>
        <w:t>月2</w:t>
      </w:r>
      <w:r>
        <w:rPr>
          <w:rFonts w:hint="eastAsia"/>
          <w:b/>
          <w:bCs/>
          <w:sz w:val="24"/>
          <w:lang w:val="en-US" w:eastAsia="zh-CN"/>
        </w:rPr>
        <w:t>8</w:t>
      </w:r>
      <w:r>
        <w:rPr>
          <w:rFonts w:hint="eastAsia"/>
          <w:b/>
          <w:bCs/>
          <w:sz w:val="24"/>
        </w:rPr>
        <w:t>日</w:t>
      </w:r>
    </w:p>
    <w:sectPr>
      <w:footerReference r:id="rId6" w:type="first"/>
      <w:headerReference r:id="rId3" w:type="default"/>
      <w:footerReference r:id="rId4" w:type="default"/>
      <w:footerReference r:id="rId5" w:type="even"/>
      <w:pgSz w:w="11906" w:h="16838"/>
      <w:pgMar w:top="1361" w:right="1191" w:bottom="1247" w:left="1361"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tabs>
        <w:tab w:val="center" w:pos="4677"/>
        <w:tab w:val="clear" w:pos="4153"/>
      </w:tabs>
    </w:pPr>
    <w:r>
      <w:pict>
        <v:shape id="_x0000_s4100" o:spid="_x0000_s4100"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joinstyle="miter"/>
          <v:imagedata o:title=""/>
          <o:lock v:ext="edit"/>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w:r>
    <w:r>
      <w:rPr>
        <w:rFonts w:hint="eastAsia"/>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8"/>
      </w:rPr>
    </w:pPr>
    <w:r>
      <w:fldChar w:fldCharType="begin"/>
    </w:r>
    <w:r>
      <w:rPr>
        <w:rStyle w:val="8"/>
      </w:rPr>
      <w:instrText xml:space="preserve">PAGE  </w:instrText>
    </w:r>
    <w:r>
      <w:fldChar w:fldCharType="end"/>
    </w:r>
  </w:p>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4097" o:spid="_x0000_s4097"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joinstyle="miter"/>
          <v:imagedata o:title=""/>
          <o:lock v:ext="edit"/>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w:r>
    <w:r>
      <w:pict>
        <v:shape id="_x0000_s4098" o:spid="_x0000_s4098"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txbxContent>
          </v:textbox>
        </v:shape>
      </w:pict>
    </w:r>
    <w:r>
      <w:pict>
        <v:shape id="_x0000_s4099" o:spid="_x0000_s409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3"/>
                </w:pPr>
                <w:r>
                  <w:rPr>
                    <w:rFonts w:hint="eastAsia"/>
                  </w:rPr>
                  <w:t>1</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642F65"/>
    <w:rsid w:val="00021EF4"/>
    <w:rsid w:val="000300B0"/>
    <w:rsid w:val="00030A28"/>
    <w:rsid w:val="000344F5"/>
    <w:rsid w:val="0005438D"/>
    <w:rsid w:val="00060CAA"/>
    <w:rsid w:val="00067B95"/>
    <w:rsid w:val="000A5420"/>
    <w:rsid w:val="000B3EC8"/>
    <w:rsid w:val="000D154D"/>
    <w:rsid w:val="000E1A58"/>
    <w:rsid w:val="000E3163"/>
    <w:rsid w:val="000F0A97"/>
    <w:rsid w:val="000F15D9"/>
    <w:rsid w:val="00120480"/>
    <w:rsid w:val="00120A3B"/>
    <w:rsid w:val="00123F88"/>
    <w:rsid w:val="00124F24"/>
    <w:rsid w:val="00190F8F"/>
    <w:rsid w:val="001922BF"/>
    <w:rsid w:val="001A31C8"/>
    <w:rsid w:val="001B1715"/>
    <w:rsid w:val="001C557E"/>
    <w:rsid w:val="001F21A6"/>
    <w:rsid w:val="00206B1C"/>
    <w:rsid w:val="00227E63"/>
    <w:rsid w:val="002341A8"/>
    <w:rsid w:val="00241B28"/>
    <w:rsid w:val="002523AD"/>
    <w:rsid w:val="002858FC"/>
    <w:rsid w:val="002B5B06"/>
    <w:rsid w:val="002C08B2"/>
    <w:rsid w:val="002E0A3B"/>
    <w:rsid w:val="00312099"/>
    <w:rsid w:val="00313BD0"/>
    <w:rsid w:val="00322376"/>
    <w:rsid w:val="00333CB8"/>
    <w:rsid w:val="00346B6A"/>
    <w:rsid w:val="00381025"/>
    <w:rsid w:val="003B2BCA"/>
    <w:rsid w:val="003D2F83"/>
    <w:rsid w:val="003D4DC5"/>
    <w:rsid w:val="003D675C"/>
    <w:rsid w:val="003F219E"/>
    <w:rsid w:val="00403D40"/>
    <w:rsid w:val="0045576A"/>
    <w:rsid w:val="0046654C"/>
    <w:rsid w:val="00487264"/>
    <w:rsid w:val="004A72A3"/>
    <w:rsid w:val="004C5FBF"/>
    <w:rsid w:val="004D05F4"/>
    <w:rsid w:val="004E39A5"/>
    <w:rsid w:val="004E6492"/>
    <w:rsid w:val="005511E2"/>
    <w:rsid w:val="005A5A31"/>
    <w:rsid w:val="005C3DFF"/>
    <w:rsid w:val="005D56D0"/>
    <w:rsid w:val="005F4E9A"/>
    <w:rsid w:val="00642F65"/>
    <w:rsid w:val="00657F70"/>
    <w:rsid w:val="00665F0E"/>
    <w:rsid w:val="00695563"/>
    <w:rsid w:val="006A1467"/>
    <w:rsid w:val="006A2B00"/>
    <w:rsid w:val="006A3FCC"/>
    <w:rsid w:val="006B0E4C"/>
    <w:rsid w:val="006F060A"/>
    <w:rsid w:val="00712E2D"/>
    <w:rsid w:val="00721ED2"/>
    <w:rsid w:val="007239A8"/>
    <w:rsid w:val="00732830"/>
    <w:rsid w:val="00741E9F"/>
    <w:rsid w:val="0074793F"/>
    <w:rsid w:val="00766402"/>
    <w:rsid w:val="007A430E"/>
    <w:rsid w:val="007C48BB"/>
    <w:rsid w:val="007C75A7"/>
    <w:rsid w:val="007C75E0"/>
    <w:rsid w:val="007D492E"/>
    <w:rsid w:val="007E36DF"/>
    <w:rsid w:val="00802224"/>
    <w:rsid w:val="00825C82"/>
    <w:rsid w:val="008335B2"/>
    <w:rsid w:val="0084001D"/>
    <w:rsid w:val="00840714"/>
    <w:rsid w:val="0084177E"/>
    <w:rsid w:val="0084691C"/>
    <w:rsid w:val="0084768A"/>
    <w:rsid w:val="00855CF2"/>
    <w:rsid w:val="00856A81"/>
    <w:rsid w:val="00862943"/>
    <w:rsid w:val="00870EAC"/>
    <w:rsid w:val="008919C6"/>
    <w:rsid w:val="008A4360"/>
    <w:rsid w:val="008E7E69"/>
    <w:rsid w:val="008F1AF2"/>
    <w:rsid w:val="008F261D"/>
    <w:rsid w:val="00906F13"/>
    <w:rsid w:val="00913E74"/>
    <w:rsid w:val="00925B85"/>
    <w:rsid w:val="00970092"/>
    <w:rsid w:val="009870E7"/>
    <w:rsid w:val="0098731C"/>
    <w:rsid w:val="009C483F"/>
    <w:rsid w:val="009C6DD1"/>
    <w:rsid w:val="009D08B7"/>
    <w:rsid w:val="009D5EEF"/>
    <w:rsid w:val="00A03C20"/>
    <w:rsid w:val="00A140B6"/>
    <w:rsid w:val="00A14419"/>
    <w:rsid w:val="00A27EEE"/>
    <w:rsid w:val="00A4338E"/>
    <w:rsid w:val="00A45D51"/>
    <w:rsid w:val="00A86709"/>
    <w:rsid w:val="00AC4F0E"/>
    <w:rsid w:val="00AC6B64"/>
    <w:rsid w:val="00AD0D72"/>
    <w:rsid w:val="00AD5DC8"/>
    <w:rsid w:val="00AF12A2"/>
    <w:rsid w:val="00B528AC"/>
    <w:rsid w:val="00B736CB"/>
    <w:rsid w:val="00B85618"/>
    <w:rsid w:val="00B85D16"/>
    <w:rsid w:val="00BA5A71"/>
    <w:rsid w:val="00BC0429"/>
    <w:rsid w:val="00BF50F7"/>
    <w:rsid w:val="00C10D37"/>
    <w:rsid w:val="00C11194"/>
    <w:rsid w:val="00C1264D"/>
    <w:rsid w:val="00C51680"/>
    <w:rsid w:val="00C61DE1"/>
    <w:rsid w:val="00C630E5"/>
    <w:rsid w:val="00C84E86"/>
    <w:rsid w:val="00C87A8D"/>
    <w:rsid w:val="00CA1B36"/>
    <w:rsid w:val="00CB5329"/>
    <w:rsid w:val="00CD7644"/>
    <w:rsid w:val="00CE708C"/>
    <w:rsid w:val="00CF1D79"/>
    <w:rsid w:val="00CF6DEF"/>
    <w:rsid w:val="00D110B1"/>
    <w:rsid w:val="00D218DD"/>
    <w:rsid w:val="00D249F3"/>
    <w:rsid w:val="00D46669"/>
    <w:rsid w:val="00D64B26"/>
    <w:rsid w:val="00D721A4"/>
    <w:rsid w:val="00D74D82"/>
    <w:rsid w:val="00D75254"/>
    <w:rsid w:val="00D907E7"/>
    <w:rsid w:val="00D9318F"/>
    <w:rsid w:val="00D97B8F"/>
    <w:rsid w:val="00DA44E3"/>
    <w:rsid w:val="00DA7372"/>
    <w:rsid w:val="00DD60D9"/>
    <w:rsid w:val="00DE2582"/>
    <w:rsid w:val="00E01672"/>
    <w:rsid w:val="00E24327"/>
    <w:rsid w:val="00E30CD1"/>
    <w:rsid w:val="00E43A71"/>
    <w:rsid w:val="00E46FB5"/>
    <w:rsid w:val="00E51C29"/>
    <w:rsid w:val="00E52A8B"/>
    <w:rsid w:val="00E66C31"/>
    <w:rsid w:val="00E677CC"/>
    <w:rsid w:val="00E77405"/>
    <w:rsid w:val="00E91B25"/>
    <w:rsid w:val="00E91DF3"/>
    <w:rsid w:val="00EC3090"/>
    <w:rsid w:val="00EC5A9A"/>
    <w:rsid w:val="00EE5CD8"/>
    <w:rsid w:val="00F00570"/>
    <w:rsid w:val="00F00786"/>
    <w:rsid w:val="00F152F7"/>
    <w:rsid w:val="00F2304D"/>
    <w:rsid w:val="00F313EE"/>
    <w:rsid w:val="00F52717"/>
    <w:rsid w:val="00F57162"/>
    <w:rsid w:val="00F659FA"/>
    <w:rsid w:val="00F678DD"/>
    <w:rsid w:val="00F70F23"/>
    <w:rsid w:val="00F767B9"/>
    <w:rsid w:val="00FA1B9F"/>
    <w:rsid w:val="00FC00B1"/>
    <w:rsid w:val="00FC2D39"/>
    <w:rsid w:val="00FD1045"/>
    <w:rsid w:val="0282100B"/>
    <w:rsid w:val="02D31FA8"/>
    <w:rsid w:val="0381685A"/>
    <w:rsid w:val="05E820BB"/>
    <w:rsid w:val="06AF0617"/>
    <w:rsid w:val="086F3F33"/>
    <w:rsid w:val="09646C54"/>
    <w:rsid w:val="0AB24943"/>
    <w:rsid w:val="0B79444C"/>
    <w:rsid w:val="0BCA7876"/>
    <w:rsid w:val="0EEA4A8E"/>
    <w:rsid w:val="11706290"/>
    <w:rsid w:val="128471CF"/>
    <w:rsid w:val="134864B0"/>
    <w:rsid w:val="14EA1147"/>
    <w:rsid w:val="1769507D"/>
    <w:rsid w:val="1A1A26C5"/>
    <w:rsid w:val="1A6D3744"/>
    <w:rsid w:val="1A6F3E5C"/>
    <w:rsid w:val="1AE77427"/>
    <w:rsid w:val="1C29117E"/>
    <w:rsid w:val="1D0C6ED9"/>
    <w:rsid w:val="1E6B73BC"/>
    <w:rsid w:val="21935BFD"/>
    <w:rsid w:val="23D02882"/>
    <w:rsid w:val="281A663B"/>
    <w:rsid w:val="28C36D67"/>
    <w:rsid w:val="2ABD6B36"/>
    <w:rsid w:val="2C054530"/>
    <w:rsid w:val="2CDC5577"/>
    <w:rsid w:val="2EC462E7"/>
    <w:rsid w:val="2F2B7E19"/>
    <w:rsid w:val="304C0859"/>
    <w:rsid w:val="31CA14D3"/>
    <w:rsid w:val="31DD12CC"/>
    <w:rsid w:val="353B61A3"/>
    <w:rsid w:val="366C2896"/>
    <w:rsid w:val="36E41DEB"/>
    <w:rsid w:val="3BFA00BD"/>
    <w:rsid w:val="3F7D119B"/>
    <w:rsid w:val="43BA174A"/>
    <w:rsid w:val="440743BE"/>
    <w:rsid w:val="463E7832"/>
    <w:rsid w:val="481844E0"/>
    <w:rsid w:val="48C20148"/>
    <w:rsid w:val="4A7436AB"/>
    <w:rsid w:val="4A9C7ABB"/>
    <w:rsid w:val="4D880920"/>
    <w:rsid w:val="4DDA6BE3"/>
    <w:rsid w:val="4F4216A6"/>
    <w:rsid w:val="500F0B9A"/>
    <w:rsid w:val="53890A01"/>
    <w:rsid w:val="54D1611C"/>
    <w:rsid w:val="55CF7C1B"/>
    <w:rsid w:val="55D116D7"/>
    <w:rsid w:val="5B131993"/>
    <w:rsid w:val="5CE63124"/>
    <w:rsid w:val="5E5E3DE3"/>
    <w:rsid w:val="602D7E28"/>
    <w:rsid w:val="61781A4B"/>
    <w:rsid w:val="640A3C0C"/>
    <w:rsid w:val="65163FFF"/>
    <w:rsid w:val="659A4C12"/>
    <w:rsid w:val="6678319C"/>
    <w:rsid w:val="66E61E8F"/>
    <w:rsid w:val="67530DBD"/>
    <w:rsid w:val="6A057A33"/>
    <w:rsid w:val="6BB838E4"/>
    <w:rsid w:val="6CD4074F"/>
    <w:rsid w:val="6DF30773"/>
    <w:rsid w:val="6E3A4FDB"/>
    <w:rsid w:val="76D605A4"/>
    <w:rsid w:val="78CF1055"/>
    <w:rsid w:val="79592B9E"/>
    <w:rsid w:val="7A4A4D7A"/>
    <w:rsid w:val="7B7C5AA7"/>
    <w:rsid w:val="7D982098"/>
    <w:rsid w:val="7E430F0D"/>
    <w:rsid w:val="7F6746F0"/>
    <w:rsid w:val="7F7E0B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semiHidden/>
    <w:uiPriority w:val="0"/>
    <w:rPr>
      <w:sz w:val="18"/>
      <w:szCs w:val="18"/>
    </w:rPr>
  </w:style>
  <w:style w:type="paragraph" w:styleId="3">
    <w:name w:val="footer"/>
    <w:basedOn w:val="1"/>
    <w:uiPriority w:val="0"/>
    <w:pPr>
      <w:tabs>
        <w:tab w:val="center" w:pos="4153"/>
        <w:tab w:val="right" w:pos="8306"/>
      </w:tabs>
      <w:snapToGrid w:val="0"/>
      <w:jc w:val="left"/>
    </w:pPr>
    <w:rPr>
      <w:sz w:val="18"/>
      <w:szCs w:val="18"/>
    </w:rPr>
  </w:style>
  <w:style w:type="paragraph" w:styleId="4">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100" w:beforeAutospacing="1" w:after="100" w:afterAutospacing="1"/>
      <w:jc w:val="left"/>
    </w:pPr>
    <w:rPr>
      <w:kern w:val="0"/>
      <w:sz w:val="24"/>
    </w:rPr>
  </w:style>
  <w:style w:type="character" w:styleId="8">
    <w:name w:val="page number"/>
    <w:basedOn w:val="7"/>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100"/>
    <customShpInfo spid="_x0000_s4097"/>
    <customShpInfo spid="_x0000_s4098"/>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228</Words>
  <Characters>1301</Characters>
  <Lines>10</Lines>
  <Paragraphs>3</Paragraphs>
  <TotalTime>33</TotalTime>
  <ScaleCrop>false</ScaleCrop>
  <LinksUpToDate>false</LinksUpToDate>
  <CharactersWithSpaces>1526</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2021-10-13T03:41:00Z</dcterms:created>
  <dc:creator>Billgates</dc:creator>
  <cp:lastModifiedBy>岁月长流</cp:lastModifiedBy>
  <cp:lastPrinted>2022-01-06T01:27:00Z</cp:lastPrinted>
  <dcterms:modified xsi:type="dcterms:W3CDTF">2022-02-28T07:49:18Z</dcterms:modified>
  <dc:title>工 程 造 价 咨 询 协 议</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4BC0029BBEC442AAAAB02735446F1595</vt:lpwstr>
  </property>
</Properties>
</file>