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1"/>
        </w:numPr>
        <w:wordWrap/>
        <w:overflowPunct/>
        <w:topLinePunct w:val="0"/>
        <w:autoSpaceDE w:val="0"/>
        <w:autoSpaceDN w:val="0"/>
        <w:bidi w:val="0"/>
        <w:adjustRightInd w:val="0"/>
        <w:spacing w:line="360" w:lineRule="auto"/>
        <w:jc w:val="center"/>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评标办法</w:t>
      </w:r>
    </w:p>
    <w:p>
      <w:pPr>
        <w:keepNext w:val="0"/>
        <w:keepLines w:val="0"/>
        <w:pageBreakBefore w:val="0"/>
        <w:numPr>
          <w:ilvl w:val="0"/>
          <w:numId w:val="0"/>
        </w:numPr>
        <w:wordWrap/>
        <w:overflowPunct/>
        <w:topLinePunct w:val="0"/>
        <w:autoSpaceDE w:val="0"/>
        <w:autoSpaceDN w:val="0"/>
        <w:bidi w:val="0"/>
        <w:adjustRightIn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（双信封的技术评分最低标价法）</w:t>
      </w:r>
    </w:p>
    <w:p>
      <w:pPr>
        <w:jc w:val="left"/>
        <w:outlineLvl w:val="1"/>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rPr>
        <w:t>评标办法前附表</w:t>
      </w:r>
    </w:p>
    <w:tbl>
      <w:tblPr>
        <w:tblStyle w:val="9"/>
        <w:tblW w:w="500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36"/>
        <w:gridCol w:w="1267"/>
        <w:gridCol w:w="6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1203" w:type="pct"/>
            <w:gridSpan w:val="2"/>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33" w:line="360" w:lineRule="auto"/>
              <w:jc w:val="center"/>
              <w:textAlignment w:val="baseline"/>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条款号</w:t>
            </w:r>
          </w:p>
        </w:tc>
        <w:tc>
          <w:tcPr>
            <w:tcW w:w="3796"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33" w:line="360" w:lineRule="auto"/>
              <w:ind w:left="2346"/>
              <w:jc w:val="both"/>
              <w:textAlignment w:val="baseline"/>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评审因素与评审标准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4" w:hRule="atLeast"/>
        </w:trPr>
        <w:tc>
          <w:tcPr>
            <w:tcW w:w="44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7"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br w:type="page"/>
            </w:r>
            <w:r>
              <w:rPr>
                <w:rFonts w:hint="eastAsia" w:ascii="宋体" w:hAnsi="宋体" w:eastAsia="宋体" w:cs="宋体"/>
                <w:snapToGrid/>
                <w:color w:val="auto"/>
                <w:kern w:val="2"/>
                <w:sz w:val="24"/>
                <w:szCs w:val="24"/>
                <w:highlight w:val="none"/>
                <w:lang w:val="en-US" w:eastAsia="zh-CN" w:bidi="ar-SA"/>
              </w:rPr>
              <w:t>1</w:t>
            </w:r>
          </w:p>
        </w:tc>
        <w:tc>
          <w:tcPr>
            <w:tcW w:w="761"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71"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评标方法</w:t>
            </w:r>
          </w:p>
        </w:tc>
        <w:tc>
          <w:tcPr>
            <w:tcW w:w="3796"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评标价相等时，评标委员会依次按照以下优先顺序推荐中标候选人或确定中标人：</w:t>
            </w:r>
          </w:p>
          <w:p>
            <w:pPr>
              <w:pStyle w:val="8"/>
              <w:keepNext w:val="0"/>
              <w:keepLines w:val="0"/>
              <w:pageBreakBefore w:val="0"/>
              <w:widowControl/>
              <w:numPr>
                <w:ilvl w:val="0"/>
                <w:numId w:val="2"/>
              </w:numPr>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按招标文件规定被认定为最新年度广东省公路工程从业单位信用评价等级较高的投标人优先</w:t>
            </w:r>
            <w:r>
              <w:rPr>
                <w:rStyle w:val="7"/>
                <w:rFonts w:hint="eastAsia" w:ascii="宋体" w:hAnsi="宋体" w:eastAsia="宋体" w:cs="宋体"/>
                <w:snapToGrid/>
                <w:color w:val="auto"/>
                <w:kern w:val="2"/>
                <w:sz w:val="24"/>
                <w:szCs w:val="24"/>
                <w:highlight w:val="none"/>
                <w:lang w:val="en-US" w:eastAsia="zh-CN" w:bidi="ar-SA"/>
              </w:rPr>
              <w:footnoteReference w:id="0"/>
            </w:r>
            <w:r>
              <w:rPr>
                <w:rFonts w:hint="eastAsia" w:ascii="宋体" w:hAnsi="宋体" w:eastAsia="宋体" w:cs="宋体"/>
                <w:snapToGrid/>
                <w:color w:val="auto"/>
                <w:kern w:val="2"/>
                <w:sz w:val="24"/>
                <w:szCs w:val="24"/>
                <w:highlight w:val="none"/>
                <w:lang w:val="en-US" w:eastAsia="zh-CN" w:bidi="ar-SA"/>
              </w:rPr>
              <w:t>；</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31" w:line="360" w:lineRule="auto"/>
              <w:ind w:right="48" w:rightChars="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【采用如下的优先顺序：承诺使用的AA级投标人、不承诺使用的AA级投标人、承诺使用的A级投标人、不承诺使用的A级投标人、B级投标人、未参评且被确定为B级投标人】</w:t>
            </w:r>
          </w:p>
          <w:p>
            <w:pPr>
              <w:pStyle w:val="8"/>
              <w:keepNext w:val="0"/>
              <w:keepLines w:val="0"/>
              <w:pageBreakBefore w:val="0"/>
              <w:widowControl/>
              <w:numPr>
                <w:ilvl w:val="0"/>
                <w:numId w:val="2"/>
              </w:numPr>
              <w:kinsoku w:val="0"/>
              <w:wordWrap/>
              <w:overflowPunct/>
              <w:topLinePunct w:val="0"/>
              <w:autoSpaceDE w:val="0"/>
              <w:autoSpaceDN w:val="0"/>
              <w:bidi w:val="0"/>
              <w:adjustRightInd w:val="0"/>
              <w:snapToGrid w:val="0"/>
              <w:spacing w:before="31" w:line="360" w:lineRule="auto"/>
              <w:ind w:left="0" w:leftChars="0" w:right="48" w:rightChars="0" w:firstLine="0" w:firstLineChars="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以投标人企业最新年度净资产较高的优先；</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before="31" w:line="360" w:lineRule="auto"/>
              <w:ind w:leftChars="0" w:right="48" w:rightChars="0"/>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（3）评标委员会视投标人情况综合比较，投票确定其名次。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2.1.1</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2.1.3</w:t>
            </w:r>
          </w:p>
        </w:tc>
        <w:tc>
          <w:tcPr>
            <w:tcW w:w="761"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360" w:lineRule="auto"/>
              <w:ind w:left="131" w:right="106" w:hanging="8"/>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形式评审与响应性评审标准</w:t>
            </w:r>
          </w:p>
        </w:tc>
        <w:tc>
          <w:tcPr>
            <w:tcW w:w="3796"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4" w:line="360" w:lineRule="auto"/>
              <w:ind w:left="231"/>
              <w:jc w:val="both"/>
              <w:textAlignment w:val="baseline"/>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第一个信封（商务及技术文件）评审标准：</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（1）投标文件按照招标文件规定的格式、内容填写，字迹清晰可辨：</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a.投标函按招标文件规定填报了项目名称、标段号、补遗书编号（如有）、工期、工程质量要求及安全目标；</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b.投标函附录的所有数据均符合招标文件规定；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c.投标文件组成齐全完整，内容均按规定填写。</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（2）投标文件上法定代表人或其委托代理人的签字、项目经理及项目总工的签字、投标人的单位章盖章齐全，符合招标文件规定。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（3）投标人按照招标文件的规定提供了投标保证金：</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a.投标保证金金额符合招标文件规定的金额，且投标保证金有效期不少于投标有效期；</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b.若投标保证金采用现金或支票形式提交，投标人应在投标人须知3.4.1款规定的时间，将投标保证金由投标人的基本账户转入招标人指定账户；</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c.若投标保证金采用银行保函或保证保险形式或投标人须知前附表3.4.1项规定的其他形式提交，应满足招标文件要求。</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（4）投标人法定代表人授权委托代理人签署投标文件的，需提交授权委托书，且授权人和被授权人均在授权委托书上签名，未使用印章、签名章或其他电子制版签名代替。</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（5）投标人法定代表人亲自签署投标文件的，提供了法定代表人身份证明，且法定代表人在法定代表人身份证明上签名，未使用印章、签名章或其他电子制版签名代替。</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w:t>
            </w:r>
            <w:r>
              <w:rPr>
                <w:rFonts w:hint="eastAsia"/>
                <w:color w:val="auto"/>
                <w:highlight w:val="none"/>
              </w:rPr>
              <w:t>投标人未以联合体形式投标</w:t>
            </w:r>
            <w:r>
              <w:rPr>
                <w:rFonts w:hint="eastAsia"/>
                <w:color w:val="auto"/>
                <w:highlight w:val="none"/>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7）如投标人不具备拟分包工程所需的某专项工程相应资质或投标人如有分包计划，符合招标文件第二章“投标人须知”第1.11款规定，且按招标文件第九章“投标文件格式”的要求填写了“拟分包项目情况表”。</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（8）同一投标人未提交两个以上不同的投标文件，但招标文件要求提交备选投标的除外。</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（9）投标文件中未出现有关投标报价的内容。</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（10）投标文件载明的招标项目完成期限未超过招标文件规定的时限。</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（11）投标文件对招标文件的实质性要求和条件作出响应。</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（12）权利义务符合招标文件规定：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a.投标人应接受招标文件规定的风险划分原则，未提出新的风险划分办法；</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b.投标人未增加发包人的责任范围，或减少投标人义务；</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c.投标人未提出不同的工程验收、计量、支付办法；</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d.投标人对合同纠纷、事故处理办法未提出异议；</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e.投标人在投标活动中无欺诈行为；</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f.投标人未对合同条款有重要保留。</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（13）投标文件正、副本份数符合招标文件第二章“投标人须知”第3.7.4项规定。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（14）投标文件未附有招标人不能接受的条件。</w:t>
            </w:r>
          </w:p>
          <w:p>
            <w:pPr>
              <w:pStyle w:val="8"/>
              <w:keepNext w:val="0"/>
              <w:keepLines w:val="0"/>
              <w:pageBreakBefore w:val="0"/>
              <w:widowControl/>
              <w:kinsoku w:val="0"/>
              <w:wordWrap/>
              <w:overflowPunct/>
              <w:topLinePunct w:val="0"/>
              <w:autoSpaceDE w:val="0"/>
              <w:autoSpaceDN w:val="0"/>
              <w:bidi w:val="0"/>
              <w:adjustRightInd w:val="0"/>
              <w:snapToGrid w:val="0"/>
              <w:spacing w:before="168" w:line="360" w:lineRule="auto"/>
              <w:ind w:left="449"/>
              <w:jc w:val="both"/>
              <w:textAlignment w:val="baseline"/>
              <w:rPr>
                <w:rFonts w:hint="eastAsia" w:ascii="宋体" w:hAnsi="宋体" w:eastAsia="宋体" w:cs="宋体"/>
                <w:b/>
                <w:bCs/>
                <w:snapToGrid/>
                <w:color w:val="auto"/>
                <w:kern w:val="2"/>
                <w:sz w:val="24"/>
                <w:szCs w:val="24"/>
                <w:highlight w:val="none"/>
                <w:lang w:val="en-US" w:eastAsia="zh-CN" w:bidi="ar-SA"/>
              </w:rPr>
            </w:pPr>
            <w:r>
              <w:rPr>
                <w:rFonts w:hint="eastAsia" w:ascii="宋体" w:hAnsi="宋体" w:eastAsia="宋体" w:cs="宋体"/>
                <w:b/>
                <w:bCs/>
                <w:snapToGrid/>
                <w:color w:val="auto"/>
                <w:kern w:val="2"/>
                <w:sz w:val="24"/>
                <w:szCs w:val="24"/>
                <w:highlight w:val="none"/>
                <w:lang w:val="en-US" w:eastAsia="zh-CN" w:bidi="ar-SA"/>
              </w:rPr>
              <w:t>第二个信封（报价文件）评审标准：</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（1）投标文件按照招标文件规定的格式、内容填写，字迹清晰可辨：</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a.投标函按招标文件规定填报了项目名称、标段号、补遗书编号（如有）、投标价（包括大写金额和小写金额）；</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b.已标价工程量清单说明文字与招标文件规定一致，未进行实质性修</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改和删减；</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c.投标文件组成齐全完整，内容均按规定填写。</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（2）投标文件上法定代表人或其委托代理人的签字、投标人的单位章盖章齐全，符合招标文件规定。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（3）投标总报价未超过招标文件设定的最高投标限价（如有）及最高评标限价(如有)。</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（4）投标总报价或调价函中报价的大写金额能够确定具体数值。</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（5）同一投标人未提交两个以上不同的投标报价，但招标文件要求提交备选投标的除外。</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（6）投标人若提交调价函，调价函符合招标文件第二章“投标人须知”第3.2.6项要求。</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（7）投标人若填写工程量固化清单，填写完毕的工程量固化清单未对工程量固化清单电子文件中的数据、格式和运算定义进行修改；工程量固化清单中的投标总报价和投标函大写金额报价一致。</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（8）投标文件正、副本份数符合招标文件第二章“投标人须知”第3.7.4项规定。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2.1.2</w:t>
            </w:r>
          </w:p>
        </w:tc>
        <w:tc>
          <w:tcPr>
            <w:tcW w:w="76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资格评审标准</w:t>
            </w:r>
          </w:p>
        </w:tc>
        <w:tc>
          <w:tcPr>
            <w:tcW w:w="3796"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投标人具备有效的营业执照、资质证书、安全生产许可证和基本账户开户许可证(如企业所在地已取消企业银行账户许可而无法提供开户许可证的，则需附上开户银行出具的“基本存款账户信息”或“人民银行账户管理系统查询的基本账户信息截图”)；</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（2）投标人的资质等级符合招标文件规定；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（3）投标人的财务状况符合招标文件规定；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（4）投标人的类似工程项目业绩符合招标文件规定；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（5）投标人的信誉符合招标文件规定；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（6）投标人的项目经理和项目总工资格（均含备选，如有）、在岗情况符合招标文件规定，并按规定在投标文件中签字确认；</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（7）投标人的其他要求符合招标文件规定；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（8）投标人不存在第二章“投标人须知”第1.4.3项或第1.4.4项规定的任何一种情形；</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（9）投标人符合第二章“投标人须知”第1.4.5项规定；</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（10）以联合体形式参与投标的，联合体各方均未再以自己名义单独或参加其他联合体在同一标段中投标；独立参与投标的，投标人未同时参加联合体在同一标段中投标。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44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2.2.1</w:t>
            </w:r>
          </w:p>
        </w:tc>
        <w:tc>
          <w:tcPr>
            <w:tcW w:w="761"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2" w:line="360" w:lineRule="auto"/>
              <w:ind w:left="144" w:right="131" w:hanging="100"/>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第一个信封评分分值构成（总分100分）</w:t>
            </w:r>
          </w:p>
        </w:tc>
        <w:tc>
          <w:tcPr>
            <w:tcW w:w="3796"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施工组织设计（A）：</w:t>
            </w:r>
            <w:r>
              <w:rPr>
                <w:rFonts w:hint="eastAsia" w:ascii="宋体" w:hAnsi="宋体" w:eastAsia="宋体" w:cs="宋体"/>
                <w:snapToGrid/>
                <w:color w:val="auto"/>
                <w:kern w:val="2"/>
                <w:sz w:val="24"/>
                <w:szCs w:val="24"/>
                <w:highlight w:val="none"/>
                <w:u w:val="single"/>
                <w:lang w:val="en-US" w:eastAsia="zh-CN" w:bidi="ar-SA"/>
              </w:rPr>
              <w:t>25分</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主要人员(B)：</w:t>
            </w:r>
            <w:r>
              <w:rPr>
                <w:rFonts w:hint="eastAsia" w:ascii="宋体" w:hAnsi="宋体" w:eastAsia="宋体" w:cs="宋体"/>
                <w:snapToGrid/>
                <w:color w:val="auto"/>
                <w:kern w:val="2"/>
                <w:sz w:val="24"/>
                <w:szCs w:val="24"/>
                <w:highlight w:val="none"/>
                <w:u w:val="single"/>
                <w:lang w:val="en-US" w:eastAsia="zh-CN" w:bidi="ar-SA"/>
              </w:rPr>
              <w:t>30分</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其他因素（C）</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技术能力</w:t>
            </w:r>
            <w:r>
              <w:rPr>
                <w:rFonts w:hint="eastAsia" w:ascii="宋体" w:hAnsi="宋体" w:eastAsia="宋体" w:cs="宋体"/>
                <w:snapToGrid/>
                <w:color w:val="auto"/>
                <w:kern w:val="2"/>
                <w:sz w:val="24"/>
                <w:szCs w:val="24"/>
                <w:highlight w:val="none"/>
                <w:lang w:val="en-US" w:eastAsia="zh-CN" w:bidi="ar-SA"/>
              </w:rPr>
              <w:footnoteReference w:id="1"/>
            </w:r>
            <w:r>
              <w:rPr>
                <w:rFonts w:hint="eastAsia" w:ascii="宋体" w:hAnsi="宋体" w:eastAsia="宋体" w:cs="宋体"/>
                <w:snapToGrid/>
                <w:color w:val="auto"/>
                <w:kern w:val="2"/>
                <w:sz w:val="24"/>
                <w:szCs w:val="24"/>
                <w:highlight w:val="none"/>
                <w:lang w:val="en-US" w:eastAsia="zh-CN" w:bidi="ar-SA"/>
              </w:rPr>
              <w:t>：</w:t>
            </w:r>
            <w:r>
              <w:rPr>
                <w:rFonts w:hint="eastAsia" w:ascii="宋体" w:hAnsi="宋体" w:eastAsia="宋体" w:cs="宋体"/>
                <w:snapToGrid/>
                <w:color w:val="auto"/>
                <w:kern w:val="2"/>
                <w:sz w:val="24"/>
                <w:szCs w:val="24"/>
                <w:highlight w:val="none"/>
                <w:u w:val="single"/>
                <w:lang w:val="en-US" w:eastAsia="zh-CN" w:bidi="ar-SA"/>
              </w:rPr>
              <w:t>20分</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color w:val="auto"/>
                <w:spacing w:val="-1"/>
                <w:highlight w:val="none"/>
                <w:lang w:val="en-US" w:eastAsia="zh-CN"/>
              </w:rPr>
            </w:pPr>
            <w:r>
              <w:rPr>
                <w:rFonts w:hint="eastAsia" w:ascii="宋体" w:hAnsi="宋体" w:eastAsia="宋体" w:cs="宋体"/>
                <w:snapToGrid/>
                <w:color w:val="auto"/>
                <w:kern w:val="2"/>
                <w:sz w:val="24"/>
                <w:szCs w:val="24"/>
                <w:highlight w:val="none"/>
                <w:lang w:val="en-US" w:eastAsia="zh-CN" w:bidi="ar-SA"/>
              </w:rPr>
              <w:t>履约信誉：</w:t>
            </w:r>
            <w:r>
              <w:rPr>
                <w:rFonts w:hint="eastAsia" w:ascii="宋体" w:hAnsi="宋体" w:eastAsia="宋体" w:cs="宋体"/>
                <w:snapToGrid/>
                <w:color w:val="auto"/>
                <w:kern w:val="2"/>
                <w:sz w:val="24"/>
                <w:szCs w:val="24"/>
                <w:highlight w:val="none"/>
                <w:u w:val="single"/>
                <w:lang w:val="en-US" w:eastAsia="zh-CN" w:bidi="ar-SA"/>
              </w:rPr>
              <w:t>25分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7" w:hRule="atLeast"/>
        </w:trPr>
        <w:tc>
          <w:tcPr>
            <w:tcW w:w="44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2.2.3</w:t>
            </w:r>
          </w:p>
        </w:tc>
        <w:tc>
          <w:tcPr>
            <w:tcW w:w="76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第二个信封详细评审标准</w:t>
            </w:r>
          </w:p>
        </w:tc>
        <w:tc>
          <w:tcPr>
            <w:tcW w:w="3796"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评标价的评审:</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(1)评标价计算公式:</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评标价=修正后投标总报价-暂估价-暂列金额（不含计日工总额）</w:t>
            </w:r>
            <w:r>
              <w:rPr>
                <w:rFonts w:hint="eastAsia" w:ascii="宋体" w:hAnsi="宋体" w:eastAsia="宋体" w:cs="宋体"/>
                <w:snapToGrid/>
                <w:color w:val="auto"/>
                <w:kern w:val="2"/>
                <w:sz w:val="24"/>
                <w:szCs w:val="24"/>
                <w:highlight w:val="none"/>
                <w:lang w:val="en-US" w:eastAsia="zh-CN" w:bidi="ar-SA"/>
              </w:rPr>
              <w:footnoteReference w:id="2"/>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（2）招标人最高投标限价：</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招标人最高投标限价=5689237.00元</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(3）最高评标限价：</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最高评标限价=招标人最高投标限价×95%</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（4）确定有效投标价：</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有效投标范围：小于或等于招标人最高投标限价的95%评标价为有效报价。大于招标人最高投标限价的95%的评标价，将否决其投标。</w:t>
            </w:r>
          </w:p>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若投标人的评标价小于最高评标限价85%的，启动澄清程序，要求投标人作出书面说明并提供相关证明材料。投标人不能合理说明或者不能提供相关证明资料的，评标委员会认定该投标人以低于成本报价竞标，否决其投标。当所有投标人的投标因此种情况被否决；或当因此种情况否决部分投标人后，有效投标人不足三家，评标委员会认为竞争不足的情况出现时，评标委员会可以否决全部投标。未否决全部投标的，评标委员会应当在评标报告中阐明理由并推荐中标候选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5" w:hRule="atLeast"/>
        </w:trPr>
        <w:tc>
          <w:tcPr>
            <w:tcW w:w="44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3.2.4</w:t>
            </w:r>
          </w:p>
        </w:tc>
        <w:tc>
          <w:tcPr>
            <w:tcW w:w="761"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通过第一个信封详细评审的投标人数量</w:t>
            </w:r>
          </w:p>
        </w:tc>
        <w:tc>
          <w:tcPr>
            <w:tcW w:w="3796" w:type="pct"/>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31" w:line="360" w:lineRule="auto"/>
              <w:ind w:right="48"/>
              <w:jc w:val="both"/>
              <w:textAlignment w:val="baseline"/>
              <w:rPr>
                <w:rFonts w:hint="eastAsia" w:ascii="宋体" w:hAnsi="宋体" w:eastAsia="宋体" w:cs="宋体"/>
                <w:snapToGrid/>
                <w:color w:val="auto"/>
                <w:kern w:val="2"/>
                <w:sz w:val="24"/>
                <w:szCs w:val="24"/>
                <w:highlight w:val="none"/>
                <w:lang w:val="en-US" w:eastAsia="zh-CN" w:bidi="ar-SA"/>
              </w:rPr>
            </w:pPr>
            <w:r>
              <w:rPr>
                <w:rFonts w:hint="eastAsia" w:ascii="宋体" w:hAnsi="宋体" w:eastAsia="宋体" w:cs="宋体"/>
                <w:snapToGrid/>
                <w:color w:val="auto"/>
                <w:kern w:val="2"/>
                <w:sz w:val="24"/>
                <w:szCs w:val="24"/>
                <w:highlight w:val="none"/>
                <w:lang w:val="en-US" w:eastAsia="zh-CN" w:bidi="ar-SA"/>
              </w:rPr>
              <w:t>按照投标人的商务和技术得分由高到低排序，选择前5名（不少于3名但不足5名时，按全部实际数量）通过详细评审。</w:t>
            </w:r>
            <w:r>
              <w:rPr>
                <w:rFonts w:hint="eastAsia" w:ascii="宋体" w:hAnsi="宋体" w:eastAsia="宋体" w:cs="宋体"/>
                <w:snapToGrid/>
                <w:color w:val="auto"/>
                <w:kern w:val="2"/>
                <w:sz w:val="24"/>
                <w:szCs w:val="24"/>
                <w:highlight w:val="none"/>
                <w:lang w:val="en-US" w:eastAsia="zh-CN" w:bidi="ar-SA"/>
              </w:rPr>
              <w:footnoteReference w:id="3"/>
            </w:r>
          </w:p>
        </w:tc>
      </w:tr>
    </w:tbl>
    <w:p>
      <w:pPr>
        <w:keepNext w:val="0"/>
        <w:keepLines w:val="0"/>
        <w:pageBreakBefore w:val="0"/>
        <w:widowControl/>
        <w:kinsoku w:val="0"/>
        <w:wordWrap/>
        <w:overflowPunct/>
        <w:topLinePunct w:val="0"/>
        <w:autoSpaceDE w:val="0"/>
        <w:autoSpaceDN w:val="0"/>
        <w:bidi w:val="0"/>
        <w:adjustRightInd w:val="0"/>
        <w:snapToGrid w:val="0"/>
        <w:spacing w:before="58" w:line="360" w:lineRule="auto"/>
        <w:ind w:left="295" w:firstLine="480" w:firstLineChars="200"/>
        <w:jc w:val="both"/>
        <w:textAlignment w:val="baseline"/>
        <w:rPr>
          <w:rFonts w:hint="eastAsia" w:ascii="宋体" w:hAnsi="宋体" w:eastAsia="宋体" w:cs="宋体"/>
          <w:snapToGrid/>
          <w:color w:val="auto"/>
          <w:kern w:val="2"/>
          <w:sz w:val="24"/>
          <w:szCs w:val="24"/>
          <w:highlight w:val="none"/>
          <w:lang w:val="en-US" w:eastAsia="zh-CN" w:bidi="ar-SA"/>
        </w:rPr>
      </w:pPr>
    </w:p>
    <w:p>
      <w:pPr>
        <w:keepNext w:val="0"/>
        <w:keepLines w:val="0"/>
        <w:pageBreakBefore w:val="0"/>
        <w:tabs>
          <w:tab w:val="left" w:pos="900"/>
        </w:tabs>
        <w:wordWrap/>
        <w:overflowPunct/>
        <w:topLinePunct w:val="0"/>
        <w:bidi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tbl>
      <w:tblPr>
        <w:tblStyle w:val="9"/>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00"/>
        <w:gridCol w:w="445"/>
        <w:gridCol w:w="452"/>
        <w:gridCol w:w="616"/>
        <w:gridCol w:w="739"/>
        <w:gridCol w:w="524"/>
        <w:gridCol w:w="49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2003" w:type="pct"/>
            <w:gridSpan w:val="6"/>
            <w:tcBorders>
              <w:bottom w:val="single" w:color="auto" w:sz="4" w:space="0"/>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34" w:line="36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rPr>
              <w:t>评分因素与权重分值</w:t>
            </w:r>
          </w:p>
        </w:tc>
        <w:tc>
          <w:tcPr>
            <w:tcW w:w="2996" w:type="pct"/>
            <w:vMerge w:val="restart"/>
            <w:tcBorders>
              <w:bottom w:val="single" w:color="auto" w:sz="4" w:space="0"/>
              <w:right w:val="single" w:color="auto" w:sz="4" w:space="0"/>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360" w:lineRule="auto"/>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293"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360" w:lineRule="auto"/>
              <w:ind w:left="213"/>
              <w:jc w:val="both"/>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7"/>
                <w:sz w:val="22"/>
                <w:szCs w:val="22"/>
                <w:highlight w:val="none"/>
              </w:rPr>
              <w:t>条款号</w:t>
            </w:r>
          </w:p>
        </w:tc>
        <w:tc>
          <w:tcPr>
            <w:tcW w:w="497" w:type="pct"/>
            <w:gridSpan w:val="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360" w:lineRule="auto"/>
              <w:ind w:left="148"/>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评分因素</w:t>
            </w:r>
          </w:p>
        </w:tc>
        <w:tc>
          <w:tcPr>
            <w:tcW w:w="398"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36" w:line="360" w:lineRule="auto"/>
              <w:ind w:left="114" w:right="100"/>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评分因素</w:t>
            </w:r>
            <w:r>
              <w:rPr>
                <w:rFonts w:hint="eastAsia" w:ascii="宋体" w:hAnsi="宋体" w:eastAsia="宋体" w:cs="宋体"/>
                <w:color w:val="auto"/>
                <w:spacing w:val="6"/>
                <w:sz w:val="22"/>
                <w:szCs w:val="22"/>
                <w:highlight w:val="none"/>
              </w:rPr>
              <w:t>权重</w:t>
            </w:r>
            <w:r>
              <w:rPr>
                <w:rFonts w:hint="eastAsia" w:ascii="宋体" w:hAnsi="宋体" w:eastAsia="宋体" w:cs="宋体"/>
                <w:color w:val="auto"/>
                <w:spacing w:val="4"/>
                <w:sz w:val="22"/>
                <w:szCs w:val="22"/>
                <w:highlight w:val="none"/>
              </w:rPr>
              <w:t>分值</w:t>
            </w:r>
          </w:p>
        </w:tc>
        <w:tc>
          <w:tcPr>
            <w:tcW w:w="472"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360" w:lineRule="auto"/>
              <w:ind w:left="152"/>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8"/>
                <w:sz w:val="22"/>
                <w:szCs w:val="22"/>
                <w:highlight w:val="none"/>
              </w:rPr>
              <w:t>各评分因素细分项</w:t>
            </w:r>
          </w:p>
        </w:tc>
        <w:tc>
          <w:tcPr>
            <w:tcW w:w="342" w:type="pct"/>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360" w:lineRule="auto"/>
              <w:ind w:left="194"/>
              <w:jc w:val="center"/>
              <w:textAlignment w:val="baseline"/>
              <w:rPr>
                <w:rFonts w:hint="eastAsia" w:ascii="宋体" w:hAnsi="宋体" w:eastAsia="宋体" w:cs="宋体"/>
                <w:color w:val="auto"/>
                <w:sz w:val="22"/>
                <w:szCs w:val="22"/>
                <w:highlight w:val="none"/>
              </w:rPr>
            </w:pPr>
            <w:r>
              <w:rPr>
                <w:rFonts w:hint="eastAsia" w:ascii="宋体" w:hAnsi="宋体" w:eastAsia="宋体" w:cs="宋体"/>
                <w:color w:val="auto"/>
                <w:spacing w:val="4"/>
                <w:sz w:val="22"/>
                <w:szCs w:val="22"/>
                <w:highlight w:val="none"/>
              </w:rPr>
              <w:t>分值</w:t>
            </w:r>
          </w:p>
        </w:tc>
        <w:tc>
          <w:tcPr>
            <w:tcW w:w="2996"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6" w:hRule="atLeast"/>
        </w:trPr>
        <w:tc>
          <w:tcPr>
            <w:tcW w:w="29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color w:val="auto"/>
                <w:spacing w:val="8"/>
                <w:kern w:val="2"/>
                <w:sz w:val="22"/>
                <w:szCs w:val="22"/>
                <w:highlight w:val="none"/>
                <w:lang w:val="en-US" w:eastAsia="zh-CN" w:bidi="ar-SA"/>
              </w:rPr>
            </w:pPr>
            <w:r>
              <w:rPr>
                <w:rFonts w:hint="eastAsia" w:ascii="宋体" w:hAnsi="宋体" w:eastAsia="宋体" w:cs="宋体"/>
                <w:color w:val="auto"/>
                <w:spacing w:val="8"/>
                <w:kern w:val="2"/>
                <w:sz w:val="22"/>
                <w:szCs w:val="22"/>
                <w:highlight w:val="none"/>
                <w:lang w:val="en-US" w:eastAsia="zh-CN" w:bidi="ar-SA"/>
              </w:rPr>
              <w:t>2.2.2（1）</w:t>
            </w:r>
          </w:p>
        </w:tc>
        <w:tc>
          <w:tcPr>
            <w:tcW w:w="497"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color w:val="auto"/>
                <w:spacing w:val="8"/>
                <w:kern w:val="2"/>
                <w:sz w:val="22"/>
                <w:szCs w:val="22"/>
                <w:highlight w:val="none"/>
                <w:lang w:val="en-US" w:eastAsia="zh-CN" w:bidi="ar-SA"/>
              </w:rPr>
            </w:pPr>
            <w:r>
              <w:rPr>
                <w:rFonts w:hint="eastAsia" w:ascii="宋体" w:hAnsi="宋体" w:eastAsia="宋体" w:cs="宋体"/>
                <w:color w:val="auto"/>
                <w:spacing w:val="8"/>
                <w:kern w:val="2"/>
                <w:sz w:val="22"/>
                <w:szCs w:val="22"/>
                <w:highlight w:val="none"/>
                <w:lang w:val="en-US" w:eastAsia="zh-CN" w:bidi="ar-SA"/>
              </w:rPr>
              <w:t>施工组织设计</w:t>
            </w:r>
          </w:p>
        </w:tc>
        <w:tc>
          <w:tcPr>
            <w:tcW w:w="398"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color w:val="auto"/>
                <w:spacing w:val="8"/>
                <w:kern w:val="2"/>
                <w:sz w:val="22"/>
                <w:szCs w:val="22"/>
                <w:highlight w:val="none"/>
                <w:lang w:val="en-US" w:eastAsia="zh-CN" w:bidi="ar-SA"/>
              </w:rPr>
            </w:pPr>
            <w:r>
              <w:rPr>
                <w:rFonts w:hint="eastAsia" w:ascii="宋体" w:hAnsi="宋体" w:eastAsia="宋体" w:cs="宋体"/>
                <w:color w:val="auto"/>
                <w:spacing w:val="8"/>
                <w:kern w:val="2"/>
                <w:sz w:val="22"/>
                <w:szCs w:val="22"/>
                <w:highlight w:val="none"/>
                <w:lang w:val="en-US" w:eastAsia="zh-CN" w:bidi="ar-SA"/>
              </w:rPr>
              <w:t>25分</w:t>
            </w:r>
          </w:p>
        </w:tc>
        <w:tc>
          <w:tcPr>
            <w:tcW w:w="4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总体施工组织布置及规划</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9分</w:t>
            </w:r>
          </w:p>
        </w:tc>
        <w:tc>
          <w:tcPr>
            <w:tcW w:w="29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(1)对项目的基本情况了解全面、准确，施工总体布置规划、施工进度计划科学合理、可操作性强，按《广东省公路工程施工标准化指南》及《公路工程施工安全防护设施技术指南》执行，得7.3～9分；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(2)满足工程建设需要，施工总体布置规划、施工进度计划基本可行，得5.5～7.2分；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(3)一般但不被评定为不响应的,得5.4分。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6" w:hRule="atLeast"/>
        </w:trPr>
        <w:tc>
          <w:tcPr>
            <w:tcW w:w="2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p>
        </w:tc>
        <w:tc>
          <w:tcPr>
            <w:tcW w:w="49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p>
        </w:tc>
        <w:tc>
          <w:tcPr>
            <w:tcW w:w="398"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p>
        </w:tc>
        <w:tc>
          <w:tcPr>
            <w:tcW w:w="47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重点、难点和关键工程的施工方案与技术措施</w:t>
            </w:r>
          </w:p>
        </w:tc>
        <w:tc>
          <w:tcPr>
            <w:tcW w:w="34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8分</w:t>
            </w:r>
          </w:p>
        </w:tc>
        <w:tc>
          <w:tcPr>
            <w:tcW w:w="2996"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对项目重点、难点和关键工程认识分析透彻，能充分发挥自身优势，积极采用“四新”技术，制定的施工方案与技术措施针对性和可操作性强，重点突出的，按《广东省公路工程施工标准化指南》及《公路工程施工安全防护设施技术指南》执行，得6.5～8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(2)对项目重点、难点和关键工程认识基本到位，施工方案与技术措施基本可行，重点较为突出的，得4.9～6.4分；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(3)一般但不被评定为不响应的,得4.8分。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9" w:hRule="atLeast"/>
        </w:trPr>
        <w:tc>
          <w:tcPr>
            <w:tcW w:w="293" w:type="pct"/>
            <w:vMerge w:val="continue"/>
            <w:tcBorders>
              <w:top w:val="single" w:color="auto" w:sz="4" w:space="0"/>
              <w:left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color w:val="auto"/>
                <w:sz w:val="22"/>
                <w:szCs w:val="22"/>
                <w:highlight w:val="none"/>
              </w:rPr>
            </w:pPr>
          </w:p>
        </w:tc>
        <w:tc>
          <w:tcPr>
            <w:tcW w:w="497" w:type="pct"/>
            <w:gridSpan w:val="2"/>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highlight w:val="none"/>
              </w:rPr>
            </w:pPr>
          </w:p>
        </w:tc>
        <w:tc>
          <w:tcPr>
            <w:tcW w:w="398" w:type="pct"/>
            <w:vMerge w:val="continue"/>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z w:val="22"/>
                <w:szCs w:val="22"/>
                <w:highlight w:val="none"/>
              </w:rPr>
            </w:pPr>
          </w:p>
        </w:tc>
        <w:tc>
          <w:tcPr>
            <w:tcW w:w="472" w:type="pct"/>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工期、质量、安全、环保水保、文明施工保证措施</w:t>
            </w:r>
          </w:p>
        </w:tc>
        <w:tc>
          <w:tcPr>
            <w:tcW w:w="342" w:type="pct"/>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8分</w:t>
            </w:r>
          </w:p>
        </w:tc>
        <w:tc>
          <w:tcPr>
            <w:tcW w:w="2996" w:type="pct"/>
            <w:tcBorders>
              <w:top w:val="single" w:color="auto" w:sz="4" w:space="0"/>
              <w:bottom w:val="single" w:color="auto" w:sz="4"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能够准确预判分析工期、质量、安全、环保、水保、文明施工目标实现的主要影响因素，拟采取预防保证措施针对性强、科学有效，重点突出的，按《广东省公路工程施工标准化指南》及《公路工程施工安全防护设施技术指南》执行，得6.5～8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(2)对工期、质量、安全、环保、水保等风险有一定认识，预防保证措施基本可行，重点较为突出的，得4.9～6.4分；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(3)一般但不被评定为不响应的,得4.8分。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5" w:hRule="atLeast"/>
        </w:trPr>
        <w:tc>
          <w:tcPr>
            <w:tcW w:w="293" w:type="pct"/>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2.2.2（2）</w:t>
            </w:r>
          </w:p>
        </w:tc>
        <w:tc>
          <w:tcPr>
            <w:tcW w:w="497" w:type="pct"/>
            <w:gridSpan w:val="2"/>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主要人员</w:t>
            </w:r>
          </w:p>
        </w:tc>
        <w:tc>
          <w:tcPr>
            <w:tcW w:w="398" w:type="pct"/>
            <w:vMerge w:val="restart"/>
            <w:tcBorders>
              <w:bottom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30分</w:t>
            </w:r>
          </w:p>
        </w:tc>
        <w:tc>
          <w:tcPr>
            <w:tcW w:w="47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项目经理任职资格与业绩</w:t>
            </w:r>
          </w:p>
        </w:tc>
        <w:tc>
          <w:tcPr>
            <w:tcW w:w="34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15分</w:t>
            </w:r>
          </w:p>
        </w:tc>
        <w:tc>
          <w:tcPr>
            <w:tcW w:w="2996" w:type="pct"/>
            <w:noWrap w:val="0"/>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（1）项目经理在满足资格审查条件的最低要求时，得12分；</w:t>
            </w:r>
          </w:p>
          <w:p>
            <w:pPr>
              <w:pStyle w:val="2"/>
              <w:numPr>
                <w:ilvl w:val="0"/>
                <w:numId w:val="0"/>
              </w:numPr>
              <w:rPr>
                <w:rFonts w:hint="eastAsia" w:ascii="宋体" w:hAnsi="宋体" w:eastAsia="宋体" w:cs="宋体"/>
                <w:snapToGrid/>
                <w:color w:val="auto"/>
                <w:kern w:val="2"/>
                <w:sz w:val="22"/>
                <w:szCs w:val="22"/>
                <w:highlight w:val="none"/>
                <w:lang w:val="en-US" w:eastAsia="zh-CN" w:bidi="ar-SA"/>
              </w:rPr>
            </w:pPr>
            <w:r>
              <w:rPr>
                <w:rFonts w:hint="eastAsia"/>
                <w:color w:val="auto"/>
                <w:highlight w:val="none"/>
                <w:lang w:val="en-US" w:eastAsia="zh-CN"/>
              </w:rPr>
              <w:t>（</w:t>
            </w:r>
            <w:r>
              <w:rPr>
                <w:rFonts w:hint="eastAsia" w:ascii="宋体" w:hAnsi="宋体" w:eastAsia="宋体" w:cs="宋体"/>
                <w:snapToGrid/>
                <w:color w:val="auto"/>
                <w:kern w:val="2"/>
                <w:sz w:val="22"/>
                <w:szCs w:val="22"/>
                <w:highlight w:val="none"/>
                <w:lang w:val="en-US" w:eastAsia="zh-CN" w:bidi="ar-SA"/>
              </w:rPr>
              <w:t>2）每增加担任1个类似工程项目经理岗位工作经验的，加3分，最多加3分。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注：1、如投标人不提供备选项目经理，则本项目得分按主选项目经理计算；</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ind w:firstLine="440" w:firstLineChars="200"/>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2、如投标人提供备选项目经理，则本项目得分按主备选项目经理中最低得分计算。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3" w:hRule="atLeast"/>
        </w:trPr>
        <w:tc>
          <w:tcPr>
            <w:tcW w:w="293" w:type="pct"/>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p>
        </w:tc>
        <w:tc>
          <w:tcPr>
            <w:tcW w:w="497" w:type="pct"/>
            <w:gridSpan w:val="2"/>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p>
        </w:tc>
        <w:tc>
          <w:tcPr>
            <w:tcW w:w="398" w:type="pct"/>
            <w:vMerge w:val="continue"/>
            <w:tcBorders>
              <w:top w:val="nil"/>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p>
        </w:tc>
        <w:tc>
          <w:tcPr>
            <w:tcW w:w="47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项目总工任职资格与业绩</w:t>
            </w:r>
          </w:p>
        </w:tc>
        <w:tc>
          <w:tcPr>
            <w:tcW w:w="342"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15分</w:t>
            </w:r>
          </w:p>
        </w:tc>
        <w:tc>
          <w:tcPr>
            <w:tcW w:w="2996"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项目总工在满足资格审查条件的最低要求时，得15分。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注：1、若投标人不提供备选项目总工，则本项目得分按主选项目总工计算；</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ind w:firstLine="440" w:firstLineChars="200"/>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2、若投标人提供备选项目总工，则本项目得分按主备选项目总工中最低得分计算。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1" w:hRule="atLeast"/>
        </w:trPr>
        <w:tc>
          <w:tcPr>
            <w:tcW w:w="2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2.2.2（3）</w:t>
            </w:r>
          </w:p>
        </w:tc>
        <w:tc>
          <w:tcPr>
            <w:tcW w:w="197" w:type="pct"/>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其他因素</w:t>
            </w:r>
          </w:p>
        </w:tc>
        <w:tc>
          <w:tcPr>
            <w:tcW w:w="300" w:type="pct"/>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技术能力</w:t>
            </w:r>
          </w:p>
        </w:tc>
        <w:tc>
          <w:tcPr>
            <w:tcW w:w="3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20分</w:t>
            </w:r>
          </w:p>
        </w:tc>
        <w:tc>
          <w:tcPr>
            <w:tcW w:w="3811" w:type="pct"/>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（1）投标人获得与项目施工有关的国家级工法、专利（发明专利或实用新型专利）、国家级科学技术进步奖、鲁班奖、詹天佑奖、主编或参编过国家标准，每项加2分；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（2）投标人获得省级科学技术进步奖，主编或参编过的行业或地方（指省级）标准，每项加1分；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注：本项累计加分最高20分，不重复加分，按较高分只计一次，提供相关证明材料的扫描件。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293"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p>
        </w:tc>
        <w:tc>
          <w:tcPr>
            <w:tcW w:w="197" w:type="pct"/>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p>
        </w:tc>
        <w:tc>
          <w:tcPr>
            <w:tcW w:w="300" w:type="pct"/>
            <w:noWrap w:val="0"/>
            <w:textDirection w:val="tbRlV"/>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履约信誉</w:t>
            </w:r>
          </w:p>
        </w:tc>
        <w:tc>
          <w:tcPr>
            <w:tcW w:w="398" w:type="pct"/>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25分</w:t>
            </w:r>
          </w:p>
        </w:tc>
        <w:tc>
          <w:tcPr>
            <w:tcW w:w="3811" w:type="pct"/>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1.信用等级（10分）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AA、A、B、C级单位的信用等级分得分分别10、9.5、8.9、7.3分。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注：信用等级的确定原则遵循投标人须知前附表10.2款的规定。</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2.履约情况（15分）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若没出现下述情形得满分；</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投标文件递交截止日前1年内（2023年8月1日至投标文件递交截止日），投标人因公路工程(含附属设施)质量、安全、履约或招标投标问题等原因被：</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(1)交通运输部行政处罚的，扣5分/次。</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(2)广东省交通运输厅行政处罚的，扣3分/次。</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(3)茂名市交通运输局行政处罚的，扣1.5分/次。</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(4)广东省交通运输厅正式约谈的，扣0.1分/次。</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同一事项同时被多个部门行政处罚或正式约谈只按最高的扣分计算1次。如果扣完本项分值，可以从总分中扣。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5000" w:type="pct"/>
            <w:gridSpan w:val="7"/>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790" w:type="pct"/>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条款号</w:t>
            </w:r>
          </w:p>
        </w:tc>
        <w:tc>
          <w:tcPr>
            <w:tcW w:w="4209" w:type="pct"/>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both"/>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补充或修改的内容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5" w:hRule="atLeast"/>
        </w:trPr>
        <w:tc>
          <w:tcPr>
            <w:tcW w:w="790" w:type="pct"/>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w:t>
            </w:r>
          </w:p>
        </w:tc>
        <w:tc>
          <w:tcPr>
            <w:tcW w:w="4209" w:type="pct"/>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将评标办法原文第1条“评标办法”改为“评标办法、组织及工作程序”，原文内容修改如下：</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1.评标办法、组织及工作程序</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1.1评标办法</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本次评标采用双信封的技术评分最低标价法。评标委员会对满足招标文件实质性要求的投标文件，按照本章第2.2款规定对通过初步评审的投标人的施工组织设计、主要人员、其他因素等进行评分，按照得分由高到低排序，对排名在招标文件规定数量前5名（不少于3名但不足5名时，按全部实际数量）的投标人的报价文件进行评审，按照评标价由低到高的顺序推荐中标候选人的评标办法。但投标报价低于其成本的除外。评标价相等时，评标委员会应按照评标办法前附表规定的优先次序推荐中标候选人或确定中标人。</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1.2评标组织</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1.2.1协助工作组</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招标人可在评标工作开始前成立协助工作组，选派熟悉招标工作、政治素质高的人员组成，协助评标委员会工作。协助工作组人员的具体数量由招标人视评标工作量确定。</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招标人可以协助评标委员会开展下列工作并提供相关信息:</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(1)根据招标文件，编制评标使用的相应表格；</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(2)对投标报价进行算术性校核(如采用固化工程量清单，本步骤省略)；</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(3)以评标标准和方法为依据，列出投标文件相对于招标文件的所有偏差，并进行归类汇总；</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(4)查询全国公路建设市场监督管理系统，对投标人的资质、业绩、主要人员资历和目前在岗情况、信用等级进行核实。</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招标人不得对投标文件作出任何评价，不得故意遗漏或者片面摘录，不得在评标委员会对所有偏差定性之前透露存有偏差的投标人名称。</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1.2.2评标委员会</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评标委员会由招标人按国家、广东省等的有关规定依法组建。评标委员会的主要工作内容包括:</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(1)评标委员会开始评标工作之前，首先听取招标人、协助工作组关于工程情况和辅助工作的说明，并认真研读招标文件，获取评标所需的重要信息和数据；</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(2)对协助工作组提供的评标工作用表和评标内容进行核查；</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(3)按照以下1.3款程序进行各项评审工作。</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1.3评审工作程序</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(一)第一信封(商务及技术文件):</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1、初步评审:包括形式评审与响应性评审、资格评审(适用于未进行资格预审)；</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详细评审（评审打分）:评标委员会首先对通过第一信封初步评审的投标文件进行详细评审，对投标人的施工组织设计、主要人员、其他因素等分别评审打分，并按照综合得分由高到低排序，排名在招标文件规定数量前5名（不少于3名但不足5名时，按全部实际数量）的投标人，其投标文件第一信封（商务及技术文件）通过详细评审；</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(二)第二信封(报价文件):</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1、初步评审:</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(1)只有对投标文件第一个信封通过详细评审的投标人的报价文件才能继续参加第二信封报价文件的形式评审和响应性评审；</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(2)报价算术性修正(如采用固化工程量清单，本步骤省略)；</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2、详细评审:计算评标价；</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(三)投标文件相关信息的核查。</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(四)投标文件的澄清和说明(如有)</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（五）按评标办法规定按照第二信封的评标价由低到高的顺序推荐中标候选人，编写评标报告。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790" w:type="pct"/>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3.2.2</w:t>
            </w:r>
          </w:p>
        </w:tc>
        <w:tc>
          <w:tcPr>
            <w:tcW w:w="4209" w:type="pct"/>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将评标办法原文第3.2.2项修改如下：</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投标人的商务和技术得分分值计算保留小数点后三位，小数点后第四位“四舍五入”。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790" w:type="pct"/>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3.2.3</w:t>
            </w:r>
          </w:p>
        </w:tc>
        <w:tc>
          <w:tcPr>
            <w:tcW w:w="4209" w:type="pct"/>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将评标办法范本原文第3.2.3项细化如下：</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投标人的商务和技术得分=A+B+C。</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除履约信誉、技术能力得分外，投标文件各评分因素细分项得分均不应低于其权重分的60%，评分低于权重分值60%的，评标委员会成员应当在评标报告中作出说明。计算投标人技术得分时：对各评分因素细分项中取消一个最高、一个最低分后计算算术平均值的和为投标人的最终技术得分，平均值计算保留小数点后三位，小数点后第四位</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“四舍五入”。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8" w:hRule="atLeast"/>
        </w:trPr>
        <w:tc>
          <w:tcPr>
            <w:tcW w:w="790" w:type="pct"/>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3.6</w:t>
            </w:r>
          </w:p>
        </w:tc>
        <w:tc>
          <w:tcPr>
            <w:tcW w:w="4209" w:type="pct"/>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3.6.2项(2)目末增加以下条款：</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g.当一家以上投标人评标价相同时，若各投标人工程量清单细目单价也相同，视为串标(一个标段仅一工作细目报价的除外)。</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h.广东省实施《中华人民共和国招标投标法》办法第十六条规定的情形。</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增加3.6.3款：</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3.6.3依法必须进行招标的项目，除第一中标候选人或者中标人，其他投标人存在串通投标、弄虚作假、行贿情形且在评标过程中未被发现的，视为对中标结果没有造成实质性影响，招标人可以依法继续开展招标活动。投标人的违法行为由行政监督部门依法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5" w:hRule="atLeast"/>
        </w:trPr>
        <w:tc>
          <w:tcPr>
            <w:tcW w:w="790" w:type="pct"/>
            <w:gridSpan w:val="3"/>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center"/>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3.9</w:t>
            </w:r>
          </w:p>
        </w:tc>
        <w:tc>
          <w:tcPr>
            <w:tcW w:w="4209" w:type="pct"/>
            <w:gridSpan w:val="4"/>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增加3.9.3-3.9.7项：</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3.9.3推荐中标候选人方式：(1)已被推荐为某一标段的第一中标候选人，自动失去其在本次招标中其他标段的中标候选人资格。(2)按标段最高投标限价由高到低顺序依次选定各标段中标候选人，如果出现投标人在多个标段都排名第一，将确定该投标人为最高投标限价较高的标段的第一中标候选人，同时该投标人自动失去在本次招标中其他标段的中标候选人资格，其他标段的综合排名名次高者自动上升为中标候选人，以此类推。</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3.9.4通过第一个信封商务及技术文件评审的投标人少于3个的，评标委员会应否决全部投标。</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3.9.5通过第一个信封商务及技术文件评审的投标人在3个及以上的，招标人应当按照招标文件规定的程序进行第二个信封报价文件开标；在对报价文件进行评审后，有效投标不足3个的，评标委员会可以否决全部投标。未否决全部投标的，评标委员会应当在评标报告中阐明理由并推荐中标候选人。</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3.9.6如果发生无法确定推荐中标候选人的其他意外情况，评标委员会可建议招标人重新招标。</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3.9.7本招标文件规定的否决投标条款包含在以下条款：</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(1)招标公告第3点投标人资格要求；</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(2)投标人须知1.4.3项、1.4.4项、1.4.5项、1.11.1项、1.12.2项、3.4.2项、3.5.11项、3.6.1项；</w:t>
            </w:r>
          </w:p>
          <w:p>
            <w:pPr>
              <w:keepNext w:val="0"/>
              <w:keepLines w:val="0"/>
              <w:pageBreakBefore w:val="0"/>
              <w:widowControl/>
              <w:kinsoku w:val="0"/>
              <w:wordWrap/>
              <w:overflowPunct/>
              <w:topLinePunct w:val="0"/>
              <w:autoSpaceDE w:val="0"/>
              <w:autoSpaceDN w:val="0"/>
              <w:bidi w:val="0"/>
              <w:adjustRightInd w:val="0"/>
              <w:snapToGrid w:val="0"/>
              <w:spacing w:before="58" w:line="360" w:lineRule="auto"/>
              <w:jc w:val="left"/>
              <w:textAlignment w:val="baseline"/>
              <w:rPr>
                <w:rFonts w:hint="eastAsia" w:ascii="宋体" w:hAnsi="宋体" w:eastAsia="宋体" w:cs="宋体"/>
                <w:snapToGrid/>
                <w:color w:val="auto"/>
                <w:kern w:val="2"/>
                <w:sz w:val="22"/>
                <w:szCs w:val="22"/>
                <w:highlight w:val="none"/>
                <w:lang w:val="en-US" w:eastAsia="zh-CN" w:bidi="ar-SA"/>
              </w:rPr>
            </w:pPr>
            <w:r>
              <w:rPr>
                <w:rFonts w:hint="eastAsia" w:ascii="宋体" w:hAnsi="宋体" w:eastAsia="宋体" w:cs="宋体"/>
                <w:snapToGrid/>
                <w:color w:val="auto"/>
                <w:kern w:val="2"/>
                <w:sz w:val="22"/>
                <w:szCs w:val="22"/>
                <w:highlight w:val="none"/>
                <w:lang w:val="en-US" w:eastAsia="zh-CN" w:bidi="ar-SA"/>
              </w:rPr>
              <w:t>(3)本评标办法的否决条款。</w:t>
            </w:r>
          </w:p>
        </w:tc>
      </w:tr>
    </w:tbl>
    <w:p>
      <w:pPr>
        <w:spacing w:line="360" w:lineRule="auto"/>
        <w:ind w:firstLine="562" w:firstLineChars="200"/>
        <w:jc w:val="center"/>
        <w:outlineLvl w:val="1"/>
        <w:rPr>
          <w:rFonts w:hint="default" w:ascii="宋体" w:hAnsi="宋体" w:eastAsia="宋体" w:cs="宋体"/>
          <w:b/>
          <w:bCs/>
          <w:snapToGrid w:val="0"/>
          <w:color w:val="auto"/>
          <w:kern w:val="0"/>
          <w:sz w:val="28"/>
          <w:szCs w:val="28"/>
          <w:highlight w:val="none"/>
          <w:lang w:val="en-US" w:eastAsia="zh-CN"/>
        </w:rPr>
      </w:pPr>
      <w:bookmarkStart w:id="0" w:name="_Toc21098"/>
      <w:r>
        <w:rPr>
          <w:rFonts w:hint="eastAsia" w:ascii="宋体" w:hAnsi="宋体" w:eastAsia="宋体" w:cs="宋体"/>
          <w:b/>
          <w:bCs/>
          <w:snapToGrid w:val="0"/>
          <w:color w:val="auto"/>
          <w:kern w:val="0"/>
          <w:sz w:val="28"/>
          <w:szCs w:val="28"/>
          <w:highlight w:val="none"/>
          <w:lang w:val="en-US" w:eastAsia="zh-CN"/>
        </w:rPr>
        <w:br w:type="page"/>
      </w:r>
      <w:r>
        <w:rPr>
          <w:rFonts w:hint="eastAsia" w:ascii="宋体" w:hAnsi="宋体" w:eastAsia="宋体" w:cs="宋体"/>
          <w:b/>
          <w:bCs/>
          <w:snapToGrid w:val="0"/>
          <w:color w:val="auto"/>
          <w:kern w:val="0"/>
          <w:sz w:val="28"/>
          <w:szCs w:val="28"/>
          <w:highlight w:val="none"/>
          <w:lang w:val="en-US" w:eastAsia="zh-CN"/>
        </w:rPr>
        <w:t>评标办法正文</w:t>
      </w:r>
    </w:p>
    <w:p>
      <w:pPr>
        <w:spacing w:line="360" w:lineRule="auto"/>
        <w:ind w:firstLine="482" w:firstLineChars="200"/>
        <w:outlineLvl w:val="1"/>
        <w:rPr>
          <w:rFonts w:hint="eastAsia" w:ascii="宋体" w:hAnsi="宋体" w:eastAsia="宋体" w:cs="宋体"/>
          <w:b/>
          <w:bCs/>
          <w:snapToGrid w:val="0"/>
          <w:color w:val="auto"/>
          <w:kern w:val="0"/>
          <w:sz w:val="24"/>
          <w:highlight w:val="none"/>
          <w:lang w:eastAsia="zh-CN"/>
        </w:rPr>
      </w:pPr>
      <w:r>
        <w:rPr>
          <w:rFonts w:hint="eastAsia" w:ascii="宋体" w:hAnsi="宋体" w:eastAsia="宋体" w:cs="宋体"/>
          <w:b/>
          <w:bCs/>
          <w:snapToGrid w:val="0"/>
          <w:color w:val="auto"/>
          <w:kern w:val="0"/>
          <w:sz w:val="24"/>
          <w:highlight w:val="none"/>
          <w:lang w:eastAsia="zh-CN"/>
        </w:rPr>
        <w:t>1.评标方法</w:t>
      </w:r>
      <w:bookmarkEnd w:id="0"/>
    </w:p>
    <w:p>
      <w:pPr>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本次评标采用</w:t>
      </w:r>
      <w:r>
        <w:rPr>
          <w:rFonts w:hint="eastAsia" w:ascii="宋体" w:hAnsi="宋体" w:eastAsia="宋体" w:cs="宋体"/>
          <w:b/>
          <w:bCs/>
          <w:snapToGrid w:val="0"/>
          <w:color w:val="auto"/>
          <w:kern w:val="0"/>
          <w:sz w:val="24"/>
          <w:highlight w:val="none"/>
          <w:lang w:eastAsia="zh-CN"/>
        </w:rPr>
        <w:t>双信封的技术评分最低标价法</w:t>
      </w:r>
      <w:r>
        <w:rPr>
          <w:rFonts w:hint="eastAsia" w:ascii="宋体" w:hAnsi="宋体" w:eastAsia="宋体" w:cs="宋体"/>
          <w:snapToGrid w:val="0"/>
          <w:color w:val="auto"/>
          <w:kern w:val="0"/>
          <w:sz w:val="24"/>
          <w:highlight w:val="none"/>
          <w:lang w:eastAsia="zh-CN"/>
        </w:rPr>
        <w:t>。评标委员会对满足招标文件实质性要求的投标文件的施工组织设计、主要人员、技术能力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先次序推荐中标候选人或确定中标人。</w:t>
      </w:r>
    </w:p>
    <w:p>
      <w:pPr>
        <w:spacing w:line="360" w:lineRule="auto"/>
        <w:ind w:firstLine="482" w:firstLineChars="200"/>
        <w:outlineLvl w:val="1"/>
        <w:rPr>
          <w:rFonts w:hint="eastAsia" w:ascii="宋体" w:hAnsi="宋体" w:eastAsia="宋体" w:cs="宋体"/>
          <w:b/>
          <w:bCs/>
          <w:snapToGrid w:val="0"/>
          <w:color w:val="auto"/>
          <w:kern w:val="0"/>
          <w:sz w:val="24"/>
          <w:highlight w:val="none"/>
          <w:lang w:eastAsia="zh-CN"/>
        </w:rPr>
      </w:pPr>
      <w:bookmarkStart w:id="1" w:name="_Toc8656"/>
      <w:r>
        <w:rPr>
          <w:rFonts w:hint="eastAsia" w:ascii="宋体" w:hAnsi="宋体" w:eastAsia="宋体" w:cs="宋体"/>
          <w:b/>
          <w:bCs/>
          <w:snapToGrid w:val="0"/>
          <w:color w:val="auto"/>
          <w:kern w:val="0"/>
          <w:sz w:val="24"/>
          <w:highlight w:val="none"/>
          <w:lang w:eastAsia="zh-CN"/>
        </w:rPr>
        <w:t>2.评审标准</w:t>
      </w:r>
      <w:bookmarkEnd w:id="1"/>
    </w:p>
    <w:p>
      <w:pPr>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2.1初步评审标准</w:t>
      </w:r>
    </w:p>
    <w:p>
      <w:pPr>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2.1.1形式评审标准：见评标办法前附表。</w:t>
      </w:r>
    </w:p>
    <w:p>
      <w:pPr>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2.1.2资格评审标准：见评标办法前附表。</w:t>
      </w:r>
    </w:p>
    <w:p>
      <w:pPr>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2.1.2资格评审标准：见资格预审文件第三章“资格审查办法”详细审查标准。</w:t>
      </w:r>
    </w:p>
    <w:p>
      <w:pPr>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2.1.3响应性评审标准：见评标办法前附表。</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2.2分值构成与评分标准</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2.2.1第一个信封评分分值构成</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（1）施工组织设计：见评标办法前附表；</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（2）主要人员：见评标办法前附表；</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（3）其他评分因素：见评标办法前附表。</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2.2.2第一个信封评分评分标准</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（1）施工组织设计评分标准：见评标办法前附表；</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（2）主要人员评分标准：见评标办法前附表；</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（3）其他因素评分标准：见评标办法前附表。</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2.2.3第二个信封详细评审标准：见评标办法前附表。</w:t>
      </w:r>
    </w:p>
    <w:p>
      <w:pPr>
        <w:spacing w:line="360" w:lineRule="auto"/>
        <w:ind w:firstLine="482" w:firstLineChars="200"/>
        <w:outlineLvl w:val="1"/>
        <w:rPr>
          <w:rFonts w:hint="eastAsia" w:ascii="宋体" w:hAnsi="宋体" w:eastAsia="宋体" w:cs="宋体"/>
          <w:b/>
          <w:bCs/>
          <w:snapToGrid w:val="0"/>
          <w:color w:val="auto"/>
          <w:kern w:val="0"/>
          <w:sz w:val="24"/>
          <w:highlight w:val="none"/>
        </w:rPr>
      </w:pPr>
      <w:bookmarkStart w:id="2" w:name="_Toc19799"/>
      <w:r>
        <w:rPr>
          <w:rFonts w:hint="eastAsia" w:ascii="宋体" w:hAnsi="宋体" w:eastAsia="宋体" w:cs="宋体"/>
          <w:b/>
          <w:bCs/>
          <w:snapToGrid w:val="0"/>
          <w:color w:val="auto"/>
          <w:kern w:val="0"/>
          <w:sz w:val="24"/>
          <w:highlight w:val="none"/>
        </w:rPr>
        <w:t>3.评标程序</w:t>
      </w:r>
      <w:bookmarkEnd w:id="2"/>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3.1第一个信封初步评审</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3.1.1评标委员会可以要求投标人提交第二章“投标人须知”第3.5.1项至第3.5.6项规定的有关证明和证件的原件，以便核验。评标委员会依据本章第2.1款规定的标准对投标文件第一个信封（商务及技术文件）进行初步评审。有一项不符合评审标准的，评标委员会应否决其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3.2第一个信封详细评审</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3.2.1评标委员会按本章第2.2款规定的量化因素和分值进行打分，并计算出各投标人的商务和技术得分。</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（1）按本章第2.2.2项（1）目规定的评审因素和分值对施工组织设计部分计算出得分A；</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（2）按本章第2.2.2项（2）目规定的评审因素和分值对主要人员部分计算出得分B；</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（3）按本章第2.2.2项（3）目规定的评审因素和分值对其他部分计算出得分C。</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3.2.2投标人的商务和技术得分分值计算保留小数点后两位，小数点后第三位“四舍五入”。</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3.2.3投标人的商务和技术得分=A+B+C。</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3.2.4评标委员会按照投标人的商务和技术得分由高到低排序，排名在评标办法前附表规定数量以内的投标人，其投标文件第一个信封（商务及技术文件）通过详细评审。</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3.2.5通过投标文件第一个信封（商务及技术文件）初步评审的投标人不少于3个且未超过评标办法前附表第3.2.4项规定数量的，均通过投标文件第一个信封（商务及技术文件）详细评审，不再对投标人的商务和技术文件进行评分。</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3.3第二个信封开标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第一个信封（商务及技术文件）评审结束后，招标人将按照第二章“投标人须知”第5.1款规定的时间和地点对通过投标文件第一个信封（商务及技术文件）评审的投标文件第二个信封（报价文件）进行开标。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3.4第二个信封初步评审</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3.4.1评标委员会依据本章第2.1.1项、第2.1.3项规定的评审标准对投标文件第二个信封（报价文件）进行初步评审。有一项不符合评审标准的，评标委员会应否决其投标。第三章评标办法（技术评分最低标价法）</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3.4.2投标报价有算术错误的，评标委员会按以下原则对投标报价进行修正，修正的价格经投标人书面确认后具有约束力。投标人不接受修正价格的，评标委员会应否决其投标。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（1）投标文件中的大写金额与小写金额不一致的，以大写金额为准；</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（2）总价金额与依据单价计算出的结果不一致的，以单价金额为准修正总价，但单价金额小数点有明显错误的除外；</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（3）当单价与数量相乘不等于合价时，以单价计算为准，如果单价有明显的小数点位置差错，应以标出的合价为准，同时对单价予以修正；</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（4）当各子目的合价累计不等于总价时，应以各子目合价累计数为准，修正总价。</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3.4.3工程量清单中的投标报价有其他错误的，评标委员会按以下原则对投标报价进行修</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正，修正的价格经投标人书面确认后具有约束力。投标人不接受修正价格的，评标委员会应否决其投标。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（1）在招标人给定的工程量清单中漏报了某个工程子目的单价、合价或总额价，或所报单价、合价或总额价减少了报价范围，则漏报的工程子目单价、合价和总额价或单价、合价和总</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额价中减少的报价内容视为已含入其他工程子目的单价、合价和总额价之中。</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（3）当单价与数量的乘积与合价（金额）虽然一致，但投标人修改了该子目的工程数量，</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则其合价按招标人给定的工程数量乘以投标人所报单价予以修正。</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3.4.4修正后的最终投标报价若超过最高投标限价（如有），评标委员会应否决其投标。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3.5第二个信封详细评审</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3.5.1评标委员会按本章第2.2款规定的量化因素和标准进行价格折算，计算出评标价，并编制价格比较一览表。</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3.5.2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3.6投标文件相关信息的核查</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3.6.1在评标过程中，评标委员会应查询交通运输主管部门“</w:t>
      </w:r>
      <w:r>
        <w:rPr>
          <w:rFonts w:hint="eastAsia" w:ascii="宋体" w:hAnsi="宋体" w:eastAsia="宋体" w:cs="宋体"/>
          <w:snapToGrid w:val="0"/>
          <w:color w:val="auto"/>
          <w:kern w:val="0"/>
          <w:sz w:val="24"/>
          <w:highlight w:val="none"/>
          <w:lang w:eastAsia="zh-CN"/>
        </w:rPr>
        <w:t>全国公路建设市场监督管理系统</w:t>
      </w:r>
      <w:r>
        <w:rPr>
          <w:rFonts w:hint="eastAsia" w:ascii="宋体" w:hAnsi="宋体" w:eastAsia="宋体" w:cs="宋体"/>
          <w:snapToGrid w:val="0"/>
          <w:color w:val="auto"/>
          <w:kern w:val="0"/>
          <w:sz w:val="24"/>
          <w:highlight w:val="none"/>
        </w:rPr>
        <w:t>”，对投标人的资质、业绩、主要人员资历和目前在岗情况、信用等级等信息进行核实。若投标文件载明的信息与交通运输主管部门“</w:t>
      </w:r>
      <w:r>
        <w:rPr>
          <w:rFonts w:hint="eastAsia" w:ascii="宋体" w:hAnsi="宋体" w:eastAsia="宋体" w:cs="宋体"/>
          <w:snapToGrid w:val="0"/>
          <w:color w:val="auto"/>
          <w:kern w:val="0"/>
          <w:sz w:val="24"/>
          <w:highlight w:val="none"/>
          <w:lang w:eastAsia="zh-CN"/>
        </w:rPr>
        <w:t>全国公路建设市场监督管理系统</w:t>
      </w:r>
      <w:r>
        <w:rPr>
          <w:rFonts w:hint="eastAsia" w:ascii="宋体" w:hAnsi="宋体" w:eastAsia="宋体" w:cs="宋体"/>
          <w:snapToGrid w:val="0"/>
          <w:color w:val="auto"/>
          <w:kern w:val="0"/>
          <w:sz w:val="24"/>
          <w:highlight w:val="none"/>
        </w:rPr>
        <w:t>”发布的信息不符，使得投标人的资格条件不符合招标文件规定的，评标委员会应否决其投标。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3.6.2评标委员会应对在评标过程中发现的投标人与投标人之间、投标人与招标人之间存在的串通投标的情形进行评审和认定。投标人存在串通投标、弄虚作假、行贿等违法行为的，评标委员会应否决其投标。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（1）有下列情形之一的，属于投标人相互串通投标：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a.投标人之间协商投标报价等投标文件的实质性内容；</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b.投标人之间约定中标人；</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c.投标人之间约定部分投标人放弃投标或中标；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d.属于同一集团、协会、商会等组织成员的投标人按照该组织要求协同投标；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e.投标人之间为谋取中标或排斥特定投标人而采取的其他联合行动。</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（2）有下列情形之一的，视为投标人相互串通投标：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a.不同投标人的投标文件由同一单位或个人编制；</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b.不同投标人委托同一单位或个人办理投标事宜；</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c.不同投标人的投标文件载明的项目管理成员为同一人；</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d.不同投标人的投标文件异常一致或投标报价呈规律性差异；</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e.不同投标人的投标文件相互混装；</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f.不同投标人的投标保证金从同一单位或个人的账户转出。</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（3）有下列情形之一的，属于招标人与投标人串通投标：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a.招标人在开标前开启投标文件并将有关信息泄露给其他投标人;</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b.招标人直接或间接向投标人泄露标底、评标委员会成员等信息；</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c.招标人明示或暗示投标人压低或抬高投标报价；</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d.招标人授意投标人撤换、修改投标文件；</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e.招标人明示或暗示投标人为特定投标人中标提供方便；</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f.招标人与投标人为谋求特定投标人中标而采取的其他串通行为。</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（4）投标人有下列情形之一的，属于弄虚作假的行为：</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a.使用通过受让或租借等方式获取的资格、资质证书投标；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b.使用伪造、变造的许可证件；</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c.提供虚假的财务状况或业绩；</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d.提供虚假的项目负责人或主要技术人员简历、劳动关系证明；</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e.提供虚假的信用状况；</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f.其他弄虚作假的行为。</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3.7投标文件的澄清和说明</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3.7.1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3.7.2澄清和说明不得超出投标文件的范围或改变投标文件的实质性内容（算术性错误的修正除外）。投标人的书面澄清、说明属于投标文件的组成部分。</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3.7.3评标委员会不得暗示或诱导投标人作出澄清、说明，对投标人提交的澄清、说明有疑问的，可以要求投标人进一步澄清或说明，直至满足评标委员会的要求。</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3.7.4凡超出招标文件规定的或给发包人带来未曾要求的利益的变化、偏差或其他因素在评标时不予考虑。</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3.8不得否决投标的情形</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投标文件存在第二章“投标人须知”第1.12.3项所列情形的，均视为细微偏差，评标委员会不得否决投标人的投标，应按照第二章“投标人须知”第1.12.4项规定的原则处理。</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3.9评标结果</w:t>
      </w:r>
    </w:p>
    <w:p>
      <w:pPr>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3.9.1除第二章“投标人须知”前附表授权直接确定中标人外，评标委员会按照评标价由低到高的顺序推荐中标候选人，并标明排序。</w:t>
      </w:r>
    </w:p>
    <w:p>
      <w:r>
        <w:rPr>
          <w:rFonts w:hint="eastAsia" w:ascii="宋体" w:hAnsi="宋体" w:eastAsia="宋体" w:cs="宋体"/>
          <w:snapToGrid w:val="0"/>
          <w:color w:val="auto"/>
          <w:kern w:val="0"/>
          <w:sz w:val="24"/>
          <w:highlight w:val="none"/>
        </w:rPr>
        <w:t>3.9.2评标委员会完成评标后，应向招标人提交书面评标报告。</w:t>
      </w: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
    <w:p>
      <w:r>
        <w:separator/>
      </w:r>
    </w:p>
  </w:footnote>
  <w:footnote w:type="continuationSeparator" w:id="9">
    <w:p>
      <w:r>
        <w:continuationSeparator/>
      </w:r>
    </w:p>
  </w:footnote>
  <w:footnote w:id="0">
    <w:p>
      <w:pPr>
        <w:pStyle w:val="4"/>
        <w:snapToGrid w:val="0"/>
      </w:pPr>
      <w:r>
        <w:rPr>
          <w:rStyle w:val="7"/>
        </w:rPr>
        <w:footnoteRef/>
      </w:r>
      <w:r>
        <w:t xml:space="preserve"> </w:t>
      </w:r>
      <w:r>
        <w:rPr>
          <w:rFonts w:hint="eastAsia"/>
        </w:rPr>
        <w:t>若出现投标人须知前附表10.2.6项招标内容包含多个类别的情况，按该条款的原则计算最终信用等级得分，得分较高的优先。</w:t>
      </w:r>
    </w:p>
  </w:footnote>
  <w:footnote w:id="1">
    <w:p>
      <w:pPr>
        <w:pStyle w:val="4"/>
        <w:snapToGrid w:val="0"/>
        <w:rPr>
          <w:rFonts w:hint="eastAsia" w:ascii="Times New Roman" w:hAnsi="Times New Roman" w:eastAsia="宋体" w:cs="Times New Roman"/>
        </w:rPr>
      </w:pPr>
      <w:r>
        <w:rPr>
          <w:rFonts w:hint="eastAsia" w:ascii="Times New Roman" w:hAnsi="Times New Roman" w:eastAsia="宋体" w:cs="Times New Roman"/>
        </w:rPr>
        <w:footnoteRef/>
      </w:r>
      <w:r>
        <w:rPr>
          <w:rFonts w:hint="eastAsia" w:ascii="Times New Roman" w:hAnsi="Times New Roman" w:eastAsia="宋体" w:cs="Times New Roman"/>
          <w:lang w:val="en-US" w:eastAsia="zh-CN"/>
        </w:rPr>
        <w:t>“技术能力”指投标人的科研开发和技术创新能力，招标人可结合招标项目的具体情况提出相关要求，包括投标人获得的与项目施工有关的国家级工法、专利（发明专利或实用新型专利）、国家或省级科学技术进步奖，主编或参编过的国家、行业或地方标准等。</w:t>
      </w:r>
    </w:p>
  </w:footnote>
  <w:footnote w:id="2">
    <w:p>
      <w:pPr>
        <w:pStyle w:val="4"/>
        <w:snapToGrid w:val="0"/>
        <w:rPr>
          <w:rFonts w:hint="eastAsia" w:ascii="Times New Roman" w:hAnsi="Times New Roman" w:eastAsia="宋体" w:cs="Times New Roman"/>
        </w:rPr>
      </w:pPr>
      <w:r>
        <w:rPr>
          <w:rFonts w:hint="eastAsia" w:ascii="Times New Roman" w:hAnsi="Times New Roman" w:eastAsia="宋体" w:cs="Times New Roman"/>
        </w:rPr>
        <w:footnoteRef/>
      </w:r>
      <w:r>
        <w:rPr>
          <w:rFonts w:hint="eastAsia" w:ascii="Times New Roman" w:hAnsi="Times New Roman" w:eastAsia="宋体" w:cs="Times New Roman"/>
          <w:lang w:val="en-US" w:eastAsia="zh-CN"/>
        </w:rPr>
        <w:t>如本项目招标采用第二章“投标人须知”第3.2.1项（1)目规定的投标人按照招标人提供的工程量固化清单电子文件填写工程量清单的，无须按照本章第3.4.2项和第3.4.3项的规定对投标报价进行修正，经评审的投标价（评标价）=投标函文字报价一暂估价一暂列金额（不含计日工总额）。</w:t>
      </w:r>
    </w:p>
  </w:footnote>
  <w:footnote w:id="3">
    <w:p>
      <w:pPr>
        <w:pStyle w:val="4"/>
        <w:snapToGrid w:val="0"/>
        <w:rPr>
          <w:rFonts w:hint="eastAsia" w:ascii="Times New Roman" w:hAnsi="Times New Roman" w:eastAsia="宋体" w:cs="Times New Roman"/>
        </w:rPr>
      </w:pPr>
      <w:r>
        <w:rPr>
          <w:rFonts w:hint="eastAsia" w:ascii="Times New Roman" w:hAnsi="Times New Roman" w:eastAsia="宋体" w:cs="Times New Roman"/>
        </w:rPr>
        <w:footnoteRef/>
      </w:r>
      <w:r>
        <w:rPr>
          <w:rFonts w:hint="eastAsia" w:ascii="Times New Roman" w:hAnsi="Times New Roman" w:eastAsia="宋体" w:cs="Times New Roman"/>
          <w:lang w:val="en-US" w:eastAsia="zh-CN"/>
        </w:rPr>
        <w:t>本条所述“名次”包含了并列的情况；如名次为1,1,3,4,5，则前5名为5家投标人；如名次为1,2,3,4,5,5，则前5名为6家投标人，下同。</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6B9A90"/>
    <w:multiLevelType w:val="singleLevel"/>
    <w:tmpl w:val="CC6B9A90"/>
    <w:lvl w:ilvl="0" w:tentative="0">
      <w:start w:val="3"/>
      <w:numFmt w:val="chineseCounting"/>
      <w:suff w:val="space"/>
      <w:lvlText w:val="第%1章"/>
      <w:lvlJc w:val="left"/>
      <w:rPr>
        <w:rFonts w:hint="eastAsia"/>
      </w:rPr>
    </w:lvl>
  </w:abstractNum>
  <w:abstractNum w:abstractNumId="1">
    <w:nsid w:val="2168CBF2"/>
    <w:multiLevelType w:val="singleLevel"/>
    <w:tmpl w:val="2168CBF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8"/>
    <w:footnote w:id="9"/>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0YzAyYWZiZTRiZWRiZWI4YTIzMTM2YzgyNzNkZjMifQ=="/>
  </w:docVars>
  <w:rsids>
    <w:rsidRoot w:val="00000000"/>
    <w:rsid w:val="12602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next w:val="3"/>
    <w:qFormat/>
    <w:uiPriority w:val="0"/>
    <w:pPr>
      <w:widowControl/>
      <w:ind w:left="1800" w:hanging="360"/>
      <w:jc w:val="left"/>
    </w:pPr>
    <w:rPr>
      <w:rFonts w:ascii="宋体" w:hAnsi="Courier New" w:eastAsia="Times New Roman"/>
      <w:kern w:val="0"/>
      <w:sz w:val="24"/>
    </w:rPr>
  </w:style>
  <w:style w:type="paragraph" w:customStyle="1" w:styleId="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footnote text"/>
    <w:basedOn w:val="1"/>
    <w:qFormat/>
    <w:uiPriority w:val="0"/>
    <w:pPr>
      <w:snapToGrid w:val="0"/>
      <w:jc w:val="left"/>
    </w:pPr>
    <w:rPr>
      <w:sz w:val="18"/>
      <w:szCs w:val="18"/>
    </w:rPr>
  </w:style>
  <w:style w:type="character" w:styleId="7">
    <w:name w:val="footnote reference"/>
    <w:basedOn w:val="6"/>
    <w:uiPriority w:val="0"/>
    <w:rPr>
      <w:vertAlign w:val="superscript"/>
    </w:rPr>
  </w:style>
  <w:style w:type="paragraph" w:customStyle="1" w:styleId="8">
    <w:name w:val="Table Text"/>
    <w:basedOn w:val="1"/>
    <w:semiHidden/>
    <w:qFormat/>
    <w:uiPriority w:val="0"/>
    <w:rPr>
      <w:rFonts w:ascii="宋体" w:hAnsi="宋体" w:eastAsia="宋体" w:cs="宋体"/>
      <w:sz w:val="24"/>
      <w:szCs w:val="24"/>
      <w:lang w:val="en-US" w:eastAsia="en-US" w:bidi="ar-SA"/>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2024-08-08T10:13:24Z</dcterms:created>
  <dc:creator>Administrator</dc:creator>
  <cp:lastModifiedBy>WPS_1720424292</cp:lastModifiedBy>
  <dcterms:modified xsi:type="dcterms:W3CDTF">2024-08-08T10:14:21Z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143A9998FD0D4D46B69267965FDCE0AC_12</vt:lpwstr>
  </property>
</Properties>
</file>