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440101-2024-13377</w:t>
      </w:r>
    </w:p>
    <w:p>
      <w:pPr>
        <w:pStyle w:val="null3"/>
        <w:jc w:val="center"/>
        <w:outlineLvl w:val="3"/>
      </w:pPr>
      <w:r>
        <w:rPr>
          <w:sz w:val="24"/>
          <w:b/>
        </w:rPr>
        <w:t>采购项目编号：</w:t>
      </w:r>
      <w:r>
        <w:rPr>
          <w:sz w:val="24"/>
          <w:b/>
        </w:rPr>
        <w:t>CZ2024-0971</w:t>
      </w:r>
    </w:p>
    <w:p>
      <w:pPr>
        <w:pStyle w:val="null3"/>
        <w:jc w:val="center"/>
        <w:outlineLvl w:val="3"/>
      </w:pPr>
      <w:r>
        <w:rPr>
          <w:sz w:val="24"/>
          <w:b/>
        </w:rPr>
        <w:t>项目名称：</w:t>
      </w:r>
      <w:r>
        <w:rPr>
          <w:sz w:val="24"/>
          <w:b/>
        </w:rPr>
        <w:t>广州开放大学2024年教育科研线上培训课程制作服务项目</w:t>
      </w:r>
    </w:p>
    <w:p>
      <w:pPr>
        <w:pStyle w:val="null3"/>
        <w:jc w:val="center"/>
        <w:outlineLvl w:val="3"/>
      </w:pPr>
      <w:r>
        <w:rPr>
          <w:sz w:val="24"/>
          <w:b/>
        </w:rPr>
        <w:t>采购人：</w:t>
      </w:r>
      <w:r>
        <w:rPr>
          <w:sz w:val="24"/>
          <w:b/>
        </w:rPr>
        <w:t>广州开放大学</w:t>
      </w:r>
    </w:p>
    <w:p>
      <w:pPr>
        <w:pStyle w:val="null3"/>
        <w:jc w:val="center"/>
        <w:outlineLvl w:val="3"/>
      </w:pPr>
      <w:r>
        <w:rPr>
          <w:sz w:val="24"/>
          <w:b/>
        </w:rPr>
        <w:t>采购代理机构：</w:t>
      </w:r>
      <w:r>
        <w:rPr>
          <w:sz w:val="24"/>
          <w:b/>
        </w:rPr>
        <w:t>广州市政府采购中心</w:t>
      </w:r>
    </w:p>
    <w:p>
      <w:pPr>
        <w:pStyle w:val="null3"/>
        <w:ind w:firstLine="480"/>
      </w:pPr>
      <w:r>
        <w:rPr/>
        <w:t xml:space="preserve">  </w:t>
      </w:r>
    </w:p>
    <w:p>
      <w:pPr>
        <w:pStyle w:val="null3"/>
        <w:jc w:val="center"/>
        <w:outlineLvl w:val="1"/>
      </w:pPr>
      <w:r>
        <w:rPr>
          <w:sz w:val="36"/>
          <w:b/>
        </w:rPr>
        <w:t>第一章投标邀请</w:t>
      </w:r>
    </w:p>
    <w:p>
      <w:pPr>
        <w:pStyle w:val="null3"/>
        <w:ind w:firstLine="480"/>
      </w:pPr>
      <w:r>
        <w:rPr/>
        <w:t>广州市政府采购中心</w:t>
      </w:r>
      <w:r>
        <w:rPr/>
        <w:t>受</w:t>
      </w:r>
      <w:r>
        <w:rPr/>
        <w:t>广州开放大学</w:t>
      </w:r>
      <w:r>
        <w:rPr/>
        <w:t>的委托，采用</w:t>
      </w:r>
      <w:r>
        <w:rPr/>
        <w:t>公开招标</w:t>
      </w:r>
      <w:r>
        <w:rPr/>
        <w:t>方式组织采购</w:t>
      </w:r>
      <w:r>
        <w:rPr/>
        <w:t>广州开放大学2024年教育科研线上培训课程制作服务项目</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广州开放大学2024年教育科研线上培训课程制作服务项目</w:t>
      </w:r>
    </w:p>
    <w:p>
      <w:pPr>
        <w:pStyle w:val="null3"/>
        <w:ind w:firstLine="480"/>
      </w:pPr>
      <w:r>
        <w:rPr/>
        <w:t>采购计划编号：</w:t>
      </w:r>
      <w:r>
        <w:rPr/>
        <w:t>440101-2024-13377</w:t>
      </w:r>
    </w:p>
    <w:p>
      <w:pPr>
        <w:pStyle w:val="null3"/>
        <w:ind w:firstLine="480"/>
      </w:pPr>
      <w:r>
        <w:rPr/>
        <w:t>采购项目编号：</w:t>
      </w:r>
      <w:r>
        <w:rPr/>
        <w:t>CZ2024-0971</w:t>
      </w:r>
    </w:p>
    <w:p>
      <w:pPr>
        <w:pStyle w:val="null3"/>
        <w:ind w:firstLine="480"/>
      </w:pPr>
      <w:r>
        <w:rPr/>
        <w:t>采购方式：</w:t>
      </w:r>
      <w:r>
        <w:rPr/>
        <w:t>公开招标</w:t>
      </w:r>
    </w:p>
    <w:p>
      <w:pPr>
        <w:pStyle w:val="null3"/>
        <w:ind w:firstLine="480"/>
      </w:pPr>
      <w:r>
        <w:rPr/>
        <w:t>预算金额：</w:t>
      </w:r>
      <w:r>
        <w:rPr/>
        <w:t>460,000.00</w:t>
      </w:r>
      <w:r>
        <w:rPr/>
        <w:t>元</w:t>
      </w:r>
    </w:p>
    <w:p>
      <w:pPr>
        <w:pStyle w:val="null3"/>
        <w:outlineLvl w:val="3"/>
      </w:pPr>
      <w:r>
        <w:rPr>
          <w:sz w:val="24"/>
          <w:b/>
        </w:rPr>
        <w:t>2.项目内容及需求情况（采购项目技术规格、参数及要求）</w:t>
      </w:r>
    </w:p>
    <w:p>
      <w:pPr>
        <w:pStyle w:val="null3"/>
      </w:pPr>
      <w:r>
        <w:rPr/>
        <w:t>采购包1(2024年教育科研线上培训课程制作服务项目):</w:t>
      </w:r>
    </w:p>
    <w:p>
      <w:pPr>
        <w:pStyle w:val="null3"/>
      </w:pPr>
      <w:r>
        <w:rPr/>
        <w:t>采购包预算金额：460,000.00元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数据加工处理服务</w:t>
            </w:r>
          </w:p>
        </w:tc>
        <w:tc>
          <w:tcPr>
            <w:tcW w:type="dxa" w:w="2136"/>
          </w:tcPr>
          <w:p>
            <w:pPr>
              <w:pStyle w:val="null3"/>
            </w:pPr>
            <w:r>
              <w:rPr/>
              <w:t>线上培训课程制作</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合同履行期限：服务期限为自合同签订之日起至本项目通过最终验收。</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依据《投标函》及以下相关证照的扫描件之一：1.企业法人提供企业法人营业执照；2.事业法人提供事业法人登记证；3.其他组织提供其他组织的营业执照或执业许可证；4.自然人提供居民身份证等。分支机构投标的，还须提供分支机构的营业执照（执业许可证）扫描件及总公司（总所）出具给分支机构的授权书。</w:t>
      </w:r>
    </w:p>
    <w:p>
      <w:pPr>
        <w:pStyle w:val="null3"/>
      </w:pPr>
      <w:r>
        <w:rPr/>
        <w:t>2）有依法缴纳税收和社会保障资金的良好记录：依据《投标函》。</w:t>
      </w:r>
    </w:p>
    <w:p>
      <w:pPr>
        <w:pStyle w:val="null3"/>
      </w:pPr>
      <w:r>
        <w:rPr/>
        <w:t>3）具有良好的商业信誉和健全的财务会计制度：依据《投标函》。</w:t>
      </w:r>
    </w:p>
    <w:p>
      <w:pPr>
        <w:pStyle w:val="null3"/>
      </w:pPr>
      <w:r>
        <w:rPr/>
        <w:t>4）履行合同所必需的设备和专业技术能力：依据《投标函》。</w:t>
      </w:r>
    </w:p>
    <w:p>
      <w:pPr>
        <w:pStyle w:val="null3"/>
      </w:pPr>
      <w:r>
        <w:rPr/>
        <w:t>5）参加采购活动前3年内，在经营活动中没有重大违法记录：依据《投标函》。</w:t>
      </w:r>
    </w:p>
    <w:p>
      <w:pPr>
        <w:pStyle w:val="null3"/>
        <w:outlineLvl w:val="3"/>
      </w:pPr>
      <w:r>
        <w:rPr>
          <w:sz w:val="24"/>
          <w:b/>
        </w:rPr>
        <w:t>2.落实政府采购政策需满足的资格要求：</w:t>
      </w:r>
    </w:p>
    <w:p>
      <w:pPr>
        <w:pStyle w:val="null3"/>
        <w:jc w:val="left"/>
      </w:pPr>
      <w:r>
        <w:rPr/>
        <w:t>采购包1（2024年教育科研线上培训课程制作服务项目）：</w:t>
      </w:r>
      <w:r>
        <w:rPr/>
        <w:t>本项目属于专门面向中小微企业采购的项目，全部服务的承接方应为中小微企业、监狱企业或残疾人福利性单位【依据《中小企业声明函》或由省级以上监狱管理局、戒毒管理局(含新疆生产建设兵团)出具的承接方属于监狱企业的证明文件或承接方的《残疾人福利性单位声明函》】。</w:t>
      </w:r>
    </w:p>
    <w:p>
      <w:pPr>
        <w:pStyle w:val="null3"/>
        <w:outlineLvl w:val="3"/>
      </w:pPr>
      <w:r>
        <w:rPr>
          <w:sz w:val="24"/>
          <w:b/>
        </w:rPr>
        <w:t>3.本项目特定的资格要求：</w:t>
      </w:r>
    </w:p>
    <w:p>
      <w:pPr>
        <w:pStyle w:val="null3"/>
      </w:pPr>
      <w:r>
        <w:rPr/>
        <w:t>采购包1（2024年教育科研线上培训课程制作服务项目）：</w:t>
      </w:r>
    </w:p>
    <w:p>
      <w:pPr>
        <w:pStyle w:val="null3"/>
      </w:pPr>
      <w:r>
        <w:rPr/>
        <w:t>1)1.本项目不接受联合体投标。 2.供应商未被列入“信用中国”网站中“记录失信被执行人或重大税收违法案件当事人名单或政府采购严重违法失信行为”的记录名单；不处于“中国政府采购网”中“政府采购严重违法失信行为信息记录”的禁止参加政 府采购活动期间（以采购代理机构或采购人于资格审查时在上述网站查询结果为准，如在上述网站查询结果均显示没有相关记 录，视为没有上述不良信用记录。同时对信用信息查询记录和证据截图存档。如相关失信记录已失效，供应商须提供相关证明资料）。 3.供应商必须符合法律、行政法规规定的其他条件：依据《投标函》。</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r>
        <w:rPr/>
        <w:t>广州交易集团有限公司（http://www.gzggzy.cn）</w:t>
      </w:r>
      <w:r>
        <w:rPr/>
        <w:t>。</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广州开放大学</w:t>
      </w:r>
    </w:p>
    <w:p>
      <w:pPr>
        <w:pStyle w:val="null3"/>
        <w:ind w:firstLine="480"/>
      </w:pPr>
      <w:r>
        <w:rPr/>
        <w:t xml:space="preserve"> 地址：</w:t>
      </w:r>
      <w:r>
        <w:rPr/>
        <w:t>广东省广州市越秀区登峰街麓景西路41号</w:t>
      </w:r>
    </w:p>
    <w:p>
      <w:pPr>
        <w:pStyle w:val="null3"/>
        <w:ind w:firstLine="480"/>
      </w:pPr>
      <w:r>
        <w:rPr/>
        <w:t xml:space="preserve"> 联系方式：</w:t>
      </w:r>
      <w:r>
        <w:rPr/>
        <w:t>83481101</w:t>
      </w:r>
    </w:p>
    <w:p>
      <w:pPr>
        <w:pStyle w:val="null3"/>
        <w:outlineLvl w:val="3"/>
      </w:pPr>
      <w:r>
        <w:rPr>
          <w:sz w:val="24"/>
          <w:b/>
        </w:rPr>
        <w:t xml:space="preserve"> 2.采购代理机构信息</w:t>
      </w:r>
    </w:p>
    <w:p>
      <w:pPr>
        <w:pStyle w:val="null3"/>
        <w:ind w:firstLine="480"/>
      </w:pPr>
      <w:r>
        <w:rPr/>
        <w:t xml:space="preserve"> 名称：</w:t>
      </w:r>
      <w:r>
        <w:rPr/>
        <w:t>广州市政府采购中心</w:t>
      </w:r>
    </w:p>
    <w:p>
      <w:pPr>
        <w:pStyle w:val="null3"/>
        <w:ind w:firstLine="480"/>
      </w:pPr>
      <w:r>
        <w:rPr/>
        <w:t xml:space="preserve"> 地址：</w:t>
      </w:r>
      <w:r>
        <w:rPr/>
        <w:t>广东省广州市天河区天润路333号</w:t>
      </w:r>
    </w:p>
    <w:p>
      <w:pPr>
        <w:pStyle w:val="null3"/>
        <w:ind w:firstLine="480"/>
      </w:pPr>
      <w:r>
        <w:rPr/>
        <w:t xml:space="preserve"> 联系方式：</w:t>
      </w:r>
      <w:r>
        <w:rPr/>
        <w:t xml:space="preserve"> 28866424；28866163</w:t>
      </w:r>
    </w:p>
    <w:p>
      <w:pPr>
        <w:pStyle w:val="null3"/>
        <w:outlineLvl w:val="3"/>
      </w:pPr>
      <w:r>
        <w:rPr>
          <w:sz w:val="24"/>
          <w:b/>
        </w:rPr>
        <w:t xml:space="preserve"> 3.项目联系方式</w:t>
      </w:r>
    </w:p>
    <w:p>
      <w:pPr>
        <w:pStyle w:val="null3"/>
        <w:ind w:firstLine="480"/>
      </w:pPr>
      <w:r>
        <w:rPr/>
        <w:t xml:space="preserve"> 项目联系人：</w:t>
      </w:r>
      <w:r>
        <w:rPr/>
        <w:t>欧阳晋杰（采购文件咨询）、何晓蕾（质疑受理）</w:t>
      </w:r>
    </w:p>
    <w:p>
      <w:pPr>
        <w:pStyle w:val="null3"/>
        <w:ind w:firstLine="480"/>
      </w:pPr>
      <w:r>
        <w:rPr/>
        <w:t xml:space="preserve"> 电话：</w:t>
      </w:r>
      <w:r>
        <w:rPr/>
        <w:t xml:space="preserve"> 28866424；28866163</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广州市政府采购中心</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t>详见采购需求</w:t>
      </w:r>
    </w:p>
    <w:p>
      <w:pPr>
        <w:pStyle w:val="null3"/>
      </w:pPr>
      <w:r>
        <w:rPr/>
        <w:t>采购包1（2024年教育科研线上培训课程制作服务项目）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服务期限为自合同签订之日起至本项目通过最终验收。</w:t>
            </w:r>
          </w:p>
        </w:tc>
      </w:tr>
      <w:tr>
        <w:tc>
          <w:tcPr>
            <w:tcW w:type="dxa" w:w="4153"/>
          </w:tcPr>
          <w:p>
            <w:pPr>
              <w:pStyle w:val="null3"/>
            </w:pPr>
            <w:r>
              <w:rPr/>
              <w:t>标的提供的地点</w:t>
            </w:r>
          </w:p>
        </w:tc>
        <w:tc>
          <w:tcPr>
            <w:tcW w:type="dxa" w:w="4153"/>
          </w:tcPr>
          <w:p>
            <w:pPr>
              <w:pStyle w:val="null3"/>
            </w:pPr>
            <w:r>
              <w:rPr/>
              <w:t>采购人指定地点</w:t>
            </w:r>
          </w:p>
        </w:tc>
      </w:tr>
      <w:tr>
        <w:tc>
          <w:tcPr>
            <w:tcW w:type="dxa" w:w="4153"/>
          </w:tcPr>
          <w:p>
            <w:pPr>
              <w:pStyle w:val="null3"/>
            </w:pPr>
            <w:r>
              <w:rPr/>
              <w:t>付款方式</w:t>
            </w:r>
          </w:p>
        </w:tc>
        <w:tc>
          <w:tcPr>
            <w:tcW w:type="dxa" w:w="4153"/>
          </w:tcPr>
          <w:p>
            <w:pPr>
              <w:pStyle w:val="null3"/>
            </w:pPr>
            <w:r>
              <w:rPr/>
              <w:t>1期：支付比例100%,详见采购需求</w:t>
            </w:r>
          </w:p>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1期：详见采购需求</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数据加工处理服务</w:t>
            </w:r>
          </w:p>
        </w:tc>
        <w:tc>
          <w:tcPr>
            <w:tcW w:type="dxa" w:w="933"/>
          </w:tcPr>
          <w:p>
            <w:pPr>
              <w:pStyle w:val="null3"/>
              <w:jc w:val="left"/>
            </w:pPr>
            <w:r>
              <w:rPr/>
              <w:t>线上培训课程制作</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460,000.00</w:t>
            </w:r>
          </w:p>
        </w:tc>
        <w:tc>
          <w:tcPr>
            <w:tcW w:type="dxa" w:w="933"/>
          </w:tcPr>
          <w:p>
            <w:pPr>
              <w:pStyle w:val="null3"/>
              <w:jc w:val="right"/>
            </w:pPr>
            <w:r>
              <w:rPr/>
              <w:t>460,000.00</w:t>
            </w:r>
          </w:p>
        </w:tc>
        <w:tc>
          <w:tcPr>
            <w:tcW w:type="dxa" w:w="840"/>
          </w:tcPr>
          <w:p>
            <w:pPr>
              <w:pStyle w:val="null3"/>
            </w:pPr>
            <w:r>
              <w:rPr/>
              <w:t>软件和信息技术服务业</w:t>
            </w:r>
          </w:p>
        </w:tc>
        <w:tc>
          <w:tcPr>
            <w:tcW w:type="dxa" w:w="933"/>
          </w:tcPr>
          <w:p>
            <w:pPr>
              <w:pStyle w:val="null3"/>
            </w:pPr>
            <w:r>
              <w:rPr/>
              <w:t>详见附表一</w:t>
            </w:r>
          </w:p>
        </w:tc>
      </w:tr>
    </w:tbl>
    <w:p>
      <w:pPr>
        <w:pStyle w:val="null3"/>
      </w:pPr>
      <w:r>
        <w:rPr>
          <w:b/>
        </w:rPr>
        <w:t>附表</w:t>
      </w:r>
      <w:r>
        <w:rPr>
          <w:b/>
        </w:rPr>
        <w:t>一</w:t>
      </w:r>
      <w:r>
        <w:rPr>
          <w:b/>
        </w:rPr>
        <w:t>：</w:t>
      </w:r>
      <w:r>
        <w:rPr>
          <w:b/>
        </w:rPr>
        <w:t>线上培训课程制作</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1.采购代理机构：本项目是指广州市政府采购中心，负责整个采购活动的组织，依法负责编制和发布招标文件，对招标文件拥有最终的解释权，不以任何身份出任评标委员会成员。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广州开放大学</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ind w:firstLine="480"/>
      </w:pPr>
      <w:r>
        <w:rPr/>
        <w:t>（温馨提示：采购人与代理机构在制定采购文件内容时应与上述条款保持一致，以避免采购文件内容前后不一致，出现歧义。）</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2家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项目兼投兼中规则</w:t>
            </w:r>
          </w:p>
        </w:tc>
        <w:tc>
          <w:tcPr>
            <w:tcW w:type="dxa" w:w="5004"/>
          </w:tcPr>
          <w:p>
            <w:pPr>
              <w:pStyle w:val="null3"/>
            </w:pPr>
            <w:r>
              <w:rPr/>
              <w:t>兼投兼中：-</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r>
              <w:rPr/>
              <w:t>采购机构代理服务收费标准：本项目公共资源交易服务费收费标准：1.不论投标的结果如何，投标人应承担所有与编写和提交投标文件有关的费用。2.采购人委托中标人支付公共资源交易服务费，其报价中须包含公共资源交易服务费。由中标人支付公共资源交易服务费后，采购人、中标人方可下载打印电子《中标通知书》。3.中标人可选用以下两种方式支付公共资源交易服务费：（1）现场支付：中标人携现金前往市政府采购中心大厅西侧建设银行天润路支行交款，交款后前往财务专窗办理支付确认。（2）汇款支付：中标人将公共资源交易服务费转账（汇款）至公共资源交易服务费结算账户（如下所示）后，到账后凭转账（汇款）凭证前往市政府采购中心一楼大厅44号财务专窗办理支付确认或使用公共资源交易服务费转账凭证上传确认系统进行支付确认。公共资源交易服务费结算账户信息：收款单位：广州市政府采购中心，开户银行：中国建设银行广州天润路支行，账号：44050158340409202288（注：公共资源交易服务费增值税电子普通发票待中标人支付公共资源交易服务费并确认后，向中标人的经办人手机号推送电子发票用于报账。使用汇款支付过程中，请在摘要或用途中注明项目编号交易服务费，例如：CZ2022-0001交易服务费。当交易服务费到账的银行回单中单位名称、应缴交易服务费金额、中标项目编号三项信息匹配都一致时，系统会自动进行支付确认。）4.公共资源交易服务费以采购额按差额定率累进法计算。详见《广州市政府采购中心关于代理采购类项目公共资源交易服务费收费标准的通知》（http://www.gzggzy.cn/jtgg/874864.jhtml）（注：本项目为已纳入集中采购目录的项目，采购额为中标金额。）</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其他信息，一、综合信用得分。 （一）本项目商务评分部分的综合信用得分运用广州公共资源交易政府采购领域信用评价体系3.0（以下简称“政府采购信用3.0”）。供应商应在投标响应前通过广州交易集团有限公司网站完成企业信用档案登记，并确认成功，以免出现企业信用评价分无法使用等情况，登记手册可查阅http://www.gzggzy.cn/fwznxtbzczsc/951149.jhtml。 （二）综合信用得分运用“政府采购信用3.0”评价分进行计算，综合信用评价得分=供应商在广州公共资源交易信用评价（政府采购供应商信用评价分）×5%。供应商的信用评价分以开标当天广州交易集团有限公司网站公布的分值为准【通过“广州交易集团有限公司网站-信用信息-广州公共资源交易信用平台3.0” 进行核实，未能在“广州交易集团有限公司门户网站-信用信息-广州公共资源交易信用平台3.0”查询到供应商信用分数的，按照现行的公共资源交易信用评分细则中指标说明及权重计算信用评价基准分。如遇重要系统通信网络故障、服务器物理故障、系统遭受网络攻击、重要系统迁移等重大突发性事项导致采集最新数据失败，系统将启用重大突发性事项发生前一天的数据进行评分计算；重大突发性事项处理完毕后，按正常程序采集数据进行处理。 二、履约评价。 由采购人负责对中标人的履约行为进行评价，采购人在合同备案后可通过广东政府采购智慧云平台-诚信管理-评价管理进行评价。评价结果会影响供应商的综合信用得分。 三、关于提供前期服务的供应商。 为采购项目提供整体设计、规范编制或者项目管理、监理、检测等服务的供应商，不得再参加该采购项目的其他采购活动。</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投标解密时长：1小时</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采购包1：面向中小企业，采购包专门预留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3"/>
      </w:pPr>
      <w:r>
        <w:rPr>
          <w:sz w:val="24"/>
          <w:b/>
        </w:rPr>
        <w:t>11.关于分支机构投标</w:t>
      </w:r>
    </w:p>
    <w:p>
      <w:pPr>
        <w:pStyle w:val="null3"/>
        <w:ind w:firstLine="480"/>
      </w:pPr>
      <w:r>
        <w:rPr/>
        <w:t xml:space="preserve"> 对接受分支机构投标的项目，分支机构投标的，须提供分支机构的营业执照（执业许可证）扫描件及总公司（总所）出具给分支机构的授权书，授权书须加盖总公司（总所）公章。总公司（总所）可就本项目或此类项目在一定范围或时间内出具授权书。已由总公司（总所）授权的，总公司（总所）取得的相关资质证书对分支机构有效，法律法规或者行业另有规定的除外。依法设立登记的分支机构以自己的名义参加政府采购活动，产生的民事责任由法人承担。（保险类项目则为：本项目只接受保险分公司或中心支公司以上的保险机构投标；分公司或中心支公司的保险机构投标的，还须提供分公司或中心支公司的保险机构的营业执照。依法设立登记的分支机构以自己的名义参加政府采购活动，产生的民事责任由法人承担。 ）</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本项目不收取投标保证金</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w:t>
      </w:r>
      <w:r>
        <w:rPr/>
        <w:t>广州交易集团有限公司（http://www.gzggzy.cn）</w:t>
      </w:r>
      <w:r>
        <w:rPr/>
        <w:t>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pPr>
      <w:r>
        <w:rPr/>
        <w:t>3.3项目废标处理：</w:t>
      </w:r>
    </w:p>
    <w:p>
      <w:pPr>
        <w:pStyle w:val="null3"/>
        <w:ind w:firstLine="480"/>
      </w:pPr>
      <w:r>
        <w:rPr/>
        <w:t>根据《中华人民共和国政府采购法》第三十六条及招标文件的约定，本项目或分包下列情况出现将作废标处理：</w:t>
      </w:r>
    </w:p>
    <w:p>
      <w:pPr>
        <w:pStyle w:val="null3"/>
        <w:ind w:firstLine="480"/>
      </w:pPr>
      <w:r>
        <w:rPr/>
        <w:t>（1）符合专业资格条件的投标人或者对招标文件作实质响应的有效投标人不足三家的（说明：使用综合评分法的采购项目，提供相同品牌产品且通过资格审查、符合性审查的不同投标人参加同一合同项下投标的，按一家投标人计算） 。</w:t>
      </w:r>
    </w:p>
    <w:p>
      <w:pPr>
        <w:pStyle w:val="null3"/>
        <w:ind w:firstLine="480"/>
      </w:pPr>
      <w:r>
        <w:rPr/>
        <w:t>（2）出现影响采购公正的违法、违规行为的。</w:t>
      </w:r>
    </w:p>
    <w:p>
      <w:pPr>
        <w:pStyle w:val="null3"/>
        <w:ind w:firstLine="480"/>
      </w:pPr>
      <w:r>
        <w:rPr/>
        <w:t>（3）投标人的报价均超过了采购预算，采购人不能支付的。</w:t>
      </w:r>
    </w:p>
    <w:p>
      <w:pPr>
        <w:pStyle w:val="null3"/>
        <w:ind w:firstLine="480"/>
      </w:pPr>
      <w:r>
        <w:rPr/>
        <w:t>（4）因重大变故，采购任务取消的。</w:t>
      </w:r>
    </w:p>
    <w:p>
      <w:pPr>
        <w:pStyle w:val="null3"/>
        <w:ind w:firstLine="480"/>
      </w:pPr>
      <w:r>
        <w:rPr/>
        <w:t>对废标的采购项目，评标委员会应出具采购文件是否存在不合理条款的论证意见。</w:t>
      </w:r>
    </w:p>
    <w:p>
      <w:pPr>
        <w:pStyle w:val="null3"/>
        <w:ind w:firstLine="480"/>
      </w:pPr>
      <w:r>
        <w:rPr/>
        <w:t>3.4终止公告：</w:t>
      </w:r>
    </w:p>
    <w:p>
      <w:pPr>
        <w:pStyle w:val="null3"/>
        <w:ind w:firstLine="480"/>
      </w:pPr>
      <w:r>
        <w:rPr/>
        <w:t xml:space="preserve"> 项目废标后，采购人或采购代理机构将在中国政府采购网(www.ccgp.gov.cn)、广东省政府采购网(https://gdgpo.czt.gd.gov.cn/)、</w:t>
      </w:r>
      <w:r>
        <w:rPr/>
        <w:t>广州交易集团有限公司（http://www.gzggzy.cn）</w:t>
      </w:r>
      <w:r>
        <w:rPr/>
        <w:t>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何晓蕾</w:t>
      </w:r>
    </w:p>
    <w:p>
      <w:pPr>
        <w:pStyle w:val="null3"/>
        <w:ind w:firstLine="480"/>
      </w:pPr>
      <w:r>
        <w:rPr/>
        <w:t>电话：</w:t>
      </w:r>
      <w:r>
        <w:rPr/>
        <w:t>020-28866163</w:t>
      </w:r>
    </w:p>
    <w:p>
      <w:pPr>
        <w:pStyle w:val="null3"/>
        <w:ind w:firstLine="480"/>
      </w:pPr>
      <w:r>
        <w:rPr/>
        <w:t>传真：</w:t>
      </w:r>
      <w:r>
        <w:rPr/>
        <w:t>无</w:t>
      </w:r>
    </w:p>
    <w:p>
      <w:pPr>
        <w:pStyle w:val="null3"/>
        <w:ind w:firstLine="480"/>
      </w:pPr>
      <w:r>
        <w:rPr/>
        <w:t>邮箱：</w:t>
      </w:r>
      <w:r>
        <w:rPr/>
        <w:t>无</w:t>
      </w:r>
    </w:p>
    <w:p>
      <w:pPr>
        <w:pStyle w:val="null3"/>
        <w:ind w:firstLine="480"/>
      </w:pPr>
      <w:r>
        <w:rPr/>
        <w:t>地址：</w:t>
      </w:r>
      <w:r>
        <w:rPr/>
        <w:t>广州市天河区天润路333号4楼广州市政府采购中心综合管理部</w:t>
      </w:r>
    </w:p>
    <w:p>
      <w:pPr>
        <w:pStyle w:val="null3"/>
        <w:ind w:firstLine="480"/>
      </w:pPr>
      <w:r>
        <w:rPr/>
        <w:t>邮编：</w:t>
      </w:r>
      <w:r>
        <w:rPr/>
        <w:t>510630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政府采购监督管理机构名称：广州市财政局政府采购监管处</w:t>
      </w:r>
    </w:p>
    <w:p>
      <w:pPr>
        <w:pStyle w:val="null3"/>
      </w:pPr>
      <w:r>
        <w:rPr/>
        <w:t>地 址：广州市天河区华利路61号1506室</w:t>
      </w:r>
    </w:p>
    <w:p>
      <w:pPr>
        <w:pStyle w:val="null3"/>
      </w:pPr>
      <w:r>
        <w:rPr/>
        <w:t>电 话：020-38923575</w:t>
      </w:r>
    </w:p>
    <w:p>
      <w:pPr>
        <w:pStyle w:val="null3"/>
      </w:pPr>
      <w:r>
        <w:rPr/>
        <w:t>邮 编：510030</w:t>
      </w:r>
    </w:p>
    <w:p>
      <w:pPr>
        <w:pStyle w:val="null3"/>
      </w:pPr>
      <w:r>
        <w:rPr/>
        <w:t>传 真： /</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二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pStyle w:val="null3"/>
        <w:ind w:firstLine="480"/>
      </w:pPr>
      <w:r>
        <w:rPr/>
        <w:t xml:space="preserve"> 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pStyle w:val="null3"/>
        <w:ind w:firstLine="480"/>
      </w:pPr>
      <w:r>
        <w:rPr/>
        <w:t>2.3有融资要求的中标供应商可根据自身情况，在广东省政府采购网上自行选择金融机构及其融资产品，凭政府采购中标通知书或政府采购合同向金融机构提出融资申请。</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(2024年教育科研线上培训课程制作服务项目)：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广州市政府采购中心</w:t>
      </w:r>
      <w:r>
        <w:rPr/>
        <w:t>统一对外发布。</w:t>
      </w:r>
    </w:p>
    <w:p>
      <w:pPr>
        <w:pStyle w:val="null3"/>
        <w:ind w:firstLine="480"/>
      </w:pPr>
      <w:r>
        <w:rPr/>
        <w:t>（2）对</w:t>
      </w:r>
      <w:r>
        <w:rPr/>
        <w:t>广州市政府采购中心</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4.7投标人上传的电子投标文件使用该项目其他投标人的数字证书加密的或加盖该项目的其他投标人的电子印章的。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第二中标候选人报价高于第一中标候选人报价20％以上的，只推荐1名中标候选人。（下浮率报价为:设 M= (1-下浮率)，第二中标候选人的 M值高于第一中标候选人 M 值 20%以上的，只推荐 1名中标候选人。)。 第一中标候选人无正当理由不得随意放弃中标资格。中标候选人放弃中标资格的，采购人可以按照评审报告推荐的中标候选人名单排序，确定下一候选人为中标人，也可以重新开展政府采购活动。</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采购包1（2024年教育科研线上培训课程制作服务项目）：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注：（1）上述评标价仅用于计算价格评分，成交金额以实际投标（响应）价为准。 （2）组成联合体或者接受分包的小微企业与联合体内其他企业、分包企业之间存在直接控股、管理关系的，不享受价格扣除优惠政策。</w:t>
            </w:r>
          </w:p>
        </w:tc>
      </w:tr>
    </w:tbl>
    <w:p>
      <w:pPr>
        <w:pStyle w:val="null3"/>
      </w:pP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对各投标人进行资格审查和符合性审查过程中，对初步被认定为无效投标者，由评标委员会组长或采购人代表将集体意见及时告知投标当事人。采购代理机构应在评标报告中以书面形式解释其排除的具体原因</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采购包1（2024年教育科研线上培训课程制作服务项目）：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依据《投标函》及以下相关证照的扫描件之一：1.企业法人提供企业法人营业执照；2.事业法人提供事业法人登记证；3.其他组织提供其他组织的营业执照或执业许可证；4.自然人提供居民身份证等。分支机构投标的，还须提供分支机构的营业执照（执业许可证）扫描件及总公司（总所）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依据《投标函》。</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依据《投标函》。</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依据《投标函》。</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依据《投标函》。</w:t>
            </w:r>
          </w:p>
        </w:tc>
      </w:tr>
      <w:tr>
        <w:tc>
          <w:tcPr>
            <w:tcW w:type="dxa" w:w="890"/>
          </w:tcPr>
          <w:p>
            <w:pPr>
              <w:pStyle w:val="null3"/>
            </w:pPr>
            <w:r>
              <w:rPr/>
              <w:t>6</w:t>
            </w:r>
          </w:p>
        </w:tc>
        <w:tc>
          <w:tcPr>
            <w:tcW w:type="dxa" w:w="3178"/>
          </w:tcPr>
          <w:p>
            <w:pPr>
              <w:pStyle w:val="null3"/>
            </w:pPr>
            <w:r>
              <w:rPr/>
              <w:t>供应商必须符合法律、行政法规规定的其他条件</w:t>
            </w:r>
          </w:p>
        </w:tc>
        <w:tc>
          <w:tcPr>
            <w:tcW w:type="dxa" w:w="4238"/>
          </w:tcPr>
          <w:p>
            <w:pPr>
              <w:pStyle w:val="null3"/>
            </w:pPr>
            <w:r>
              <w:rPr/>
              <w:t>1.本项目不接受联合体投标。 2.供应商未被列入“信用中国”网站中“记录失信被执行人或重大税收违法案件当事人名单或政府采购严重违法失信行为”的记录名单；不处于“中国政府采购网”中“政府采购严重违法失信行为信息记录”的禁止参加政 府采购活动期间（以采购代理机构或采购人于资格审查时在上述网站查询结果为准，如在上述网站查询结果均显示没有相关记 录，视为没有上述不良信用记录。同时对信用信息查询记录和证据截图存档。如相关失信记录已失效，供应商须提供相关证明资料）。 3.供应商必须符合法律、行政法规规定的其他条件：依据《投标函》。</w:t>
            </w:r>
          </w:p>
        </w:tc>
      </w:tr>
      <w:tr>
        <w:tc>
          <w:tcPr>
            <w:tcW w:type="dxa" w:w="890"/>
          </w:tcPr>
          <w:p>
            <w:pPr>
              <w:pStyle w:val="null3"/>
            </w:pPr>
            <w:r>
              <w:rPr/>
              <w:t>7</w:t>
            </w:r>
          </w:p>
        </w:tc>
        <w:tc>
          <w:tcPr>
            <w:tcW w:type="dxa" w:w="3178"/>
          </w:tcPr>
          <w:p>
            <w:pPr>
              <w:pStyle w:val="null3"/>
            </w:pPr>
            <w:r>
              <w:rPr/>
              <w:t>本采购包专门面向中小企业采购</w:t>
            </w:r>
          </w:p>
        </w:tc>
        <w:tc>
          <w:tcPr>
            <w:tcW w:type="dxa" w:w="4238"/>
          </w:tcPr>
          <w:p>
            <w:pPr>
              <w:pStyle w:val="null3"/>
            </w:pPr>
            <w:r>
              <w:rPr/>
              <w:t>本项目属于专门面向中小微企业采购的项目，全部服务的承接方应为中小微企业、监狱企业或残疾人福利性单位【依据《中小企业声明函》或由省级以上监狱管理局、戒毒管理局(含新疆生产建设兵团)出具的承接方属于监狱企业的证明文件或承接方的《残疾人福利性单位声明函》】。</w:t>
            </w:r>
          </w:p>
        </w:tc>
      </w:tr>
    </w:tbl>
    <w:p>
      <w:pPr>
        <w:pStyle w:val="null3"/>
        <w:ind w:firstLine="480"/>
      </w:pPr>
      <w:r>
        <w:rPr/>
        <w:t>表二符合性审查表：</w:t>
      </w:r>
    </w:p>
    <w:p>
      <w:pPr>
        <w:pStyle w:val="null3"/>
      </w:pPr>
      <w:r>
        <w:rPr/>
        <w:t>采购包1（2024年教育科研线上培训课程制作服务项目）：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符合性审查内容</w:t>
            </w:r>
          </w:p>
        </w:tc>
        <w:tc>
          <w:tcPr>
            <w:tcW w:type="dxa" w:w="4238"/>
          </w:tcPr>
          <w:p>
            <w:pPr>
              <w:pStyle w:val="null3"/>
            </w:pPr>
            <w:r>
              <w:rPr/>
              <w:t>1.报价确定且不高于预算金额。 2.有盖章、签署要求的格式文件已按要求盖章、签署。 3.投标文件完全满足招标文件中带★号的条款和指标 (审查《实质性响应一览表》) 4.未发现属无效投标的其他情形。以下为属无效投标的其他情形：（1）法定代表人或单位负责人为同一个人或者存在直接控股、管理关系的不同供应商，同时参加本项目或同一采购包投标的。 （2）投标人为本项目提供整体设计、规范编制或者项目管理、监理、检测等服务的。（3）评标期间，投标人没有按评标委员会的要求提交法定代表人或其委托代理人签字的澄清、说明、补正或改变了投标文件的实质性内容的。 （4）投标文件提供虚假材料的。 （5）投标人以他人的名义投标、串通投标、以行贿手段谋取中标或者以其他弄虚作假方式投标的。 （6）投标人对采购人、采购代理机构、评标委员会及其工作人员施加影响，有碍招标公平、公正的。 （7）投标文件含有采购人不能接受的附加条件的。 （8）法律、法规和招标文件规定的其他无效情形。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采购包1(2024年教育科研线上培训课程制作服务项目):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商务部分30.0分</w:t>
            </w:r>
          </w:p>
          <w:p>
            <w:pPr>
              <w:pStyle w:val="null3"/>
            </w:pPr>
            <w:r>
              <w:rPr/>
              <w:t>技术部分45.0分</w:t>
            </w:r>
          </w:p>
          <w:p>
            <w:pPr>
              <w:pStyle w:val="null3"/>
            </w:pPr>
            <w:r>
              <w:rPr/>
              <w:t>综合信用分5.0分</w:t>
            </w:r>
          </w:p>
          <w:p>
            <w:pPr>
              <w:pStyle w:val="null3"/>
            </w:pPr>
            <w:r>
              <w:rPr/>
              <w:t>报价得分20.0分</w:t>
            </w:r>
          </w:p>
        </w:tc>
      </w:tr>
      <w:tr>
        <w:tc>
          <w:tcPr>
            <w:tcW w:type="dxa" w:w="922"/>
            <w:gridSpan w:val="2"/>
            <w:vMerge w:val="restart"/>
          </w:tcPr>
          <w:p>
            <w:pPr>
              <w:pStyle w:val="null3"/>
              <w:jc w:val="center"/>
            </w:pPr>
            <w:r>
              <w:rPr/>
              <w:t>技术部分</w:t>
            </w:r>
          </w:p>
        </w:tc>
        <w:tc>
          <w:tcPr>
            <w:tcW w:type="dxa" w:w="2307"/>
          </w:tcPr>
          <w:p>
            <w:pPr>
              <w:pStyle w:val="null3"/>
              <w:jc w:val="left"/>
            </w:pPr>
            <w:r>
              <w:rPr/>
              <w:t>项目服务方案1 (4.0分)</w:t>
            </w:r>
          </w:p>
        </w:tc>
        <w:tc>
          <w:tcPr>
            <w:tcW w:type="dxa" w:w="5076"/>
          </w:tcPr>
          <w:p>
            <w:pPr>
              <w:pStyle w:val="null3"/>
              <w:jc w:val="left"/>
            </w:pPr>
            <w:r>
              <w:rPr/>
              <w:t>投标人根据本项目采购需求提供服务方案包括但不限于项目需求的理解与分析、服务管理制度、服务流程及标准、与采购人对接服务方案。 1.投标人提供的服务方案包含项目需求的理解与分析、服务管理制度、服务流程及标准、与采购人对接服务方案，得4分；无或其他情况不得分，同时项目服务方案质量则不得分。</w:t>
            </w:r>
          </w:p>
        </w:tc>
      </w:tr>
      <w:tr>
        <w:tc>
          <w:tcPr>
            <w:tcW w:type="dxa" w:w="922"/>
            <w:gridSpan w:val="2"/>
            <w:vMerge/>
          </w:tcPr>
          <w:p/>
        </w:tc>
        <w:tc>
          <w:tcPr>
            <w:tcW w:type="dxa" w:w="2307"/>
          </w:tcPr>
          <w:p>
            <w:pPr>
              <w:pStyle w:val="null3"/>
              <w:jc w:val="left"/>
            </w:pPr>
            <w:r>
              <w:rPr/>
              <w:t>项目服务方案质量2 (4.0分)</w:t>
            </w:r>
          </w:p>
        </w:tc>
        <w:tc>
          <w:tcPr>
            <w:tcW w:type="dxa" w:w="5076"/>
          </w:tcPr>
          <w:p>
            <w:pPr>
              <w:pStyle w:val="null3"/>
              <w:jc w:val="left"/>
            </w:pPr>
            <w:r>
              <w:rPr/>
              <w:t>投标人提供服务方案完全满足或优于采购需求，得4分；部分满足采购需求得2分；无或其他情况不得分。</w:t>
            </w:r>
          </w:p>
        </w:tc>
      </w:tr>
      <w:tr>
        <w:tc>
          <w:tcPr>
            <w:tcW w:type="dxa" w:w="922"/>
            <w:gridSpan w:val="2"/>
            <w:vMerge/>
          </w:tcPr>
          <w:p/>
        </w:tc>
        <w:tc>
          <w:tcPr>
            <w:tcW w:type="dxa" w:w="2307"/>
          </w:tcPr>
          <w:p>
            <w:pPr>
              <w:pStyle w:val="null3"/>
              <w:jc w:val="left"/>
            </w:pPr>
            <w:r>
              <w:rPr/>
              <w:t>网络课程资源建设方案 1 (4.0分)</w:t>
            </w:r>
          </w:p>
        </w:tc>
        <w:tc>
          <w:tcPr>
            <w:tcW w:type="dxa" w:w="5076"/>
          </w:tcPr>
          <w:p>
            <w:pPr>
              <w:pStyle w:val="null3"/>
              <w:jc w:val="left"/>
            </w:pPr>
            <w:r>
              <w:rPr/>
              <w:t>投标人根据本项目提供网络课程资源建设方案包括但不限于：（1）工作手段：项目实施方案有可操作的开展。（2）工作流程：供应商提供的项目实施方案中应设定明确的实施流程，每个工作节点衔接顺畅，体现延续性与前瞻性。 1.投标人提供的网络课程资源建设方案包含工作手段、工作流程，得4分；无或其他情况不得分，同时网络课程资源建设方案质量则不得分。</w:t>
            </w:r>
          </w:p>
        </w:tc>
      </w:tr>
      <w:tr>
        <w:tc>
          <w:tcPr>
            <w:tcW w:type="dxa" w:w="922"/>
            <w:gridSpan w:val="2"/>
            <w:vMerge/>
          </w:tcPr>
          <w:p/>
        </w:tc>
        <w:tc>
          <w:tcPr>
            <w:tcW w:type="dxa" w:w="2307"/>
          </w:tcPr>
          <w:p>
            <w:pPr>
              <w:pStyle w:val="null3"/>
              <w:jc w:val="left"/>
            </w:pPr>
            <w:r>
              <w:rPr/>
              <w:t>网络课程资源建设方案质量2 (4.0分)</w:t>
            </w:r>
          </w:p>
        </w:tc>
        <w:tc>
          <w:tcPr>
            <w:tcW w:type="dxa" w:w="5076"/>
          </w:tcPr>
          <w:p>
            <w:pPr>
              <w:pStyle w:val="null3"/>
              <w:jc w:val="left"/>
            </w:pPr>
            <w:r>
              <w:rPr/>
              <w:t>投标人提供网络课程资源建设方案完全满足或优于采购需求，得4分；部分满足采购需求得2分；无或其他情况不得分。</w:t>
            </w:r>
          </w:p>
        </w:tc>
      </w:tr>
      <w:tr>
        <w:tc>
          <w:tcPr>
            <w:tcW w:type="dxa" w:w="922"/>
            <w:gridSpan w:val="2"/>
            <w:vMerge/>
          </w:tcPr>
          <w:p/>
        </w:tc>
        <w:tc>
          <w:tcPr>
            <w:tcW w:type="dxa" w:w="2307"/>
          </w:tcPr>
          <w:p>
            <w:pPr>
              <w:pStyle w:val="null3"/>
              <w:jc w:val="left"/>
            </w:pPr>
            <w:r>
              <w:rPr/>
              <w:t>成果质量保证及检查措施1 (3.0分)</w:t>
            </w:r>
          </w:p>
        </w:tc>
        <w:tc>
          <w:tcPr>
            <w:tcW w:type="dxa" w:w="5076"/>
          </w:tcPr>
          <w:p>
            <w:pPr>
              <w:pStyle w:val="null3"/>
              <w:jc w:val="left"/>
            </w:pPr>
            <w:r>
              <w:rPr/>
              <w:t>投标人根据本项目提供成果质量保证及检查措施，包括但不限于质量控制目标方针、质量控制运作机制、质量控制措施手段。 1. 投标人提供的成果质量保证及检查措施包含质量控制目标方针、质量控制运作机制、质量控制措施手段，得3分；无或其他情况不得分，同时成果质量保证及检查措施质量不得分。</w:t>
            </w:r>
          </w:p>
        </w:tc>
      </w:tr>
      <w:tr>
        <w:tc>
          <w:tcPr>
            <w:tcW w:type="dxa" w:w="922"/>
            <w:gridSpan w:val="2"/>
            <w:vMerge/>
          </w:tcPr>
          <w:p/>
        </w:tc>
        <w:tc>
          <w:tcPr>
            <w:tcW w:type="dxa" w:w="2307"/>
          </w:tcPr>
          <w:p>
            <w:pPr>
              <w:pStyle w:val="null3"/>
              <w:jc w:val="left"/>
            </w:pPr>
            <w:r>
              <w:rPr/>
              <w:t>成果质量保证及检查措施质量2 (3.0分)</w:t>
            </w:r>
          </w:p>
        </w:tc>
        <w:tc>
          <w:tcPr>
            <w:tcW w:type="dxa" w:w="5076"/>
          </w:tcPr>
          <w:p>
            <w:pPr>
              <w:pStyle w:val="null3"/>
              <w:jc w:val="left"/>
            </w:pPr>
            <w:r>
              <w:rPr/>
              <w:t>投标人提供设备投入方案完全满足或优于采购需求，得3分；部分满足采购需求得1.5分；无或其他情况不得分，同时成果质量保证及检查措施质量不得分。</w:t>
            </w:r>
          </w:p>
        </w:tc>
      </w:tr>
      <w:tr>
        <w:tc>
          <w:tcPr>
            <w:tcW w:type="dxa" w:w="922"/>
            <w:gridSpan w:val="2"/>
            <w:vMerge/>
          </w:tcPr>
          <w:p/>
        </w:tc>
        <w:tc>
          <w:tcPr>
            <w:tcW w:type="dxa" w:w="2307"/>
          </w:tcPr>
          <w:p>
            <w:pPr>
              <w:pStyle w:val="null3"/>
              <w:jc w:val="left"/>
            </w:pPr>
            <w:r>
              <w:rPr/>
              <w:t>售后服务方案1 (3.0分)</w:t>
            </w:r>
          </w:p>
        </w:tc>
        <w:tc>
          <w:tcPr>
            <w:tcW w:type="dxa" w:w="5076"/>
          </w:tcPr>
          <w:p>
            <w:pPr>
              <w:pStyle w:val="null3"/>
              <w:jc w:val="left"/>
            </w:pPr>
            <w:r>
              <w:rPr/>
              <w:t>投标人根据本项目提供售后服务方案，包括但不限于售后服务内容、售后服务响应速度、售后服务标准： 1. 投标人提供的售后服务内容、售后服务响应速度、售后服务标准，得3分；无或其他情况不得分，同时售后服务方案质量不得分。</w:t>
            </w:r>
          </w:p>
        </w:tc>
      </w:tr>
      <w:tr>
        <w:tc>
          <w:tcPr>
            <w:tcW w:type="dxa" w:w="922"/>
            <w:gridSpan w:val="2"/>
            <w:vMerge/>
          </w:tcPr>
          <w:p/>
        </w:tc>
        <w:tc>
          <w:tcPr>
            <w:tcW w:type="dxa" w:w="2307"/>
          </w:tcPr>
          <w:p>
            <w:pPr>
              <w:pStyle w:val="null3"/>
              <w:jc w:val="left"/>
            </w:pPr>
            <w:r>
              <w:rPr/>
              <w:t>售后服务方案质量 2 (2.0分)</w:t>
            </w:r>
          </w:p>
        </w:tc>
        <w:tc>
          <w:tcPr>
            <w:tcW w:type="dxa" w:w="5076"/>
          </w:tcPr>
          <w:p>
            <w:pPr>
              <w:pStyle w:val="null3"/>
              <w:jc w:val="left"/>
            </w:pPr>
            <w:r>
              <w:rPr/>
              <w:t>投标人提供售后服务方案完全满足或优于采购需求，得2分；部分满足采购需求得1分；无或其他情况不得分。</w:t>
            </w:r>
          </w:p>
        </w:tc>
      </w:tr>
      <w:tr>
        <w:tc>
          <w:tcPr>
            <w:tcW w:type="dxa" w:w="922"/>
            <w:gridSpan w:val="2"/>
            <w:vMerge/>
          </w:tcPr>
          <w:p/>
        </w:tc>
        <w:tc>
          <w:tcPr>
            <w:tcW w:type="dxa" w:w="2307"/>
          </w:tcPr>
          <w:p>
            <w:pPr>
              <w:pStyle w:val="null3"/>
              <w:jc w:val="left"/>
            </w:pPr>
            <w:r>
              <w:rPr/>
              <w:t>课程资源建设能力 (6.0分)</w:t>
            </w:r>
          </w:p>
        </w:tc>
        <w:tc>
          <w:tcPr>
            <w:tcW w:type="dxa" w:w="5076"/>
          </w:tcPr>
          <w:p>
            <w:pPr>
              <w:pStyle w:val="null3"/>
              <w:jc w:val="left"/>
            </w:pPr>
            <w:r>
              <w:rPr/>
              <w:t>1.投标人拥有自主开发的课程著作权，每提供一门得0.5分，最高得4分。没有不得分。 注：投标文件中提供国家版权局出具的作品登记证书材料，否则不得分。 2.提供专门影棚制作场地，能够满足多样化的拍摄需求得2分。(提供录制场地图片，自有的提供产权证书扫描件，租赁的提供租赁合同扫描件)无提供则不得分。</w:t>
            </w:r>
          </w:p>
        </w:tc>
      </w:tr>
      <w:tr>
        <w:tc>
          <w:tcPr>
            <w:tcW w:type="dxa" w:w="922"/>
            <w:gridSpan w:val="2"/>
            <w:vMerge/>
          </w:tcPr>
          <w:p/>
        </w:tc>
        <w:tc>
          <w:tcPr>
            <w:tcW w:type="dxa" w:w="2307"/>
          </w:tcPr>
          <w:p>
            <w:pPr>
              <w:pStyle w:val="null3"/>
              <w:jc w:val="left"/>
            </w:pPr>
            <w:r>
              <w:rPr/>
              <w:t>设备投入方案（1） (1.0分)</w:t>
            </w:r>
          </w:p>
        </w:tc>
        <w:tc>
          <w:tcPr>
            <w:tcW w:type="dxa" w:w="5076"/>
          </w:tcPr>
          <w:p>
            <w:pPr>
              <w:pStyle w:val="null3"/>
              <w:jc w:val="left"/>
            </w:pPr>
            <w:r>
              <w:rPr/>
              <w:t>投标人根据本项目提供设备投入方案，包括但不限于设备清单，设备技术参数说明。根据投标人为本采购包搭建相适应的课程制作中心，课程制作设备具体考核方向包括课程视频资源制作设备、课程动画及非线性编辑制作设备、录音棚音频工作站设备、智能教室及控制室设备、教师微课制作设备，具体设备包括但不限于专业级高清数字录像设备、专业级话筒等方面进行评审：能提供设备投入方案的1分。</w:t>
            </w:r>
          </w:p>
        </w:tc>
      </w:tr>
      <w:tr>
        <w:tc>
          <w:tcPr>
            <w:tcW w:type="dxa" w:w="922"/>
            <w:gridSpan w:val="2"/>
            <w:vMerge/>
          </w:tcPr>
          <w:p/>
        </w:tc>
        <w:tc>
          <w:tcPr>
            <w:tcW w:type="dxa" w:w="2307"/>
          </w:tcPr>
          <w:p>
            <w:pPr>
              <w:pStyle w:val="null3"/>
              <w:jc w:val="left"/>
            </w:pPr>
            <w:r>
              <w:rPr/>
              <w:t>设备投入方案2 (4.0分)</w:t>
            </w:r>
          </w:p>
        </w:tc>
        <w:tc>
          <w:tcPr>
            <w:tcW w:type="dxa" w:w="5076"/>
          </w:tcPr>
          <w:p>
            <w:pPr>
              <w:pStyle w:val="null3"/>
              <w:jc w:val="left"/>
            </w:pPr>
            <w:r>
              <w:rPr/>
              <w:t>投标人根据本项目提供设备投入方案，包括但不限于设备清单，设备技术参数说明。根据投标人为本采购包搭建相适应的课程制作中心，课程制作设备具体考核方向包括课程视频资源制作设备、课程动画及非线性编辑制作设备、录音棚音频工作站设备、智能教室及控制室设备、教师微课制作设备，具体设备包括但不限于专业级高清数字录像设备、专业级话筒等方面进行评审： 设备投入方案优于采购需求得4分。 满足采购需求得2分 部分满足采购需求得1分。 不满足采购需求不得分。</w:t>
            </w:r>
          </w:p>
        </w:tc>
      </w:tr>
      <w:tr>
        <w:tc>
          <w:tcPr>
            <w:tcW w:type="dxa" w:w="922"/>
            <w:gridSpan w:val="2"/>
            <w:vMerge/>
          </w:tcPr>
          <w:p/>
        </w:tc>
        <w:tc>
          <w:tcPr>
            <w:tcW w:type="dxa" w:w="2307"/>
          </w:tcPr>
          <w:p>
            <w:pPr>
              <w:pStyle w:val="null3"/>
              <w:jc w:val="left"/>
            </w:pPr>
            <w:r>
              <w:rPr/>
              <w:t>课程资源样例演示 (7.0分)</w:t>
            </w:r>
          </w:p>
        </w:tc>
        <w:tc>
          <w:tcPr>
            <w:tcW w:type="dxa" w:w="5076"/>
          </w:tcPr>
          <w:p>
            <w:pPr>
              <w:pStyle w:val="null3"/>
              <w:jc w:val="left"/>
            </w:pPr>
            <w:r>
              <w:rPr/>
              <w:t>供应商进行现场演示，演示内容为供应商拥有的固定拍摄制作场地数量等基本情况；提供的技术服务硬件支持情况；提供的技术服务软件支持情况；技术服务成品展示情况等。演示时间不超过10分钟。 根据供应商的演示情况进行评审：1、演示内容：优于采购需求，得4分；完全满足采购需求，得3分；部分满足采购需求，得2分；不提供或不满足采购需求不得分。 2、样片演示：现场展示过往已经完成的同类项目样片并介绍设计思想，介绍内容完整详细，设计思路清晰、新颖，包含采购人所有需求，评审专家根据样片展示效果及绍的设计思想综合评审，样片效果显著，得3分；效果一般得2分；效果差得1分；不演示不得分。</w:t>
            </w:r>
          </w:p>
        </w:tc>
      </w:tr>
      <w:tr>
        <w:tc>
          <w:tcPr>
            <w:tcW w:type="dxa" w:w="922"/>
            <w:gridSpan w:val="2"/>
            <w:vMerge w:val="restart"/>
          </w:tcPr>
          <w:p>
            <w:pPr>
              <w:pStyle w:val="null3"/>
              <w:jc w:val="center"/>
            </w:pPr>
            <w:r>
              <w:rPr/>
              <w:t>商务部分</w:t>
            </w:r>
          </w:p>
        </w:tc>
        <w:tc>
          <w:tcPr>
            <w:tcW w:type="dxa" w:w="2307"/>
          </w:tcPr>
          <w:p>
            <w:pPr>
              <w:pStyle w:val="null3"/>
              <w:jc w:val="left"/>
            </w:pPr>
            <w:r>
              <w:rPr/>
              <w:t>同类项目经验：依据 2021年以来的同类项目合同情况进行评审【以合同签订时间为准。分支机构投标的，总公司（总所）业绩可纳入评审】 (8.0分)</w:t>
            </w:r>
          </w:p>
        </w:tc>
        <w:tc>
          <w:tcPr>
            <w:tcW w:type="dxa" w:w="5076"/>
          </w:tcPr>
          <w:p>
            <w:pPr>
              <w:pStyle w:val="null3"/>
              <w:jc w:val="left"/>
            </w:pPr>
            <w:r>
              <w:rPr/>
              <w:t>每提供一个同类项目经验得1分，最高得8分。 注：提供合同扫描件。</w:t>
            </w:r>
          </w:p>
        </w:tc>
      </w:tr>
      <w:tr>
        <w:tc>
          <w:tcPr>
            <w:tcW w:type="dxa" w:w="922"/>
            <w:gridSpan w:val="2"/>
            <w:vMerge/>
          </w:tcPr>
          <w:p/>
        </w:tc>
        <w:tc>
          <w:tcPr>
            <w:tcW w:type="dxa" w:w="2307"/>
          </w:tcPr>
          <w:p>
            <w:pPr>
              <w:pStyle w:val="null3"/>
              <w:jc w:val="left"/>
            </w:pPr>
            <w:r>
              <w:rPr/>
              <w:t>客户评价 (5.0分)</w:t>
            </w:r>
          </w:p>
        </w:tc>
        <w:tc>
          <w:tcPr>
            <w:tcW w:type="dxa" w:w="5076"/>
          </w:tcPr>
          <w:p>
            <w:pPr>
              <w:pStyle w:val="null3"/>
              <w:jc w:val="left"/>
            </w:pPr>
            <w:r>
              <w:rPr/>
              <w:t>供应商提供2021年以来的同类项目业绩的用户评价（优秀、良好、满意或同等级的正面评价），每提供一项得1分，最高得5分。【注：供应商须提供对应的用户评价复印件（须有用户公章）并加盖供应商公章，未按要求提供以上完整材料的，则该项业绩不得分。】</w:t>
            </w:r>
          </w:p>
        </w:tc>
      </w:tr>
      <w:tr>
        <w:tc>
          <w:tcPr>
            <w:tcW w:type="dxa" w:w="922"/>
            <w:gridSpan w:val="2"/>
            <w:vMerge/>
          </w:tcPr>
          <w:p/>
        </w:tc>
        <w:tc>
          <w:tcPr>
            <w:tcW w:type="dxa" w:w="2307"/>
          </w:tcPr>
          <w:p>
            <w:pPr>
              <w:pStyle w:val="null3"/>
              <w:jc w:val="left"/>
            </w:pPr>
            <w:r>
              <w:rPr/>
              <w:t>投入本项目的项目服务团队情况 (10.0分)</w:t>
            </w:r>
          </w:p>
        </w:tc>
        <w:tc>
          <w:tcPr>
            <w:tcW w:type="dxa" w:w="5076"/>
          </w:tcPr>
          <w:p>
            <w:pPr>
              <w:pStyle w:val="null3"/>
              <w:jc w:val="left"/>
            </w:pPr>
            <w:r>
              <w:rPr/>
              <w:t>1.项目负责人：中标人为本项目拟派一名项目负责人，须为投标人员工，具有高级或以上职称的得1分；具有教育学相关专业硕士学位的得1分，具有博士学位的得2分（本小项不累计，最高得2分）；具备五年或以上的相关经验（不同任职单位可累计），得1分。本项最高得4分。 2.服务团队：（除项目负责人外），团队人员须为中标人员工，拟安排的成员架构（除项目负责人外），团队人数5人或以上的，得3分，3-4人得2分，1-2人得1分，最高得3分。 3.服务团队中（除项目负责人外），每具备以下条件的，加1分，每项最高得1分，最高加3分： （1）教育学相关专业硕士及以上学位 （2）具备三年或以上的相关经验（不同任职单位可累计） ；（3）具有多媒体应用设计师证书。 注：以上人员不重复计分，须提供以上人员的学位证及相关资格证书、资质证明材料及服务人员在投标人服务的外部证明材料扫描件（如投标截止日之前六个月以内任意月份的参加社会保险的《投保单》或《社会保险参保人员证明》等），相关工作经验提供由供应商出具的声明文件（声明内容应包含该人员从事对应工作内容的起止时间及所负责的工作内容），无提供或未按要求提供的不得分。</w:t>
            </w:r>
          </w:p>
        </w:tc>
      </w:tr>
      <w:tr>
        <w:tc>
          <w:tcPr>
            <w:tcW w:type="dxa" w:w="922"/>
            <w:gridSpan w:val="2"/>
            <w:vMerge/>
          </w:tcPr>
          <w:p/>
        </w:tc>
        <w:tc>
          <w:tcPr>
            <w:tcW w:type="dxa" w:w="2307"/>
          </w:tcPr>
          <w:p>
            <w:pPr>
              <w:pStyle w:val="null3"/>
              <w:jc w:val="left"/>
            </w:pPr>
            <w:r>
              <w:rPr/>
              <w:t>在有效期内的体系认证情况 (6.0分)</w:t>
            </w:r>
          </w:p>
        </w:tc>
        <w:tc>
          <w:tcPr>
            <w:tcW w:type="dxa" w:w="5076"/>
          </w:tcPr>
          <w:p>
            <w:pPr>
              <w:pStyle w:val="null3"/>
              <w:jc w:val="left"/>
            </w:pPr>
            <w:r>
              <w:rPr/>
              <w:t>投标人具有质量管理体系认证证书得2分、环境管理体系认证证书得2分、职业健康安全管理体系认证证书得2分，最高6分； 注：提供证书扫描件及在全国认证认可信息公共服务平台上对证书的查询结果截图为证明材料，已失效或撤销或暂停的不得分，公开信息中无法查询或与公开信息不一致的，供应商必须提供发证机构出具的证明函。否则不得分。</w:t>
            </w:r>
          </w:p>
        </w:tc>
      </w:tr>
      <w:tr>
        <w:tc>
          <w:tcPr>
            <w:tcW w:type="dxa" w:w="922"/>
            <w:gridSpan w:val="2"/>
            <w:vMerge/>
          </w:tcPr>
          <w:p/>
        </w:tc>
        <w:tc>
          <w:tcPr>
            <w:tcW w:type="dxa" w:w="2307"/>
          </w:tcPr>
          <w:p>
            <w:pPr>
              <w:pStyle w:val="null3"/>
              <w:jc w:val="left"/>
            </w:pPr>
            <w:r>
              <w:rPr/>
              <w:t>对非重大违法违规记录的扣分 (1.0分)</w:t>
            </w:r>
          </w:p>
        </w:tc>
        <w:tc>
          <w:tcPr>
            <w:tcW w:type="dxa" w:w="5076"/>
          </w:tcPr>
          <w:p>
            <w:pPr>
              <w:pStyle w:val="null3"/>
              <w:jc w:val="left"/>
            </w:pPr>
            <w:r>
              <w:rPr/>
              <w:t>以“信用中国”（www.creditchina.gov.cn）网站为查询渠道：对列入行 政处罚或经营异常的投标人每一条记录扣0.1分，最高扣1分。如查询结果显示没有相关记录，视为没有上述非重大违法违规记录，则不扣分。以评标委员会于评审时在上述网站查询结果为准，评标委员会应将上述记录查询情况截图存档。注：总公司（总所）投标的，只查询总公司（总所）； 分支机构（分所）投标的，只查询该分支机构。</w:t>
            </w:r>
          </w:p>
        </w:tc>
      </w:tr>
      <w:tr>
        <w:tc>
          <w:tcPr>
            <w:tcW w:type="dxa" w:w="922"/>
            <w:gridSpan w:val="2"/>
          </w:tcPr>
          <w:p>
            <w:pPr>
              <w:pStyle w:val="null3"/>
              <w:jc w:val="center"/>
            </w:pPr>
            <w:r>
              <w:rPr/>
              <w:t>投标报价</w:t>
            </w:r>
          </w:p>
        </w:tc>
        <w:tc>
          <w:tcPr>
            <w:tcW w:type="dxa" w:w="2307"/>
          </w:tcPr>
          <w:p>
            <w:pPr>
              <w:pStyle w:val="null3"/>
              <w:jc w:val="left"/>
            </w:pPr>
            <w:r>
              <w:rPr/>
              <w:t>投标报价得分 (20.0分)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r>
        <w:tc>
          <w:tcPr>
            <w:tcW w:type="dxa" w:w="922"/>
            <w:gridSpan w:val="2"/>
          </w:tcPr>
          <w:p>
            <w:pPr>
              <w:pStyle w:val="null3"/>
              <w:jc w:val="center"/>
            </w:pPr>
            <w:r>
              <w:rPr/>
              <w:t>综合信用分</w:t>
            </w:r>
          </w:p>
        </w:tc>
        <w:tc>
          <w:tcPr>
            <w:tcW w:type="dxa" w:w="2307"/>
          </w:tcPr>
          <w:p>
            <w:pPr>
              <w:pStyle w:val="null3"/>
              <w:jc w:val="left"/>
            </w:pPr>
            <w:r>
              <w:rPr/>
              <w:t>综合信用评价 (5.0分)</w:t>
            </w:r>
          </w:p>
        </w:tc>
        <w:tc>
          <w:tcPr>
            <w:tcW w:type="dxa" w:w="5076"/>
          </w:tcPr>
          <w:p>
            <w:pPr>
              <w:pStyle w:val="null3"/>
              <w:jc w:val="left"/>
            </w:pPr>
            <w:r>
              <w:rPr/>
              <w:t>综合信用评价得分=综合信用评价得分(属于商务部分的一部分)=投标人的广州公共资源交易信用评价（政府采购供应商信用评价分）×5%。 投标人的信用评价分以开标当天广州交易集团有限公司网站公布的分值为准（通过“广州交易集团有限公司网站-信用信息-广州公共资源交易信用平台3.0” 进行核实，未能在网站查询到供应商信用评价分的，以当天信用评价基准分计算。供应商为联合体的，以牵头方信用评价分计算。</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48"/>
          <w:b/>
          <w:color w:val="222222"/>
          <w:shd w:fill="FFFFFF" w:val="clear"/>
        </w:rPr>
        <w:t>广东省政府采购</w:t>
      </w:r>
    </w:p>
    <w:p>
      <w:pPr>
        <w:pStyle w:val="null3"/>
        <w:spacing w:before="150" w:after="150"/>
        <w:jc w:val="both"/>
      </w:pPr>
      <w:r>
        <w:rPr>
          <w:shd w:fill="FFFFFF" w:val="clear"/>
        </w:rPr>
        <w:t xml:space="preserve"> </w:t>
      </w:r>
    </w:p>
    <w:p>
      <w:pPr>
        <w:pStyle w:val="null3"/>
        <w:jc w:val="center"/>
      </w:pPr>
      <w:r>
        <w:rPr>
          <w:sz w:val="48"/>
          <w:b/>
          <w:color w:val="222222"/>
          <w:shd w:fill="FFFFFF" w:val="clear"/>
        </w:rPr>
        <w:t>合　同　书</w:t>
      </w:r>
    </w:p>
    <w:p>
      <w:pPr>
        <w:pStyle w:val="null3"/>
        <w:jc w:val="center"/>
      </w:pPr>
      <w:r>
        <w:rPr>
          <w:shd w:fill="FFFFFF" w:val="clear"/>
        </w:rPr>
        <w:t>注：</w:t>
      </w:r>
      <w:r>
        <w:rPr>
          <w:shd w:fill="FFFFFF" w:val="clear"/>
        </w:rPr>
        <w:t>1.</w:t>
      </w:r>
      <w:r>
        <w:rPr>
          <w:shd w:fill="FFFFFF" w:val="clear"/>
        </w:rPr>
        <w:t>本</w:t>
      </w:r>
      <w:r>
        <w:rPr>
          <w:shd w:fill="FFFFFF" w:val="clear"/>
        </w:rPr>
        <w:t>项目</w:t>
      </w:r>
      <w:r>
        <w:rPr>
          <w:shd w:fill="FFFFFF" w:val="clear"/>
        </w:rPr>
        <w:t>合同为中小企业预留合同</w:t>
      </w:r>
      <w:r>
        <w:rPr>
          <w:shd w:fill="FFFFFF" w:val="clear"/>
        </w:rPr>
        <w:t>；</w:t>
      </w:r>
    </w:p>
    <w:p>
      <w:pPr>
        <w:pStyle w:val="null3"/>
        <w:jc w:val="left"/>
      </w:pPr>
      <w:r>
        <w:rPr>
          <w:shd w:fill="FFFFFF" w:val="clear"/>
        </w:rPr>
        <w:t>2.</w:t>
      </w:r>
      <w:r>
        <w:rPr>
          <w:shd w:fill="FFFFFF" w:val="clear"/>
        </w:rPr>
        <w:t>合同具体事项须根据采购文件的约定及乙方投标文件的承诺执行。</w:t>
      </w:r>
    </w:p>
    <w:p>
      <w:pPr>
        <w:pStyle w:val="null3"/>
        <w:jc w:val="center"/>
      </w:pPr>
      <w:r>
        <w:rPr>
          <w:shd w:fill="FFFFFF" w:val="clear"/>
        </w:rPr>
        <w:t xml:space="preserve"> </w:t>
      </w:r>
    </w:p>
    <w:p>
      <w:pPr>
        <w:pStyle w:val="null3"/>
        <w:jc w:val="center"/>
      </w:pPr>
      <w:r>
        <w:rPr>
          <w:sz w:val="28"/>
          <w:color w:val="222222"/>
          <w:shd w:fill="FFFFFF" w:val="clear"/>
        </w:rPr>
        <w:t>采购计划编号：</w:t>
      </w:r>
      <w:r>
        <w:rPr>
          <w:u w:val="single"/>
          <w:shd w:fill="FFFFFF" w:val="clear"/>
        </w:rPr>
        <w:t xml:space="preserve">                          </w:t>
      </w:r>
    </w:p>
    <w:p>
      <w:pPr>
        <w:pStyle w:val="null3"/>
        <w:spacing w:before="150" w:after="150"/>
        <w:jc w:val="both"/>
      </w:pPr>
      <w:r>
        <w:rPr>
          <w:shd w:fill="FFFFFF" w:val="clear"/>
        </w:rPr>
        <w:t xml:space="preserve"> </w:t>
      </w:r>
    </w:p>
    <w:p>
      <w:pPr>
        <w:pStyle w:val="null3"/>
        <w:jc w:val="center"/>
      </w:pPr>
      <w:r>
        <w:rPr>
          <w:sz w:val="28"/>
          <w:color w:val="222222"/>
          <w:shd w:fill="FFFFFF" w:val="clear"/>
        </w:rPr>
        <w:t>项目编号：</w:t>
      </w:r>
      <w:r>
        <w:rPr>
          <w:u w:val="single"/>
          <w:shd w:fill="FFFFFF" w:val="clear"/>
        </w:rPr>
        <w:t xml:space="preserve">                                  </w:t>
      </w:r>
    </w:p>
    <w:p>
      <w:pPr>
        <w:pStyle w:val="null3"/>
        <w:spacing w:before="150" w:after="150"/>
        <w:jc w:val="both"/>
      </w:pPr>
      <w:r>
        <w:rPr>
          <w:shd w:fill="FFFFFF" w:val="clear"/>
        </w:rPr>
        <w:t xml:space="preserve"> </w:t>
      </w:r>
    </w:p>
    <w:p>
      <w:pPr>
        <w:pStyle w:val="null3"/>
        <w:jc w:val="center"/>
      </w:pPr>
      <w:r>
        <w:rPr>
          <w:sz w:val="28"/>
          <w:color w:val="222222"/>
          <w:shd w:fill="FFFFFF" w:val="clear"/>
        </w:rPr>
        <w:t>项目名称：</w:t>
      </w:r>
      <w:r>
        <w:rPr>
          <w:u w:val="single"/>
          <w:shd w:fill="FFFFFF" w:val="clear"/>
        </w:rPr>
        <w:t xml:space="preserve">                             </w:t>
      </w:r>
    </w:p>
    <w:p>
      <w:pPr>
        <w:pStyle w:val="null3"/>
      </w:pPr>
      <w:r>
        <w:rPr>
          <w:shd w:fill="FFFFFF" w:val="clear"/>
        </w:rPr>
        <w:t xml:space="preserve"> </w:t>
      </w:r>
    </w:p>
    <w:p>
      <w:pPr>
        <w:pStyle w:val="null3"/>
      </w:pPr>
      <w:r>
        <w:rPr>
          <w:shd w:fill="FFFFFF" w:val="clear"/>
        </w:rPr>
        <w:t xml:space="preserve"> </w:t>
      </w:r>
    </w:p>
    <w:p>
      <w:pPr>
        <w:pStyle w:val="null3"/>
      </w:pPr>
      <w:r>
        <w:rPr>
          <w:shd w:fill="FFFFFF" w:val="clear"/>
        </w:rPr>
        <w:t xml:space="preserve"> </w:t>
      </w:r>
    </w:p>
    <w:p>
      <w:pPr>
        <w:pStyle w:val="null3"/>
      </w:pPr>
      <w:r>
        <w:rPr>
          <w:shd w:fill="FFFFFF" w:val="clear"/>
        </w:rPr>
        <w:t xml:space="preserve"> </w:t>
      </w:r>
    </w:p>
    <w:p>
      <w:pPr>
        <w:pStyle w:val="null3"/>
      </w:pPr>
      <w:r>
        <w:rPr>
          <w:shd w:fill="FFFFFF" w:val="clear"/>
        </w:rPr>
        <w:t xml:space="preserve"> </w:t>
      </w:r>
    </w:p>
    <w:p>
      <w:pPr>
        <w:pStyle w:val="null3"/>
      </w:pPr>
      <w:r>
        <w:rPr>
          <w:shd w:fill="FFFFFF" w:val="clear"/>
        </w:rPr>
        <w:t xml:space="preserve"> </w:t>
      </w:r>
    </w:p>
    <w:p>
      <w:pPr>
        <w:pStyle w:val="null3"/>
      </w:pPr>
      <w:r>
        <w:rPr>
          <w:shd w:fill="FFFFFF" w:val="clear"/>
        </w:rPr>
        <w:t xml:space="preserve"> </w:t>
      </w:r>
    </w:p>
    <w:p>
      <w:pPr>
        <w:pStyle w:val="null3"/>
      </w:pPr>
      <w:r>
        <w:rPr>
          <w:shd w:fill="FFFFFF" w:val="clear"/>
        </w:rPr>
        <w:t xml:space="preserve"> </w:t>
      </w:r>
    </w:p>
    <w:p>
      <w:pPr>
        <w:pStyle w:val="null3"/>
      </w:pPr>
      <w:r>
        <w:rPr>
          <w:shd w:fill="FFFFFF" w:val="clear"/>
        </w:rPr>
        <w:t xml:space="preserve"> </w:t>
      </w:r>
    </w:p>
    <w:p>
      <w:pPr>
        <w:pStyle w:val="null3"/>
        <w:jc w:val="both"/>
      </w:pPr>
      <w:r>
        <w:rPr>
          <w:shd w:fill="FFFFFF" w:val="clear"/>
        </w:rPr>
        <w:t xml:space="preserve"> </w:t>
      </w:r>
    </w:p>
    <w:p>
      <w:pPr>
        <w:pStyle w:val="null3"/>
        <w:jc w:val="both"/>
      </w:pPr>
      <w:r>
        <w:rPr>
          <w:sz w:val="27"/>
          <w:b/>
          <w:color w:val="222222"/>
          <w:shd w:fill="FFFFFF" w:val="clear"/>
        </w:rPr>
        <w:t>甲方：</w:t>
      </w:r>
      <w:r>
        <w:rPr>
          <w:b/>
          <w:u w:val="single"/>
          <w:shd w:fill="FFFFFF" w:val="clear"/>
        </w:rPr>
        <w:t xml:space="preserve">  </w:t>
      </w:r>
    </w:p>
    <w:p>
      <w:pPr>
        <w:pStyle w:val="null3"/>
        <w:jc w:val="both"/>
      </w:pPr>
      <w:r>
        <w:rPr>
          <w:sz w:val="27"/>
          <w:color w:val="222222"/>
          <w:shd w:fill="FFFFFF" w:val="clear"/>
        </w:rPr>
        <w:t>电话：</w:t>
      </w:r>
      <w:r>
        <w:rPr>
          <w:b/>
          <w:u w:val="single"/>
          <w:shd w:fill="FFFFFF" w:val="clear"/>
        </w:rPr>
        <w:t xml:space="preserve">  </w:t>
      </w:r>
      <w:r>
        <w:rPr>
          <w:sz w:val="27"/>
          <w:color w:val="222222"/>
          <w:shd w:fill="FFFFFF" w:val="clear"/>
        </w:rPr>
        <w:t>传真</w:t>
      </w:r>
      <w:r>
        <w:rPr>
          <w:sz w:val="27"/>
          <w:color w:val="222222"/>
          <w:shd w:fill="FFFFFF" w:val="clear"/>
        </w:rPr>
        <w:t>：</w:t>
      </w:r>
      <w:r>
        <w:rPr>
          <w:b/>
          <w:u w:val="single"/>
          <w:shd w:fill="FFFFFF" w:val="clear"/>
        </w:rPr>
        <w:t xml:space="preserve">  </w:t>
      </w:r>
      <w:r>
        <w:rPr>
          <w:sz w:val="27"/>
          <w:color w:val="222222"/>
          <w:shd w:fill="FFFFFF" w:val="clear"/>
        </w:rPr>
        <w:t>地址：</w:t>
      </w:r>
      <w:r>
        <w:rPr>
          <w:b/>
          <w:u w:val="single"/>
          <w:shd w:fill="FFFFFF" w:val="clear"/>
        </w:rPr>
        <w:t xml:space="preserve">   </w:t>
      </w:r>
    </w:p>
    <w:p>
      <w:pPr>
        <w:pStyle w:val="null3"/>
        <w:jc w:val="both"/>
      </w:pPr>
      <w:r>
        <w:rPr>
          <w:sz w:val="27"/>
          <w:b/>
          <w:color w:val="222222"/>
          <w:shd w:fill="FFFFFF" w:val="clear"/>
        </w:rPr>
        <w:t>乙方：</w:t>
      </w:r>
      <w:r>
        <w:rPr>
          <w:b/>
          <w:u w:val="single"/>
          <w:shd w:fill="FFFFFF" w:val="clear"/>
        </w:rPr>
        <w:t xml:space="preserve">  </w:t>
      </w:r>
    </w:p>
    <w:p>
      <w:pPr>
        <w:pStyle w:val="null3"/>
        <w:jc w:val="both"/>
      </w:pPr>
      <w:r>
        <w:rPr>
          <w:sz w:val="27"/>
          <w:color w:val="222222"/>
          <w:shd w:fill="FFFFFF" w:val="clear"/>
        </w:rPr>
        <w:t>电话：</w:t>
      </w:r>
      <w:r>
        <w:rPr>
          <w:b/>
          <w:u w:val="single"/>
          <w:shd w:fill="FFFFFF" w:val="clear"/>
        </w:rPr>
        <w:t xml:space="preserve">   </w:t>
      </w:r>
      <w:r>
        <w:rPr>
          <w:sz w:val="27"/>
          <w:color w:val="222222"/>
          <w:shd w:fill="FFFFFF" w:val="clear"/>
        </w:rPr>
        <w:t>传真：</w:t>
      </w:r>
      <w:r>
        <w:rPr>
          <w:b/>
          <w:u w:val="single"/>
          <w:shd w:fill="FFFFFF" w:val="clear"/>
        </w:rPr>
        <w:t xml:space="preserve">   </w:t>
      </w:r>
      <w:r>
        <w:rPr>
          <w:sz w:val="27"/>
          <w:color w:val="222222"/>
          <w:shd w:fill="FFFFFF" w:val="clear"/>
        </w:rPr>
        <w:t>地址：</w:t>
      </w:r>
      <w:r>
        <w:rPr>
          <w:b/>
          <w:u w:val="single"/>
          <w:shd w:fill="FFFFFF" w:val="clear"/>
        </w:rPr>
        <w:t xml:space="preserve">   </w:t>
      </w:r>
    </w:p>
    <w:p>
      <w:pPr>
        <w:pStyle w:val="null3"/>
        <w:spacing w:before="150" w:after="150"/>
        <w:jc w:val="both"/>
      </w:pPr>
      <w:r>
        <w:rPr>
          <w:shd w:fill="FFFFFF" w:val="clear"/>
        </w:rPr>
        <w:t xml:space="preserve"> </w:t>
      </w:r>
    </w:p>
    <w:p>
      <w:pPr>
        <w:pStyle w:val="null3"/>
        <w:jc w:val="both"/>
      </w:pPr>
      <w:r>
        <w:rPr>
          <w:sz w:val="27"/>
          <w:color w:val="222222"/>
          <w:shd w:fill="FFFFFF" w:val="clear"/>
        </w:rPr>
        <w:t xml:space="preserve">  </w:t>
      </w:r>
      <w:r>
        <w:rPr>
          <w:sz w:val="27"/>
          <w:color w:val="222222"/>
          <w:shd w:fill="FFFFFF" w:val="clear"/>
        </w:rPr>
        <w:t>根据</w:t>
      </w:r>
      <w:r>
        <w:rPr>
          <w:sz w:val="27"/>
          <w:color w:val="222222"/>
          <w:u w:val="single"/>
          <w:shd w:fill="FFFFFF" w:val="clear"/>
        </w:rPr>
        <w:t xml:space="preserve">         </w:t>
      </w:r>
      <w:r>
        <w:rPr>
          <w:sz w:val="27"/>
          <w:color w:val="222222"/>
          <w:u w:val="single"/>
          <w:shd w:fill="FFFFFF" w:val="clear"/>
        </w:rPr>
        <w:t>项目</w:t>
      </w:r>
      <w:r>
        <w:rPr>
          <w:sz w:val="27"/>
          <w:color w:val="222222"/>
          <w:shd w:fill="FFFFFF" w:val="clear"/>
        </w:rPr>
        <w:t>的采购结果，按照《中华人民共和国政府采购法》，《中华人民共和国民法典</w:t>
      </w:r>
      <w:r>
        <w:rPr>
          <w:sz w:val="27"/>
          <w:color w:val="222222"/>
          <w:shd w:fill="FFFFFF" w:val="clear"/>
        </w:rPr>
        <w:t>(合同编)》的规定，经双方协商，本着平等互利和诚实信用的原则，一致同意遵守本合同如下。</w:t>
      </w:r>
    </w:p>
    <w:p>
      <w:pPr>
        <w:pStyle w:val="null3"/>
        <w:jc w:val="both"/>
      </w:pPr>
      <w:r>
        <w:rPr>
          <w:sz w:val="27"/>
          <w:b/>
          <w:color w:val="222222"/>
          <w:shd w:fill="FFFFFF" w:val="clear"/>
        </w:rPr>
        <w:t>一、合同金额</w:t>
      </w:r>
    </w:p>
    <w:p>
      <w:pPr>
        <w:pStyle w:val="null3"/>
        <w:jc w:val="both"/>
      </w:pPr>
      <w:r>
        <w:rPr>
          <w:sz w:val="27"/>
          <w:color w:val="222222"/>
          <w:shd w:fill="FFFFFF" w:val="clear"/>
        </w:rPr>
        <w:t>　　合同金额为（大写）：</w:t>
      </w:r>
      <w:r>
        <w:rPr>
          <w:sz w:val="27"/>
          <w:color w:val="222222"/>
          <w:shd w:fill="FFFFFF" w:val="clear"/>
        </w:rPr>
        <w:t>_____________元（￥_________元）人民币。</w:t>
      </w:r>
    </w:p>
    <w:p>
      <w:pPr>
        <w:pStyle w:val="null3"/>
        <w:jc w:val="both"/>
      </w:pPr>
      <w:r>
        <w:rPr>
          <w:sz w:val="27"/>
          <w:b/>
          <w:color w:val="222222"/>
          <w:shd w:fill="FFFFFF" w:val="clear"/>
        </w:rPr>
        <w:t>二、服务范围</w:t>
      </w:r>
    </w:p>
    <w:p>
      <w:pPr>
        <w:pStyle w:val="null3"/>
        <w:jc w:val="both"/>
      </w:pPr>
      <w:r>
        <w:rPr>
          <w:sz w:val="27"/>
          <w:color w:val="222222"/>
          <w:shd w:fill="FFFFFF" w:val="clear"/>
        </w:rPr>
        <w:t>　　甲方聘请乙方提供以下服务：</w:t>
      </w:r>
    </w:p>
    <w:p>
      <w:pPr>
        <w:pStyle w:val="null3"/>
        <w:jc w:val="both"/>
      </w:pPr>
      <w:r>
        <w:rPr>
          <w:sz w:val="27"/>
          <w:color w:val="222222"/>
          <w:shd w:fill="FFFFFF" w:val="clear"/>
        </w:rPr>
        <w:t>1．</w:t>
      </w:r>
      <w:r>
        <w:rPr>
          <w:sz w:val="27"/>
          <w:color w:val="222222"/>
          <w:shd w:fill="FFFFFF" w:val="clear"/>
        </w:rPr>
        <w:t>。</w:t>
      </w:r>
    </w:p>
    <w:p>
      <w:pPr>
        <w:pStyle w:val="null3"/>
        <w:jc w:val="both"/>
      </w:pPr>
      <w:r>
        <w:rPr>
          <w:sz w:val="27"/>
          <w:color w:val="222222"/>
          <w:shd w:fill="FFFFFF" w:val="clear"/>
        </w:rPr>
        <w:t>2．</w:t>
      </w:r>
    </w:p>
    <w:p>
      <w:pPr>
        <w:pStyle w:val="null3"/>
        <w:jc w:val="both"/>
      </w:pPr>
      <w:r>
        <w:rPr>
          <w:sz w:val="27"/>
          <w:color w:val="222222"/>
          <w:shd w:fill="FFFFFF" w:val="clear"/>
        </w:rPr>
        <w:t>……</w:t>
      </w:r>
    </w:p>
    <w:p>
      <w:pPr>
        <w:pStyle w:val="null3"/>
        <w:jc w:val="both"/>
      </w:pPr>
      <w:r>
        <w:rPr>
          <w:sz w:val="27"/>
          <w:b/>
          <w:color w:val="222222"/>
          <w:shd w:fill="FFFFFF" w:val="clear"/>
        </w:rPr>
        <w:t>三、甲方乙方的权利和义务</w:t>
      </w:r>
    </w:p>
    <w:p>
      <w:pPr>
        <w:pStyle w:val="null3"/>
        <w:jc w:val="both"/>
      </w:pPr>
      <w:r>
        <w:rPr>
          <w:sz w:val="27"/>
          <w:color w:val="222222"/>
          <w:shd w:fill="FFFFFF" w:val="clear"/>
        </w:rPr>
        <w:t>1.甲方的权利和义务</w:t>
      </w:r>
    </w:p>
    <w:p>
      <w:pPr>
        <w:pStyle w:val="null3"/>
        <w:ind w:firstLine="540"/>
        <w:jc w:val="both"/>
      </w:pPr>
      <w:r>
        <w:rPr>
          <w:sz w:val="27"/>
          <w:color w:val="222222"/>
          <w:shd w:fill="FFFFFF" w:val="clear"/>
        </w:rPr>
        <w:t>2.乙方的权利和义务</w:t>
      </w:r>
    </w:p>
    <w:p>
      <w:pPr>
        <w:pStyle w:val="null3"/>
        <w:ind w:firstLine="540"/>
        <w:jc w:val="both"/>
      </w:pPr>
      <w:r>
        <w:rPr>
          <w:sz w:val="27"/>
          <w:color w:val="222222"/>
          <w:shd w:fill="FFFFFF" w:val="clear"/>
        </w:rPr>
        <w:t>乙方须完全遵守《中华人民共和国劳动合同法》有关规定和《中华人民共和国妇女权益保障法》中关于</w:t>
      </w:r>
      <w:r>
        <w:rPr>
          <w:sz w:val="27"/>
          <w:color w:val="222222"/>
          <w:shd w:fill="FFFFFF" w:val="clear"/>
        </w:rPr>
        <w:t>“劳动和社会保障权益”的有关要求。</w:t>
      </w:r>
    </w:p>
    <w:p>
      <w:pPr>
        <w:pStyle w:val="null3"/>
        <w:jc w:val="both"/>
      </w:pPr>
      <w:r>
        <w:rPr>
          <w:sz w:val="27"/>
          <w:b/>
          <w:color w:val="222222"/>
          <w:shd w:fill="FFFFFF" w:val="clear"/>
        </w:rPr>
        <w:t>四、服务期间（项目完成期限）</w:t>
      </w:r>
    </w:p>
    <w:p>
      <w:pPr>
        <w:pStyle w:val="null3"/>
      </w:pPr>
      <w:r>
        <w:rPr>
          <w:sz w:val="27"/>
          <w:color w:val="222222"/>
        </w:rPr>
        <w:t>1.委托服务期间自</w:t>
      </w:r>
      <w:r>
        <w:rPr>
          <w:sz w:val="27"/>
          <w:color w:val="222222"/>
        </w:rPr>
        <w:t>合同签订生效之日</w:t>
      </w:r>
      <w:r>
        <w:rPr>
          <w:sz w:val="27"/>
          <w:color w:val="222222"/>
        </w:rPr>
        <w:t>起至本项目通过最终验收。</w:t>
      </w:r>
    </w:p>
    <w:p>
      <w:pPr>
        <w:pStyle w:val="null3"/>
        <w:jc w:val="both"/>
      </w:pPr>
      <w:r>
        <w:rPr>
          <w:sz w:val="27"/>
          <w:b/>
          <w:color w:val="222222"/>
          <w:shd w:fill="FFFFFF" w:val="clear"/>
        </w:rPr>
        <w:t>五、付款方式</w:t>
      </w:r>
    </w:p>
    <w:p>
      <w:pPr>
        <w:pStyle w:val="null3"/>
        <w:ind w:firstLine="540"/>
        <w:jc w:val="both"/>
      </w:pPr>
      <w:r>
        <w:rPr>
          <w:sz w:val="27"/>
          <w:color w:val="222222"/>
        </w:rPr>
        <w:t>本项目款项由采购人支付到合同规定的成交人银行帐户。成交人需向采购人提供相当于采购人付款金额的合法有效发票及采购人要求的其他支付凭证。采购人负责以人民币支付到成交人按合同规定的在中国大陆地区设立的国内银行帐户，但不负责换汇等手续办理（注：因采购人使用的是财政资金，采购人向财务部门提交支付申请视为采购人履约支付。）</w:t>
      </w:r>
    </w:p>
    <w:p>
      <w:pPr>
        <w:pStyle w:val="null3"/>
        <w:ind w:firstLine="540"/>
      </w:pPr>
      <w:r>
        <w:rPr>
          <w:sz w:val="27"/>
          <w:color w:val="222222"/>
        </w:rPr>
        <w:t>1.</w:t>
      </w:r>
      <w:r>
        <w:rPr>
          <w:sz w:val="27"/>
          <w:color w:val="222222"/>
        </w:rPr>
        <w:t>本项目签订合同后，中标人提交支付材料及发票，经监理审核后，采购单位在收到发票后</w:t>
      </w:r>
      <w:r>
        <w:rPr>
          <w:sz w:val="27"/>
          <w:color w:val="222222"/>
        </w:rPr>
        <w:t>5</w:t>
      </w:r>
      <w:r>
        <w:rPr>
          <w:sz w:val="27"/>
          <w:color w:val="222222"/>
        </w:rPr>
        <w:t>个工作日内按照《广州市本级财政直接支付用款申请办事指南》办理支付手续，支付合同总额</w:t>
      </w:r>
      <w:r>
        <w:rPr>
          <w:sz w:val="27"/>
          <w:color w:val="222222"/>
        </w:rPr>
        <w:t>30%款项。</w:t>
      </w:r>
    </w:p>
    <w:p>
      <w:pPr>
        <w:pStyle w:val="null3"/>
        <w:ind w:firstLine="540"/>
      </w:pPr>
      <w:r>
        <w:rPr>
          <w:sz w:val="27"/>
          <w:color w:val="222222"/>
        </w:rPr>
        <w:t>2.</w:t>
      </w:r>
      <w:r>
        <w:rPr>
          <w:sz w:val="27"/>
          <w:color w:val="222222"/>
        </w:rPr>
        <w:t>中标人提交资源制作服务方案，经监理及采购人审核、三方完成确认，采购单位在收到发票后</w:t>
      </w:r>
      <w:r>
        <w:rPr>
          <w:sz w:val="27"/>
          <w:color w:val="222222"/>
        </w:rPr>
        <w:t>5</w:t>
      </w:r>
      <w:r>
        <w:rPr>
          <w:sz w:val="27"/>
          <w:color w:val="222222"/>
        </w:rPr>
        <w:t>个工作日内按照《广州市本级财政直接支付用款申请办事指南》办理支付手续，支付合同总额</w:t>
      </w:r>
      <w:r>
        <w:rPr>
          <w:sz w:val="27"/>
          <w:color w:val="222222"/>
        </w:rPr>
        <w:t>20%款项。</w:t>
      </w:r>
    </w:p>
    <w:p>
      <w:pPr>
        <w:pStyle w:val="null3"/>
        <w:ind w:firstLine="540"/>
      </w:pPr>
      <w:r>
        <w:rPr>
          <w:sz w:val="27"/>
          <w:color w:val="222222"/>
        </w:rPr>
        <w:t>3.</w:t>
      </w:r>
      <w:r>
        <w:rPr>
          <w:sz w:val="27"/>
          <w:color w:val="222222"/>
        </w:rPr>
        <w:t>中标人第一批完成标的不少于</w:t>
      </w:r>
      <w:r>
        <w:rPr>
          <w:sz w:val="27"/>
          <w:color w:val="222222"/>
        </w:rPr>
        <w:t>10门课程资源制作，经监理及采购人检查确认后，采购单位在收到发票后</w:t>
      </w:r>
      <w:r>
        <w:rPr>
          <w:sz w:val="27"/>
          <w:color w:val="222222"/>
        </w:rPr>
        <w:t>5</w:t>
      </w:r>
      <w:r>
        <w:rPr>
          <w:sz w:val="27"/>
          <w:color w:val="222222"/>
        </w:rPr>
        <w:t>个工作日内按照《广州市本级财政直接支付用款申请办事指南》办理支付手续，支付合同总额</w:t>
      </w:r>
      <w:r>
        <w:rPr>
          <w:sz w:val="27"/>
          <w:color w:val="222222"/>
        </w:rPr>
        <w:t>15%款项；</w:t>
      </w:r>
    </w:p>
    <w:p>
      <w:pPr>
        <w:pStyle w:val="null3"/>
        <w:ind w:firstLine="540"/>
        <w:jc w:val="both"/>
      </w:pPr>
      <w:r>
        <w:rPr>
          <w:sz w:val="27"/>
          <w:color w:val="222222"/>
        </w:rPr>
        <w:t>4.</w:t>
      </w:r>
      <w:r>
        <w:rPr>
          <w:sz w:val="27"/>
          <w:color w:val="222222"/>
        </w:rPr>
        <w:t>中标人</w:t>
      </w:r>
      <w:r>
        <w:rPr>
          <w:sz w:val="27"/>
          <w:color w:val="222222"/>
        </w:rPr>
        <w:t>第二批完成标的不少于</w:t>
      </w:r>
      <w:r>
        <w:rPr>
          <w:sz w:val="27"/>
          <w:color w:val="222222"/>
        </w:rPr>
        <w:t>10门课程资源制作，经监理及采购人检查确认后，采购单位在收到发票后</w:t>
      </w:r>
      <w:r>
        <w:rPr>
          <w:sz w:val="27"/>
          <w:color w:val="222222"/>
        </w:rPr>
        <w:t>5</w:t>
      </w:r>
      <w:r>
        <w:rPr>
          <w:sz w:val="27"/>
          <w:color w:val="222222"/>
        </w:rPr>
        <w:t>个工作日内按照《广州市本级财政直接支付用款申请办事指南》办理支付手续，支付合同总额</w:t>
      </w:r>
      <w:r>
        <w:rPr>
          <w:sz w:val="27"/>
          <w:color w:val="222222"/>
        </w:rPr>
        <w:t>15%款项；</w:t>
      </w:r>
    </w:p>
    <w:p>
      <w:pPr>
        <w:pStyle w:val="null3"/>
        <w:ind w:firstLine="540"/>
        <w:jc w:val="both"/>
      </w:pPr>
      <w:r>
        <w:rPr>
          <w:sz w:val="27"/>
          <w:color w:val="222222"/>
        </w:rPr>
        <w:t>5.</w:t>
      </w:r>
      <w:r>
        <w:rPr>
          <w:sz w:val="27"/>
          <w:color w:val="222222"/>
        </w:rPr>
        <w:t>中标人</w:t>
      </w:r>
      <w:r>
        <w:rPr>
          <w:sz w:val="27"/>
          <w:color w:val="222222"/>
        </w:rPr>
        <w:t>第三批完成标的剩余课程资源制作，经监理及采购人检查确认后，采购单位在收到发票后</w:t>
      </w:r>
      <w:r>
        <w:rPr>
          <w:sz w:val="27"/>
          <w:color w:val="222222"/>
        </w:rPr>
        <w:t>5</w:t>
      </w:r>
      <w:r>
        <w:rPr>
          <w:sz w:val="27"/>
          <w:color w:val="222222"/>
        </w:rPr>
        <w:t>个工作日内按照《广州市本级财政直接支付用款申请办事指南》办理支付手续，支付合同总额</w:t>
      </w:r>
      <w:r>
        <w:rPr>
          <w:sz w:val="27"/>
          <w:color w:val="222222"/>
        </w:rPr>
        <w:t>15%款项；</w:t>
      </w:r>
    </w:p>
    <w:p>
      <w:pPr>
        <w:pStyle w:val="null3"/>
        <w:ind w:firstLine="580"/>
      </w:pPr>
      <w:r>
        <w:rPr>
          <w:sz w:val="27"/>
          <w:color w:val="222222"/>
        </w:rPr>
        <w:t>6.</w:t>
      </w:r>
      <w:r>
        <w:rPr>
          <w:sz w:val="27"/>
          <w:color w:val="222222"/>
        </w:rPr>
        <w:t>中标人须完成项目全部资源制作不少于（</w:t>
      </w:r>
      <w:r>
        <w:rPr>
          <w:sz w:val="27"/>
          <w:color w:val="222222"/>
        </w:rPr>
        <w:t>29</w:t>
      </w:r>
      <w:r>
        <w:rPr>
          <w:sz w:val="27"/>
          <w:color w:val="222222"/>
        </w:rPr>
        <w:t>门或</w:t>
      </w:r>
      <w:r>
        <w:rPr>
          <w:sz w:val="27"/>
          <w:color w:val="222222"/>
        </w:rPr>
        <w:t>29学时），并完成全部课程的作品著作权登记服务，由项目监理组织评估，评估结果为基本合格及以上的，提交项目验收材料（包括但不限于前述验收材料，具体以项目验收清单为准。）评估结果不及格，中标人须无条件配合整改，以达到采购人验收标准为准。项目终期验收通过后，采购单位在收到发票后5个工作日内按照《广州市本级财政直接支付用款申请办事指南》办理支付手续，支付合同总额5%款项。</w:t>
      </w:r>
    </w:p>
    <w:p>
      <w:pPr>
        <w:pStyle w:val="null3"/>
        <w:jc w:val="both"/>
      </w:pPr>
      <w:r>
        <w:rPr>
          <w:sz w:val="27"/>
          <w:b/>
          <w:color w:val="222222"/>
          <w:shd w:fill="FFFFFF" w:val="clear"/>
        </w:rPr>
        <w:t>六、知识产权归属</w:t>
      </w:r>
    </w:p>
    <w:p>
      <w:pPr>
        <w:pStyle w:val="null3"/>
        <w:jc w:val="both"/>
      </w:pPr>
      <w:r>
        <w:rPr>
          <w:sz w:val="27"/>
          <w:b/>
          <w:color w:val="222222"/>
          <w:shd w:fill="FFFFFF" w:val="clear"/>
        </w:rPr>
        <w:t>七、保密</w:t>
      </w:r>
    </w:p>
    <w:p>
      <w:pPr>
        <w:pStyle w:val="null3"/>
        <w:jc w:val="both"/>
      </w:pPr>
      <w:r>
        <w:rPr>
          <w:sz w:val="27"/>
          <w:b/>
          <w:color w:val="222222"/>
          <w:shd w:fill="FFFFFF" w:val="clear"/>
        </w:rPr>
        <w:t>八、</w:t>
      </w:r>
      <w:r>
        <w:rPr>
          <w:sz w:val="27"/>
          <w:b/>
          <w:color w:val="222222"/>
          <w:shd w:fill="FFFFFF" w:val="clear"/>
        </w:rPr>
        <w:t>项目质量验收的</w:t>
      </w:r>
      <w:r>
        <w:rPr>
          <w:sz w:val="27"/>
          <w:b/>
          <w:color w:val="222222"/>
          <w:shd w:fill="FFFFFF" w:val="clear"/>
        </w:rPr>
        <w:t>要求</w:t>
      </w:r>
    </w:p>
    <w:p>
      <w:pPr>
        <w:pStyle w:val="null3"/>
        <w:ind w:firstLine="580"/>
      </w:pPr>
      <w:r>
        <w:rPr>
          <w:sz w:val="27"/>
          <w:color w:val="222222"/>
        </w:rPr>
        <w:t>具体以本项目招标文件、投标文件以及采购合同相关条款为验收标准。</w:t>
      </w:r>
    </w:p>
    <w:p>
      <w:pPr>
        <w:pStyle w:val="null3"/>
        <w:ind w:firstLine="580"/>
      </w:pPr>
      <w:r>
        <w:rPr>
          <w:sz w:val="27"/>
          <w:color w:val="222222"/>
        </w:rPr>
        <w:t>项目完成后</w:t>
      </w:r>
      <w:r>
        <w:rPr>
          <w:sz w:val="27"/>
          <w:color w:val="222222"/>
        </w:rPr>
        <w:t>10个工作日内向采购人提交完整的项目材料，包括但不限于：资源制作服务制作方案、专家承诺书、专家授课材料、资源制作服务视频和配套材料（PPT、讲义、视频资源等）等。</w:t>
      </w:r>
    </w:p>
    <w:p>
      <w:pPr>
        <w:pStyle w:val="null3"/>
        <w:ind w:firstLine="580"/>
      </w:pPr>
      <w:r>
        <w:rPr>
          <w:sz w:val="27"/>
          <w:color w:val="222222"/>
        </w:rPr>
        <w:t>项目验收评估不及格，中标人要无条件配合整改，以达到采购人验收标准为准。</w:t>
      </w:r>
    </w:p>
    <w:p>
      <w:pPr>
        <w:pStyle w:val="null3"/>
        <w:ind w:firstLine="580"/>
      </w:pPr>
      <w:r>
        <w:rPr>
          <w:sz w:val="27"/>
          <w:color w:val="222222"/>
        </w:rPr>
        <w:t>中标人在资源制作服务期内按要求提供对应的服务</w:t>
      </w:r>
      <w:r>
        <w:rPr>
          <w:sz w:val="27"/>
          <w:color w:val="222222"/>
        </w:rPr>
        <w:t>并</w:t>
      </w:r>
      <w:r>
        <w:rPr>
          <w:sz w:val="27"/>
          <w:color w:val="222222"/>
        </w:rPr>
        <w:t>通过项目</w:t>
      </w:r>
      <w:r>
        <w:rPr>
          <w:sz w:val="27"/>
          <w:color w:val="222222"/>
        </w:rPr>
        <w:t>最终</w:t>
      </w:r>
      <w:r>
        <w:rPr>
          <w:sz w:val="27"/>
          <w:color w:val="222222"/>
        </w:rPr>
        <w:t>验收，由采购人出具项目验收报告。</w:t>
      </w:r>
    </w:p>
    <w:p>
      <w:pPr>
        <w:pStyle w:val="null3"/>
        <w:ind w:firstLine="580"/>
      </w:pPr>
      <w:r>
        <w:rPr>
          <w:sz w:val="27"/>
          <w:b/>
          <w:color w:val="222222"/>
          <w:shd w:fill="FFFFFF" w:val="clear"/>
        </w:rPr>
        <w:t>九、违约责任与赔偿损失</w:t>
      </w:r>
    </w:p>
    <w:p>
      <w:pPr>
        <w:pStyle w:val="null3"/>
        <w:jc w:val="both"/>
      </w:pPr>
      <w:r>
        <w:rPr>
          <w:sz w:val="27"/>
          <w:color w:val="222222"/>
          <w:shd w:fill="FFFFFF" w:val="clear"/>
        </w:rPr>
        <w:t>1.乙方提供的服务不符合本合同规定的，甲方有权拒收，并且乙方须向甲方方支付本合同总价5%的违约金。</w:t>
      </w:r>
    </w:p>
    <w:p>
      <w:pPr>
        <w:pStyle w:val="null3"/>
        <w:jc w:val="both"/>
      </w:pPr>
      <w:r>
        <w:rPr>
          <w:sz w:val="27"/>
          <w:color w:val="222222"/>
          <w:shd w:fill="FFFFFF" w:val="clear"/>
        </w:rPr>
        <w:t>2.乙方未能按本合同规定的交货时间提供服务，从逾期之日起每日按本合同总价3‰的数额向甲方支付违约金；逾期半个月以上的，甲方有权终止合同，由此造成的甲方经济损失由乙方承担。</w:t>
      </w:r>
    </w:p>
    <w:p>
      <w:pPr>
        <w:pStyle w:val="null3"/>
        <w:jc w:val="both"/>
      </w:pPr>
      <w:r>
        <w:rPr>
          <w:sz w:val="27"/>
          <w:color w:val="222222"/>
          <w:shd w:fill="FFFFFF" w:val="clear"/>
        </w:rPr>
        <w:t>3.甲方无正当理由拒收接受服务，到期拒付服务款项的，甲方向乙方偿付本合同总的5%的违约金。甲方人逾期付款，则每日按本合同总价的3‰向乙方偿付违约金。</w:t>
      </w:r>
    </w:p>
    <w:p>
      <w:pPr>
        <w:pStyle w:val="null3"/>
        <w:jc w:val="both"/>
      </w:pPr>
      <w:r>
        <w:rPr>
          <w:sz w:val="27"/>
          <w:color w:val="222222"/>
          <w:shd w:fill="FFFFFF" w:val="clear"/>
        </w:rPr>
        <w:t>4.对于因甲方原因导致变更、中止或者终止政府采购合同的，甲方应当依照以下合同约定对供应商受到的损失予以赔偿或者补偿：</w:t>
      </w:r>
    </w:p>
    <w:p>
      <w:pPr>
        <w:pStyle w:val="null3"/>
        <w:jc w:val="both"/>
      </w:pPr>
      <w:r>
        <w:rPr>
          <w:u w:val="single"/>
          <w:shd w:fill="FFFFFF" w:val="clear"/>
        </w:rPr>
        <w:t xml:space="preserve">              </w:t>
      </w:r>
    </w:p>
    <w:p>
      <w:pPr>
        <w:pStyle w:val="null3"/>
        <w:jc w:val="both"/>
      </w:pPr>
      <w:r>
        <w:rPr>
          <w:sz w:val="27"/>
          <w:color w:val="222222"/>
          <w:shd w:fill="FFFFFF" w:val="clear"/>
        </w:rPr>
        <w:t>5.其它违约责任按《中华人民共和国民法典(合同编)》处理。</w:t>
      </w:r>
    </w:p>
    <w:p>
      <w:pPr>
        <w:pStyle w:val="null3"/>
        <w:jc w:val="both"/>
      </w:pPr>
      <w:r>
        <w:rPr>
          <w:sz w:val="27"/>
          <w:b/>
          <w:color w:val="222222"/>
          <w:shd w:fill="FFFFFF" w:val="clear"/>
        </w:rPr>
        <w:t>十、争议的解决</w:t>
      </w:r>
    </w:p>
    <w:p>
      <w:pPr>
        <w:pStyle w:val="null3"/>
        <w:ind w:firstLine="400"/>
        <w:jc w:val="both"/>
      </w:pPr>
      <w:r>
        <w:rPr>
          <w:sz w:val="27"/>
          <w:color w:val="222222"/>
          <w:shd w:fill="FFFFFF" w:val="clear"/>
        </w:rPr>
        <w:t>合同执行过程中发生的任何争议，如双方不能通过友好协商解决，按相关法律法规处理。</w:t>
      </w:r>
      <w:r>
        <w:rPr>
          <w:shd w:fill="FFFFFF" w:val="clear"/>
        </w:rPr>
        <w:t xml:space="preserve">     </w:t>
      </w:r>
    </w:p>
    <w:p>
      <w:pPr>
        <w:pStyle w:val="null3"/>
        <w:jc w:val="both"/>
      </w:pPr>
      <w:r>
        <w:rPr>
          <w:sz w:val="27"/>
          <w:b/>
          <w:color w:val="222222"/>
          <w:shd w:fill="FFFFFF" w:val="clear"/>
        </w:rPr>
        <w:t>十</w:t>
      </w:r>
      <w:r>
        <w:rPr>
          <w:sz w:val="27"/>
          <w:b/>
          <w:color w:val="222222"/>
          <w:shd w:fill="FFFFFF" w:val="clear"/>
        </w:rPr>
        <w:t>一</w:t>
      </w:r>
      <w:r>
        <w:rPr>
          <w:sz w:val="27"/>
          <w:b/>
          <w:color w:val="222222"/>
          <w:shd w:fill="FFFFFF" w:val="clear"/>
        </w:rPr>
        <w:t>、不可抗力</w:t>
      </w:r>
    </w:p>
    <w:p>
      <w:pPr>
        <w:pStyle w:val="null3"/>
        <w:jc w:val="both"/>
      </w:pPr>
      <w:r>
        <w:rPr>
          <w:sz w:val="27"/>
          <w:color w:val="222222"/>
          <w:shd w:fill="FFFFFF" w:val="clear"/>
        </w:rPr>
        <w:t>　　任何一方由于不可抗力原因不能履行合同时，应在不可抗力事件结束后</w:t>
      </w:r>
      <w:r>
        <w:rPr>
          <w:sz w:val="27"/>
          <w:color w:val="222222"/>
          <w:shd w:fill="FFFFFF" w:val="clear"/>
        </w:rPr>
        <w:t>1日内向对方通报，以减轻可能给对方造成的损失，在取得有关机构的不可抗力证明或双方谅解确认后，允许延期履行或修订合同，并根据情况可部分或全部免于承担违约责任。</w:t>
      </w:r>
    </w:p>
    <w:p>
      <w:pPr>
        <w:pStyle w:val="null3"/>
        <w:jc w:val="both"/>
      </w:pPr>
      <w:r>
        <w:rPr>
          <w:sz w:val="27"/>
          <w:b/>
          <w:color w:val="222222"/>
          <w:shd w:fill="FFFFFF" w:val="clear"/>
        </w:rPr>
        <w:t>十</w:t>
      </w:r>
      <w:r>
        <w:rPr>
          <w:sz w:val="27"/>
          <w:b/>
          <w:color w:val="222222"/>
          <w:shd w:fill="FFFFFF" w:val="clear"/>
        </w:rPr>
        <w:t>二</w:t>
      </w:r>
      <w:r>
        <w:rPr>
          <w:sz w:val="27"/>
          <w:b/>
          <w:color w:val="222222"/>
          <w:shd w:fill="FFFFFF" w:val="clear"/>
        </w:rPr>
        <w:t>、税费</w:t>
      </w:r>
    </w:p>
    <w:p>
      <w:pPr>
        <w:pStyle w:val="null3"/>
        <w:jc w:val="both"/>
      </w:pPr>
      <w:r>
        <w:rPr>
          <w:sz w:val="27"/>
          <w:color w:val="222222"/>
          <w:shd w:fill="FFFFFF" w:val="clear"/>
        </w:rPr>
        <w:t>　　在中国境内、外发生的与本合同执行有关的一切税费均由乙方负担。</w:t>
      </w:r>
    </w:p>
    <w:p>
      <w:pPr>
        <w:pStyle w:val="null3"/>
        <w:jc w:val="both"/>
      </w:pPr>
      <w:r>
        <w:rPr>
          <w:sz w:val="27"/>
          <w:b/>
          <w:color w:val="222222"/>
          <w:shd w:fill="FFFFFF" w:val="clear"/>
        </w:rPr>
        <w:t>十</w:t>
      </w:r>
      <w:r>
        <w:rPr>
          <w:sz w:val="27"/>
          <w:b/>
          <w:color w:val="222222"/>
          <w:shd w:fill="FFFFFF" w:val="clear"/>
        </w:rPr>
        <w:t>三</w:t>
      </w:r>
      <w:r>
        <w:rPr>
          <w:sz w:val="27"/>
          <w:b/>
          <w:color w:val="222222"/>
          <w:shd w:fill="FFFFFF" w:val="clear"/>
        </w:rPr>
        <w:t>、其它</w:t>
      </w:r>
    </w:p>
    <w:p>
      <w:pPr>
        <w:pStyle w:val="null3"/>
        <w:jc w:val="both"/>
      </w:pPr>
      <w:r>
        <w:rPr>
          <w:sz w:val="27"/>
          <w:color w:val="222222"/>
          <w:shd w:fill="FFFFFF" w:val="clear"/>
        </w:rPr>
        <w:t>1.本合同所有附件、招标文件、投标文件、中标通知书均为合同的有效组成部分，与本合同具有同等法律效力。</w:t>
      </w:r>
    </w:p>
    <w:p>
      <w:pPr>
        <w:pStyle w:val="null3"/>
        <w:jc w:val="both"/>
      </w:pPr>
      <w:r>
        <w:rPr>
          <w:sz w:val="27"/>
          <w:color w:val="222222"/>
          <w:shd w:fill="FFFFFF" w:val="clear"/>
        </w:rPr>
        <w:t>2.在执行本合同的过程中，所有经双方签署确认的文件（包括会议纪要、补充协议、往来信函）即成为本合同的有效组成部分。</w:t>
      </w:r>
    </w:p>
    <w:p>
      <w:pPr>
        <w:pStyle w:val="null3"/>
        <w:jc w:val="both"/>
      </w:pPr>
      <w:r>
        <w:rPr>
          <w:sz w:val="27"/>
          <w:color w:val="222222"/>
          <w:shd w:fill="FFFFFF" w:val="clear"/>
        </w:rPr>
        <w:t>3.如一方地址、电话、传真号码有变更，应在变更当日内书面通知对方，否则，应承担相应责任。</w:t>
      </w:r>
    </w:p>
    <w:p>
      <w:pPr>
        <w:pStyle w:val="null3"/>
        <w:ind w:firstLine="540"/>
        <w:jc w:val="both"/>
      </w:pPr>
      <w:r>
        <w:rPr>
          <w:sz w:val="27"/>
          <w:color w:val="222222"/>
          <w:shd w:fill="FFFFFF" w:val="clear"/>
        </w:rPr>
        <w:t>4.除甲方事先书面同意外，乙方不得部分或全部转让其应履行的合同项下的义务。</w:t>
      </w:r>
    </w:p>
    <w:p>
      <w:pPr>
        <w:pStyle w:val="null3"/>
        <w:ind w:firstLine="540"/>
        <w:jc w:val="both"/>
      </w:pPr>
      <w:r>
        <w:rPr>
          <w:sz w:val="27"/>
          <w:color w:val="222222"/>
          <w:shd w:fill="FFFFFF" w:val="clear"/>
        </w:rPr>
        <w:t>十</w:t>
      </w:r>
      <w:r>
        <w:rPr>
          <w:sz w:val="27"/>
          <w:color w:val="222222"/>
          <w:shd w:fill="FFFFFF" w:val="clear"/>
        </w:rPr>
        <w:t>四</w:t>
      </w:r>
      <w:r>
        <w:rPr>
          <w:sz w:val="27"/>
          <w:color w:val="222222"/>
          <w:shd w:fill="FFFFFF" w:val="clear"/>
        </w:rPr>
        <w:t>、合同生效</w:t>
      </w:r>
    </w:p>
    <w:p>
      <w:pPr>
        <w:pStyle w:val="null3"/>
        <w:jc w:val="both"/>
      </w:pPr>
      <w:r>
        <w:rPr>
          <w:sz w:val="27"/>
          <w:color w:val="222222"/>
          <w:shd w:fill="FFFFFF" w:val="clear"/>
        </w:rPr>
        <w:t>1.本合同在甲乙双方法人代表或其授权代表签字盖章后生效。</w:t>
      </w:r>
    </w:p>
    <w:p>
      <w:pPr>
        <w:pStyle w:val="null3"/>
        <w:jc w:val="both"/>
      </w:pPr>
      <w:r>
        <w:rPr>
          <w:sz w:val="27"/>
          <w:color w:val="222222"/>
          <w:shd w:fill="FFFFFF" w:val="clear"/>
        </w:rPr>
        <w:t>2.合同一式</w:t>
      </w:r>
      <w:r>
        <w:rPr>
          <w:u w:val="single"/>
          <w:shd w:fill="FFFFFF" w:val="clear"/>
        </w:rPr>
        <w:t xml:space="preserve">   </w:t>
      </w:r>
      <w:r>
        <w:rPr>
          <w:sz w:val="27"/>
          <w:color w:val="222222"/>
          <w:shd w:fill="FFFFFF" w:val="clear"/>
        </w:rPr>
        <w:t xml:space="preserve"> </w:t>
      </w:r>
      <w:r>
        <w:rPr>
          <w:sz w:val="27"/>
          <w:color w:val="222222"/>
          <w:shd w:fill="FFFFFF" w:val="clear"/>
        </w:rPr>
        <w:t>份。</w:t>
      </w:r>
    </w:p>
    <w:p>
      <w:pPr>
        <w:pStyle w:val="null3"/>
        <w:spacing w:before="150" w:after="150"/>
        <w:jc w:val="both"/>
      </w:pPr>
      <w:r>
        <w:rPr>
          <w:shd w:fill="FFFFFF" w:val="clear"/>
        </w:rPr>
        <w:t xml:space="preserve"> </w:t>
      </w:r>
    </w:p>
    <w:p>
      <w:pPr>
        <w:pStyle w:val="null3"/>
        <w:jc w:val="both"/>
      </w:pPr>
      <w:r>
        <w:rPr>
          <w:sz w:val="27"/>
          <w:b/>
          <w:color w:val="222222"/>
          <w:shd w:fill="FFFFFF" w:val="clear"/>
        </w:rPr>
        <w:t>甲方（盖章）：</w:t>
      </w:r>
      <w:r>
        <w:rPr>
          <w:sz w:val="27"/>
          <w:b/>
          <w:color w:val="222222"/>
          <w:shd w:fill="FFFFFF" w:val="clear"/>
        </w:rPr>
        <w:t xml:space="preserve">                </w:t>
      </w:r>
      <w:r>
        <w:rPr>
          <w:sz w:val="27"/>
          <w:b/>
          <w:color w:val="222222"/>
          <w:shd w:fill="FFFFFF" w:val="clear"/>
        </w:rPr>
        <w:t>乙方（盖章）：</w:t>
      </w:r>
    </w:p>
    <w:p>
      <w:pPr>
        <w:pStyle w:val="null3"/>
        <w:jc w:val="both"/>
      </w:pPr>
      <w:r>
        <w:rPr>
          <w:sz w:val="27"/>
          <w:b/>
          <w:color w:val="222222"/>
          <w:shd w:fill="FFFFFF" w:val="clear"/>
        </w:rPr>
        <w:t>代表：</w:t>
      </w:r>
      <w:r>
        <w:rPr>
          <w:sz w:val="27"/>
          <w:b/>
          <w:color w:val="222222"/>
          <w:shd w:fill="FFFFFF" w:val="clear"/>
        </w:rPr>
        <w:t xml:space="preserve">                       </w:t>
      </w:r>
      <w:r>
        <w:rPr>
          <w:sz w:val="27"/>
          <w:b/>
          <w:color w:val="222222"/>
          <w:shd w:fill="FFFFFF" w:val="clear"/>
        </w:rPr>
        <w:t>代表：</w:t>
      </w:r>
    </w:p>
    <w:p>
      <w:pPr>
        <w:pStyle w:val="null3"/>
        <w:jc w:val="both"/>
      </w:pPr>
      <w:r>
        <w:rPr>
          <w:sz w:val="27"/>
          <w:color w:val="222222"/>
          <w:shd w:fill="FFFFFF" w:val="clear"/>
        </w:rPr>
        <w:t>签订地点：</w:t>
      </w:r>
    </w:p>
    <w:p>
      <w:pPr>
        <w:pStyle w:val="null3"/>
        <w:jc w:val="both"/>
      </w:pPr>
      <w:r>
        <w:rPr>
          <w:sz w:val="27"/>
          <w:color w:val="222222"/>
          <w:shd w:fill="FFFFFF" w:val="clear"/>
        </w:rPr>
        <w:t>签订日期：　　　年　　月　　日</w:t>
      </w:r>
      <w:r>
        <w:rPr>
          <w:sz w:val="27"/>
          <w:color w:val="222222"/>
          <w:shd w:fill="FFFFFF" w:val="clear"/>
        </w:rPr>
        <w:t xml:space="preserve">  </w:t>
      </w:r>
      <w:r>
        <w:rPr>
          <w:sz w:val="27"/>
          <w:color w:val="222222"/>
          <w:shd w:fill="FFFFFF" w:val="clear"/>
        </w:rPr>
        <w:t>签订日期：　　　年　　月　　日</w:t>
      </w:r>
    </w:p>
    <w:p>
      <w:pPr>
        <w:pStyle w:val="null3"/>
        <w:jc w:val="both"/>
      </w:pPr>
      <w:r>
        <w:rPr>
          <w:sz w:val="27"/>
          <w:color w:val="222222"/>
          <w:shd w:fill="FFFFFF" w:val="clear"/>
        </w:rPr>
        <w:t>开户名称：</w:t>
      </w:r>
    </w:p>
    <w:p>
      <w:pPr>
        <w:pStyle w:val="null3"/>
        <w:jc w:val="both"/>
      </w:pPr>
      <w:r>
        <w:rPr>
          <w:sz w:val="27"/>
          <w:color w:val="222222"/>
          <w:shd w:fill="FFFFFF" w:val="clear"/>
        </w:rPr>
        <w:t>银行帐号：</w:t>
      </w:r>
    </w:p>
    <w:p>
      <w:pPr>
        <w:pStyle w:val="null3"/>
        <w:jc w:val="both"/>
      </w:pPr>
      <w:r>
        <w:rPr>
          <w:sz w:val="27"/>
          <w:color w:val="222222"/>
          <w:shd w:fill="FFFFFF" w:val="clear"/>
        </w:rPr>
        <w:t>开</w:t>
      </w:r>
      <w:r>
        <w:rPr>
          <w:sz w:val="27"/>
          <w:color w:val="222222"/>
          <w:shd w:fill="FFFFFF" w:val="clear"/>
        </w:rPr>
        <w:t>户</w:t>
      </w:r>
      <w:r>
        <w:rPr>
          <w:sz w:val="27"/>
          <w:color w:val="222222"/>
          <w:shd w:fill="FFFFFF" w:val="clear"/>
        </w:rPr>
        <w:t>行：</w:t>
      </w:r>
    </w:p>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440101-2024-13377</w:t>
      </w:r>
    </w:p>
    <w:p>
      <w:pPr>
        <w:pStyle w:val="null3"/>
        <w:jc w:val="center"/>
        <w:outlineLvl w:val="3"/>
      </w:pPr>
      <w:r>
        <w:rPr>
          <w:sz w:val="24"/>
          <w:b/>
        </w:rPr>
        <w:t>采购项目编号：</w:t>
      </w:r>
      <w:r>
        <w:rPr>
          <w:sz w:val="24"/>
          <w:b/>
        </w:rPr>
        <w:t>CZ2024-0971</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五、实质性响应一览表</w:t>
      </w:r>
    </w:p>
    <w:p>
      <w:pPr>
        <w:pStyle w:val="null3"/>
        <w:ind w:firstLine="480"/>
      </w:pPr>
      <w:r>
        <w:rPr/>
        <w:t>六、法定代表人证明书</w:t>
      </w:r>
    </w:p>
    <w:p>
      <w:pPr>
        <w:pStyle w:val="null3"/>
        <w:ind w:firstLine="480"/>
      </w:pPr>
      <w:r>
        <w:rPr/>
        <w:t>七、法定代表人授权书</w:t>
      </w:r>
    </w:p>
    <w:p>
      <w:pPr>
        <w:pStyle w:val="null3"/>
        <w:ind w:firstLine="480"/>
      </w:pPr>
      <w:r>
        <w:rPr/>
        <w:t>八、提供具有独立承担民事责任的能力的证明材料</w:t>
      </w:r>
    </w:p>
    <w:p>
      <w:pPr>
        <w:pStyle w:val="null3"/>
        <w:ind w:firstLine="480"/>
      </w:pPr>
      <w:r>
        <w:rPr/>
        <w:t>九、承诺函</w:t>
      </w:r>
    </w:p>
    <w:p>
      <w:pPr>
        <w:pStyle w:val="null3"/>
        <w:ind w:firstLine="480"/>
      </w:pPr>
      <w:r>
        <w:rPr/>
        <w:t>十、中小企业声明函</w:t>
      </w:r>
    </w:p>
    <w:p>
      <w:pPr>
        <w:pStyle w:val="null3"/>
        <w:ind w:firstLine="480"/>
      </w:pPr>
      <w:r>
        <w:rPr/>
        <w:t>十一、监狱企业</w:t>
      </w:r>
    </w:p>
    <w:p>
      <w:pPr>
        <w:pStyle w:val="null3"/>
        <w:ind w:firstLine="480"/>
      </w:pPr>
      <w:r>
        <w:rPr/>
        <w:t>十二、残疾人福利性单位声明函</w:t>
      </w:r>
    </w:p>
    <w:p>
      <w:pPr>
        <w:pStyle w:val="null3"/>
        <w:ind w:firstLine="480"/>
      </w:pPr>
      <w:r>
        <w:rPr/>
        <w:t>十三、联合体共同投标协议书</w:t>
      </w:r>
    </w:p>
    <w:p>
      <w:pPr>
        <w:pStyle w:val="null3"/>
        <w:ind w:firstLine="480"/>
      </w:pPr>
      <w:r>
        <w:rPr/>
        <w:t>十四、投标人业绩情况表</w:t>
      </w:r>
    </w:p>
    <w:p>
      <w:pPr>
        <w:pStyle w:val="null3"/>
        <w:ind w:firstLine="480"/>
      </w:pPr>
      <w:r>
        <w:rPr/>
        <w:t>十五、技术和服务要求响应表</w:t>
      </w:r>
    </w:p>
    <w:p>
      <w:pPr>
        <w:pStyle w:val="null3"/>
        <w:ind w:firstLine="480"/>
      </w:pPr>
      <w:r>
        <w:rPr/>
        <w:t>十六、商务条件响应表</w:t>
      </w:r>
    </w:p>
    <w:p>
      <w:pPr>
        <w:pStyle w:val="null3"/>
        <w:ind w:firstLine="480"/>
      </w:pPr>
      <w:r>
        <w:rPr/>
        <w:t>十七、履约进度计划表</w:t>
      </w:r>
    </w:p>
    <w:p>
      <w:pPr>
        <w:pStyle w:val="null3"/>
        <w:ind w:firstLine="480"/>
      </w:pPr>
      <w:r>
        <w:rPr/>
        <w:t>十八、各类证明材料</w:t>
      </w:r>
    </w:p>
    <w:p>
      <w:pPr>
        <w:pStyle w:val="null3"/>
        <w:ind w:firstLine="480"/>
      </w:pPr>
      <w:r>
        <w:rPr/>
        <w:t>十九、采购代理服务费支付承诺书</w:t>
      </w:r>
    </w:p>
    <w:p>
      <w:pPr>
        <w:pStyle w:val="null3"/>
        <w:ind w:firstLine="480"/>
      </w:pPr>
      <w:r>
        <w:rPr/>
        <w:t>二十、需要采购人提供的附加条件</w:t>
      </w:r>
    </w:p>
    <w:p>
      <w:pPr>
        <w:pStyle w:val="null3"/>
        <w:ind w:firstLine="480"/>
      </w:pPr>
      <w:r>
        <w:rPr/>
        <w:t>二十一、项目实施方案、质量保证及售后服务承诺等</w:t>
      </w:r>
    </w:p>
    <w:p>
      <w:pPr>
        <w:pStyle w:val="null3"/>
        <w:ind w:firstLine="480"/>
      </w:pPr>
      <w:r>
        <w:rPr/>
        <w:t>二十二、附件</w:t>
      </w:r>
    </w:p>
    <w:p>
      <w:pPr>
        <w:pStyle w:val="null3"/>
        <w:ind w:firstLine="480"/>
      </w:pPr>
      <w:r>
        <w:rPr/>
        <w:t>二十三、政府采购履约担保函、采购合同履约保险凭证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广州市政府采购中心</w:t>
      </w:r>
    </w:p>
    <w:p>
      <w:pPr>
        <w:pStyle w:val="null3"/>
        <w:ind w:firstLine="480"/>
      </w:pPr>
      <w:r>
        <w:rPr/>
        <w:t xml:space="preserve"> 你方组织的</w:t>
      </w:r>
      <w:r>
        <w:rPr>
          <w:u w:val="single"/>
        </w:rPr>
        <w:t>“</w:t>
      </w:r>
      <w:r>
        <w:rPr>
          <w:u w:val="single"/>
        </w:rPr>
        <w:t>广州开放大学2024年教育科研线上培训课程制作服务项目</w:t>
      </w:r>
      <w:r>
        <w:rPr>
          <w:u w:val="single"/>
        </w:rPr>
        <w:t>”</w:t>
      </w:r>
      <w:r>
        <w:rPr/>
        <w:t>项目的招标[采购项目编号为：</w:t>
      </w:r>
      <w:r>
        <w:rPr>
          <w:u w:val="single"/>
        </w:rPr>
        <w:t>CZ2024-0971</w:t>
      </w:r>
      <w:r>
        <w:rPr/>
        <w:t>]，我方愿参与投标。</w:t>
      </w:r>
    </w:p>
    <w:p>
      <w:pPr>
        <w:pStyle w:val="null3"/>
        <w:ind w:firstLine="480"/>
      </w:pPr>
      <w:r>
        <w:rPr/>
        <w:t>我方确认收到贵方提供的</w:t>
      </w:r>
      <w:r>
        <w:rPr>
          <w:u w:val="single"/>
        </w:rPr>
        <w:t>“</w:t>
      </w:r>
      <w:r>
        <w:rPr>
          <w:u w:val="single"/>
        </w:rPr>
        <w:t>广州开放大学2024年教育科研线上培训课程制作服务项目</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（三）我方愿意向贵方提供任何与本项报价有关的数据、情况和技术资料。若贵方需要，我方愿意提供我方作出的一切承诺的证明材料。</w:t>
      </w:r>
    </w:p>
    <w:p>
      <w:pPr>
        <w:pStyle w:val="null3"/>
        <w:ind w:firstLine="480"/>
      </w:pPr>
      <w:r>
        <w:rPr/>
        <w:t xml:space="preserve"> （四）我方理解贵方不一定接受最低投标价或任何贵方可能收到的投标。</w:t>
      </w:r>
    </w:p>
    <w:p>
      <w:pPr>
        <w:pStyle w:val="null3"/>
        <w:ind w:firstLine="480"/>
      </w:pPr>
      <w:r>
        <w:rPr/>
        <w:t xml:space="preserve"> （五）我方如果中标，将保证履行招标文件及其澄清、修改文件（如果有）中的全部责任和义务，按质、按量、按期完成《采购需求》及《合同书》中的全部任务。</w:t>
      </w:r>
    </w:p>
    <w:p>
      <w:pPr>
        <w:pStyle w:val="null3"/>
        <w:ind w:firstLine="480"/>
      </w:pPr>
      <w:r>
        <w:rPr/>
        <w:t xml:space="preserve"> （六）我方作为法律、财务和运作上独立于采购人、采购代理机构的投标人，在此保证所提交的所有文件和全部说明是真实的和正确的。</w:t>
      </w:r>
    </w:p>
    <w:p>
      <w:pPr>
        <w:pStyle w:val="null3"/>
        <w:ind w:firstLine="480"/>
      </w:pPr>
      <w:r>
        <w:rPr/>
        <w:t xml:space="preserve"> （七）我方投标报价已包含应向知识产权所有权人支付的所有相关税费，并保证采购人在中国使用我方提供的货物或服务时，如有第三方提出侵犯其知识产权主张的，责任由我方承担。</w:t>
      </w:r>
    </w:p>
    <w:p>
      <w:pPr>
        <w:pStyle w:val="null3"/>
        <w:ind w:firstLine="480"/>
      </w:pPr>
      <w:r>
        <w:rPr/>
        <w:t xml:space="preserve"> （八）我方接受采购人委托向贵方支付代理服务费，项目总报价已包含代理服务费，如果被确定为中标供应商，承诺向贵方足额支付。（若采购人支付代理服务费，则此条不适用）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（九）我方与其他投标人不存在法定代表人或单位负责人为同一人或者存在直接控股、管理关系。</w:t>
      </w:r>
    </w:p>
    <w:p>
      <w:pPr>
        <w:pStyle w:val="null3"/>
        <w:ind w:firstLine="480"/>
      </w:pPr>
      <w:r>
        <w:rPr/>
        <w:t xml:space="preserve"> （十）我方承诺未为本项目提供整体设计、规范编制或者项目管理、监理、检测等服务。</w:t>
      </w:r>
    </w:p>
    <w:p>
      <w:pPr>
        <w:pStyle w:val="null3"/>
        <w:ind w:firstLine="480"/>
      </w:pPr>
      <w:r>
        <w:rPr/>
        <w:t>（十一）我方未被列入法院失信被执行人名单中。</w:t>
      </w:r>
    </w:p>
    <w:p>
      <w:pPr>
        <w:pStyle w:val="null3"/>
        <w:ind w:firstLine="480"/>
      </w:pPr>
      <w:r>
        <w:rPr/>
        <w:t>（十二）我方承诺遵守《中华人民共和国民法典》有关规定和《中华人民共和国妇女权益保障法》中关于“劳动和社会保障权益”的有关要求。</w:t>
      </w:r>
    </w:p>
    <w:p>
      <w:pPr>
        <w:pStyle w:val="null3"/>
        <w:ind w:firstLine="480"/>
      </w:pPr>
      <w:r>
        <w:rPr/>
        <w:t xml:space="preserve"> （十三）我方具备《中华人民共和国政府采购法》第二十二条规定的条件，承诺如下：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（十四）我方对在本函及投标文件中所作的所有承诺承担法律责任。</w:t>
      </w:r>
    </w:p>
    <w:p>
      <w:pPr>
        <w:pStyle w:val="null3"/>
        <w:ind w:firstLine="480"/>
      </w:pPr>
      <w:r>
        <w:rPr/>
        <w:t xml:space="preserve"> （十五）所有与本招标有关的函件请发往下列地址：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服务期限</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jc w:val="center"/>
        <w:outlineLvl w:val="3"/>
      </w:pPr>
      <w:r>
        <w:rPr>
          <w:sz w:val="24"/>
          <w:b/>
        </w:rPr>
        <w:t>实质性响应一览表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实质性响应条款</w:t>
            </w:r>
          </w:p>
        </w:tc>
        <w:tc>
          <w:tcPr>
            <w:tcW w:type="dxa" w:w="2076"/>
          </w:tcPr>
          <w:p>
            <w:pPr>
              <w:pStyle w:val="null3"/>
            </w:pPr>
            <w:r>
              <w:rPr/>
              <w:t>投标人响应情况</w:t>
            </w:r>
          </w:p>
        </w:tc>
        <w:tc>
          <w:tcPr>
            <w:tcW w:type="dxa" w:w="2076"/>
          </w:tcPr>
          <w:p>
            <w:pPr>
              <w:pStyle w:val="null3"/>
            </w:pPr>
            <w:r>
              <w:rPr/>
              <w:t>差异</w:t>
            </w:r>
          </w:p>
        </w:tc>
      </w:tr>
      <w:tr>
        <w:tc>
          <w:tcPr>
            <w:tcW w:type="dxa" w:w="2076"/>
          </w:tcPr>
          <w:p>
            <w:pPr>
              <w:pStyle w:val="null3"/>
            </w:pPr>
            <w:r>
              <w:rPr/>
              <w:t>1</w:t>
            </w:r>
          </w:p>
        </w:tc>
        <w:tc>
          <w:tcPr>
            <w:tcW w:type="dxa" w:w="2076"/>
          </w:tcPr>
          <w:p/>
        </w:tc>
        <w:tc>
          <w:tcPr>
            <w:tcW w:type="dxa" w:w="2076"/>
          </w:tcPr>
          <w:p/>
        </w:tc>
        <w:tc>
          <w:tcPr>
            <w:tcW w:type="dxa" w:w="2076"/>
          </w:tcPr>
          <w:p/>
        </w:tc>
      </w:tr>
      <w:tr>
        <w:tc>
          <w:tcPr>
            <w:tcW w:type="dxa" w:w="2076"/>
          </w:tcPr>
          <w:p>
            <w:pPr>
              <w:pStyle w:val="null3"/>
            </w:pPr>
            <w:r>
              <w:rPr/>
              <w:t xml:space="preserve"> 2</w:t>
            </w:r>
          </w:p>
        </w:tc>
        <w:tc>
          <w:tcPr>
            <w:tcW w:type="dxa" w:w="2076"/>
          </w:tcPr>
          <w:p/>
        </w:tc>
        <w:tc>
          <w:tcPr>
            <w:tcW w:type="dxa" w:w="2076"/>
          </w:tcPr>
          <w:p/>
        </w:tc>
        <w:tc>
          <w:tcPr>
            <w:tcW w:type="dxa" w:w="2076"/>
          </w:tcPr>
          <w:p/>
        </w:tc>
      </w:tr>
      <w:tr>
        <w:tc>
          <w:tcPr>
            <w:tcW w:type="dxa" w:w="2076"/>
          </w:tcPr>
          <w:p>
            <w:pPr>
              <w:pStyle w:val="null3"/>
            </w:pPr>
            <w:r>
              <w:rPr/>
              <w:t xml:space="preserve"> 3</w:t>
            </w:r>
          </w:p>
        </w:tc>
        <w:tc>
          <w:tcPr>
            <w:tcW w:type="dxa" w:w="2076"/>
          </w:tcPr>
          <w:p/>
        </w:tc>
        <w:tc>
          <w:tcPr>
            <w:tcW w:type="dxa" w:w="2076"/>
          </w:tcPr>
          <w:p/>
        </w:tc>
        <w:tc>
          <w:tcPr>
            <w:tcW w:type="dxa" w:w="2076"/>
          </w:tcPr>
          <w:p/>
        </w:tc>
      </w:tr>
      <w:tr>
        <w:tc>
          <w:tcPr>
            <w:tcW w:type="dxa" w:w="2076"/>
          </w:tcPr>
          <w:p>
            <w:pPr>
              <w:pStyle w:val="null3"/>
            </w:pPr>
            <w:r>
              <w:rPr/>
              <w:t xml:space="preserve"> 4</w:t>
            </w:r>
          </w:p>
        </w:tc>
        <w:tc>
          <w:tcPr>
            <w:tcW w:type="dxa" w:w="2076"/>
          </w:tcPr>
          <w:p/>
        </w:tc>
        <w:tc>
          <w:tcPr>
            <w:tcW w:type="dxa" w:w="2076"/>
          </w:tcPr>
          <w:p/>
        </w:tc>
        <w:tc>
          <w:tcPr>
            <w:tcW w:type="dxa" w:w="2076"/>
          </w:tcPr>
          <w:p/>
        </w:tc>
      </w:tr>
      <w:tr>
        <w:tc>
          <w:tcPr>
            <w:tcW w:type="dxa" w:w="2076"/>
          </w:tcPr>
          <w:p>
            <w:pPr>
              <w:pStyle w:val="null3"/>
            </w:pPr>
            <w:r>
              <w:rPr/>
              <w:t xml:space="preserve"> …</w:t>
            </w:r>
          </w:p>
        </w:tc>
        <w:tc>
          <w:tcPr>
            <w:tcW w:type="dxa" w:w="2076"/>
          </w:tcPr>
          <w:p/>
        </w:tc>
        <w:tc>
          <w:tcPr>
            <w:tcW w:type="dxa" w:w="2076"/>
          </w:tcPr>
          <w:p/>
        </w:tc>
        <w:tc>
          <w:tcPr>
            <w:tcW w:type="dxa" w:w="2076"/>
          </w:tcPr>
          <w:p/>
        </w:tc>
      </w:tr>
      <w:tr>
        <w:tc>
          <w:tcPr>
            <w:tcW w:type="dxa" w:w="2076"/>
          </w:tcPr>
          <w:p>
            <w:pPr>
              <w:pStyle w:val="null3"/>
            </w:pPr>
            <w:r>
              <w:rPr/>
              <w:t xml:space="preserve"> …</w:t>
            </w:r>
          </w:p>
        </w:tc>
        <w:tc>
          <w:tcPr>
            <w:tcW w:type="dxa" w:w="2076"/>
          </w:tcPr>
          <w:p/>
        </w:tc>
        <w:tc>
          <w:tcPr>
            <w:tcW w:type="dxa" w:w="2076"/>
          </w:tcPr>
          <w:p/>
        </w:tc>
        <w:tc>
          <w:tcPr>
            <w:tcW w:type="dxa" w:w="2076"/>
          </w:tcPr>
          <w:p/>
        </w:tc>
      </w:tr>
    </w:tbl>
    <w:p>
      <w:pPr>
        <w:pStyle w:val="null3"/>
        <w:ind w:firstLine="480"/>
      </w:pPr>
      <w:r>
        <w:rPr/>
        <w:t>说明：</w:t>
      </w:r>
    </w:p>
    <w:p>
      <w:pPr>
        <w:pStyle w:val="null3"/>
        <w:ind w:firstLine="480"/>
      </w:pPr>
      <w:r>
        <w:rPr/>
        <w:t>1.实质性响应条款一览表后续内容请根据第二章采购需求★号条款详细列举</w:t>
      </w:r>
    </w:p>
    <w:p>
      <w:pPr>
        <w:pStyle w:val="null3"/>
        <w:ind w:firstLine="480"/>
      </w:pPr>
      <w:r>
        <w:rPr/>
        <w:t xml:space="preserve"> 2.本表所列条款必须一一予以响应，“投标人响应情况”一栏应填写具体的响应内容，有差异的要具体说明。</w:t>
      </w:r>
    </w:p>
    <w:p>
      <w:pPr>
        <w:pStyle w:val="null3"/>
        <w:ind w:firstLine="480"/>
      </w:pPr>
      <w:r>
        <w:rPr/>
        <w:t>3.请投标人认真填写本表内容，如填写错误将可能导致投标无效。</w:t>
      </w:r>
    </w:p>
    <w:p>
      <w:pPr>
        <w:pStyle w:val="null3"/>
        <w:ind w:firstLine="480"/>
      </w:pPr>
      <w:r>
        <w:rPr/>
        <w:t xml:space="preserve">  </w:t>
      </w:r>
    </w:p>
    <w:p>
      <w:pPr>
        <w:pStyle w:val="null3"/>
        <w:outlineLvl w:val="2"/>
      </w:pPr>
      <w:r>
        <w:rPr>
          <w:sz w:val="28"/>
          <w:b/>
        </w:rPr>
        <w:t>格式六：</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广州市政府采购中心</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广州开放大学2024年教育科研线上培训课程制作服务项目</w:t>
      </w:r>
      <w:r>
        <w:rPr/>
        <w:t>”项目采购[采购项目编号为</w:t>
      </w:r>
      <w:r>
        <w:rPr/>
        <w:t>CZ2024-0971</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提供以下相关证照的扫描件之一：1.企业法人提供企业法人营业执照；2.事业法人提供事业法人登记证；3.其他组织提供其他组织的营业执照或执业许可证；4.自然人提供居民身份证等；</w:t>
      </w:r>
    </w:p>
    <w:p>
      <w:pPr>
        <w:pStyle w:val="null3"/>
        <w:ind w:firstLine="480"/>
      </w:pPr>
      <w:r>
        <w:rPr/>
        <w:t xml:space="preserve">  </w:t>
      </w:r>
    </w:p>
    <w:p>
      <w:pPr>
        <w:pStyle w:val="null3"/>
        <w:outlineLvl w:val="2"/>
      </w:pPr>
      <w:r>
        <w:rPr>
          <w:sz w:val="28"/>
          <w:b/>
        </w:rPr>
        <w:t>格式九：</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广州开放大学</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pPr>
      <w:r>
        <w:rPr/>
        <w:t>温馨提示：根据《广州市财政局 广州市工业和信息化局转发广东省财政厅 广东省发展和改革委员会 广东省工业和信息化厅 广东省地方 金融监督管理局关于印发《广东省政府采购促进中小企业发展实施 细则（试行）》的通知》、《广州市财政局关于进一步规范政府采购供应商资格审查及中小企业声明函管理的通知》的精神，投标人需根据以下要求对其出具的《中小企业声明函》的信息进行完善和规范。</w:t>
      </w:r>
    </w:p>
    <w:p>
      <w:pPr>
        <w:pStyle w:val="null3"/>
        <w:ind w:firstLine="480"/>
      </w:pPr>
      <w:r>
        <w:rPr/>
        <w:t>（一）对于已纳入统计部门统计范围的企业，所属行业、从业人员、营业收入、资产总额、规模类型应与统计部门报表保持一致。</w:t>
      </w:r>
    </w:p>
    <w:p>
      <w:pPr>
        <w:pStyle w:val="null3"/>
        <w:ind w:firstLine="480"/>
      </w:pPr>
      <w:r>
        <w:rPr/>
        <w:t>（二）对于未纳入统计部门统计范围的企业，应对照《国民经济行业分类》确定所属行业，当企业从事两种以上的经济活动时，则按照主要活动确定其所属行业；从业人数可以社会保险参保人数为准；营业收入、资产总额可以第三方出具的报告为准。</w:t>
      </w:r>
    </w:p>
    <w:p>
      <w:pPr>
        <w:pStyle w:val="null3"/>
        <w:ind w:firstLine="480"/>
      </w:pPr>
      <w:r>
        <w:rPr/>
        <w:t>供应商提供第三方（如生产商）书面声明、检测报告等资料作为投标文件组成部分的，供应商应保证投标所提供第三方资料内容真实、完整、准确。如相关第三方书面声明、相关检测报告等资料虚假，监管部门有权根据调查情形认定其是否属于提供虚假材料谋取中标，并严肃处理。</w:t>
      </w:r>
    </w:p>
    <w:p>
      <w:pPr>
        <w:pStyle w:val="null3"/>
        <w:ind w:firstLine="480"/>
      </w:pPr>
      <w:r>
        <w:rPr/>
        <w:t>（三）对于采购文件确实允许非独立法人参与采购活动的，应按其所属集团公司合并财务报表数据情况予以填报。以联合体形式参加或者合同分包的，需填写联合体中的中小企业或签订分包意向协议的中小企业相关信息。</w:t>
      </w:r>
    </w:p>
    <w:p>
      <w:pPr>
        <w:pStyle w:val="null3"/>
        <w:ind w:firstLine="480"/>
      </w:pPr>
      <w:r>
        <w:rPr/>
        <w:t>（四）《中小企业声明函》真实性由其出具的供应商负责。《中小企业声明函》中相关企业[制造商、承建（承接）企业]所属行业应当与采购标的的所属行业相一致。如为货物采购项目，《中小企业声明函》应当充分、准确反映货物制造商的信息。</w:t>
      </w:r>
    </w:p>
    <w:p>
      <w:pPr>
        <w:pStyle w:val="null3"/>
        <w:ind w:firstLine="480"/>
      </w:pPr>
      <w:r>
        <w:rPr/>
        <w:t>（五）对于专门面向中小企业预留份额的采购项目或者采购包，《中小企业声明函》由采购人、采购代理机构在资格审查阶段审查；对于不专门面向中小企业采购的采购项目或者采购包，以及接受大中型企业与小微企业组成联合体或者允许大中型企业向一家或者多家小微企业分包的采购项目，《中小企业声明函》由评审委员会在评审过程中审查。</w:t>
      </w:r>
    </w:p>
    <w:p>
      <w:pPr>
        <w:pStyle w:val="null3"/>
        <w:ind w:firstLine="480"/>
      </w:pPr>
      <w:r>
        <w:rPr/>
        <w:t>（六）经调查发现供应商提供《中小企业声明函》内容与实际不符的，政府采购监管部门有权根据《中小企业声明函》与实际情况的差异视情形认定其是否属于虚假材料谋取中标。</w:t>
      </w:r>
    </w:p>
    <w:p>
      <w:pPr>
        <w:pStyle w:val="null3"/>
        <w:ind w:firstLine="480"/>
      </w:pPr>
      <w:r>
        <w:rPr/>
        <w:t>（七）根据《财政部关于规范政府采购行政处罚有关问题的通知》（财库〔2015〕150 号）规定，各级人民政府财政部门依法对供应商作出的禁止参加政府采购活动的行政处罚决定在全国范围内生效。 为落实对政府采购违法失信行为惩戒，供应商存在任一级人民政府财政部门作出“禁止参加政府采购活动”行政处罚决定且处罚期限未届满的，即使尚未在“中国政府采购网”开设的“政府采购严重违法失信行为处罚记录”和“信用中国”网站显示，也应禁止参加政府采购活动，采购人及采购代理机构应当审慎甄别供应商参与政府采购活动资格。</w:t>
      </w:r>
    </w:p>
    <w:p>
      <w:pPr>
        <w:pStyle w:val="null3"/>
        <w:ind w:firstLine="480"/>
      </w:pPr>
      <w:r>
        <w:rPr/>
        <w:t>（八）采购人、采购代理机构、评标委员会（评审小组）在依法进行资格审查时，应当甄别供应商是否存在“禁止参加政府采购”行政处罚决定记录，依法依规审查供应商投标资格。在资格审查、符合性审查等评审过程中，应严格依照规定审查《中小企业声明函》等文件，确保符合相关政策规定。采购人、采购代理机构、评标委员会（评审小组）审查不到位的，监管部门将依法责令改正；拒不改正的，本机关将按照《中华人民共和国政府采购法》相关规定进行处理。</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格式十五：</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或照搬照抄采购文件参数、不注明实际数值者 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格式十七：</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签定合同并生效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格式十九：</w:t>
      </w:r>
    </w:p>
    <w:p>
      <w:pPr>
        <w:pStyle w:val="null3"/>
        <w:jc w:val="center"/>
        <w:outlineLvl w:val="3"/>
      </w:pPr>
      <w:r>
        <w:rPr>
          <w:sz w:val="24"/>
          <w:b/>
        </w:rPr>
        <w:t>采购代理服务费支付承诺书</w:t>
      </w:r>
    </w:p>
    <w:p>
      <w:pPr>
        <w:pStyle w:val="null3"/>
        <w:ind w:firstLine="480"/>
      </w:pPr>
      <w:r>
        <w:rPr/>
        <w:t>致：</w:t>
      </w:r>
      <w:r>
        <w:rPr/>
        <w:t>广州市政府采购中心</w:t>
      </w:r>
    </w:p>
    <w:p>
      <w:pPr>
        <w:pStyle w:val="null3"/>
        <w:ind w:firstLine="480"/>
      </w:pPr>
      <w:r>
        <w:rPr/>
        <w:t xml:space="preserve"> 如果我方在贵采购代理机构组织的</w:t>
      </w:r>
      <w:r>
        <w:rPr/>
        <w:t>广州开放大学2024年教育科研线上培训课程制作服务项目</w:t>
      </w:r>
      <w:r>
        <w:rPr/>
        <w:t>招标中获中标（采购项目编号：</w:t>
      </w:r>
      <w:r>
        <w:rPr/>
        <w:t>CZ2024-0971</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广州市政府采购中心</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格式二十二：</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格式二十三：</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