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color w:val="auto"/>
          <w:highlight w:val="none"/>
        </w:rPr>
      </w:pPr>
    </w:p>
    <w:p>
      <w:pPr>
        <w:widowControl/>
        <w:jc w:val="left"/>
        <w:rPr>
          <w:color w:val="auto"/>
          <w:highlight w:val="none"/>
        </w:rPr>
      </w:pPr>
    </w:p>
    <w:p>
      <w:pPr>
        <w:snapToGrid w:val="0"/>
        <w:spacing w:line="360" w:lineRule="auto"/>
        <w:rPr>
          <w:color w:val="auto"/>
          <w:highlight w:val="none"/>
        </w:rPr>
      </w:pPr>
    </w:p>
    <w:p>
      <w:pPr>
        <w:snapToGrid w:val="0"/>
        <w:spacing w:line="360" w:lineRule="auto"/>
        <w:rPr>
          <w:color w:val="auto"/>
          <w:highlight w:val="none"/>
        </w:rPr>
      </w:pPr>
    </w:p>
    <w:p>
      <w:pPr>
        <w:snapToGrid w:val="0"/>
        <w:spacing w:line="360" w:lineRule="auto"/>
        <w:jc w:val="center"/>
        <w:rPr>
          <w:b/>
          <w:bCs/>
          <w:color w:val="auto"/>
          <w:sz w:val="36"/>
          <w:szCs w:val="36"/>
          <w:highlight w:val="none"/>
        </w:rPr>
      </w:pPr>
    </w:p>
    <w:p>
      <w:pPr>
        <w:snapToGrid w:val="0"/>
        <w:spacing w:line="360" w:lineRule="auto"/>
        <w:jc w:val="center"/>
        <w:rPr>
          <w:b/>
          <w:bCs/>
          <w:color w:val="auto"/>
          <w:sz w:val="36"/>
          <w:szCs w:val="36"/>
          <w:highlight w:val="none"/>
        </w:rPr>
      </w:pPr>
      <w:r>
        <w:rPr>
          <w:rFonts w:hint="eastAsia"/>
          <w:b/>
          <w:bCs/>
          <w:color w:val="auto"/>
          <w:sz w:val="36"/>
          <w:szCs w:val="36"/>
          <w:highlight w:val="none"/>
        </w:rPr>
        <w:t>广州市中心城区地下综合管廊（沿轨道交通十一号线）主线建筑节能、智能建筑、消防、附属结构检测服务项目</w:t>
      </w:r>
    </w:p>
    <w:p>
      <w:pPr>
        <w:tabs>
          <w:tab w:val="left" w:pos="6100"/>
        </w:tabs>
        <w:spacing w:line="320" w:lineRule="exact"/>
        <w:ind w:left="2960"/>
        <w:outlineLvl w:val="0"/>
        <w:rPr>
          <w:color w:val="auto"/>
          <w:sz w:val="28"/>
          <w:highlight w:val="none"/>
        </w:rPr>
      </w:pPr>
      <w:bookmarkStart w:id="0" w:name="_Toc530728895"/>
    </w:p>
    <w:bookmarkEnd w:id="0"/>
    <w:p>
      <w:pPr>
        <w:spacing w:line="2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69" w:lineRule="exact"/>
        <w:rPr>
          <w:color w:val="auto"/>
          <w:highlight w:val="none"/>
        </w:rPr>
      </w:pPr>
    </w:p>
    <w:p>
      <w:pPr>
        <w:jc w:val="center"/>
        <w:rPr>
          <w:color w:val="auto"/>
          <w:sz w:val="72"/>
          <w:szCs w:val="72"/>
          <w:highlight w:val="none"/>
        </w:rPr>
      </w:pPr>
      <w:r>
        <w:rPr>
          <w:rFonts w:hAnsi="黑体"/>
          <w:color w:val="auto"/>
          <w:sz w:val="72"/>
          <w:szCs w:val="72"/>
          <w:highlight w:val="none"/>
        </w:rPr>
        <w:t>招标文件</w:t>
      </w: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81" w:lineRule="exact"/>
        <w:rPr>
          <w:color w:val="auto"/>
          <w:highlight w:val="none"/>
        </w:rPr>
      </w:pPr>
    </w:p>
    <w:p>
      <w:pPr>
        <w:jc w:val="center"/>
        <w:rPr>
          <w:b/>
          <w:color w:val="auto"/>
          <w:sz w:val="28"/>
          <w:highlight w:val="none"/>
        </w:rPr>
      </w:pPr>
      <w:r>
        <w:rPr>
          <w:rFonts w:hAnsi="宋体"/>
          <w:b/>
          <w:color w:val="auto"/>
          <w:sz w:val="28"/>
          <w:highlight w:val="none"/>
        </w:rPr>
        <w:t>招标人：</w:t>
      </w:r>
      <w:r>
        <w:rPr>
          <w:rFonts w:hint="eastAsia" w:hAnsi="宋体"/>
          <w:b/>
          <w:color w:val="auto"/>
          <w:sz w:val="28"/>
          <w:highlight w:val="none"/>
          <w:u w:val="single"/>
        </w:rPr>
        <w:t>广州环城地下管廊建设投资有限公司</w:t>
      </w:r>
    </w:p>
    <w:p>
      <w:pPr>
        <w:jc w:val="center"/>
        <w:rPr>
          <w:color w:val="auto"/>
          <w:highlight w:val="none"/>
        </w:rPr>
      </w:pPr>
      <w:r>
        <w:rPr>
          <w:rFonts w:hint="eastAsia" w:hAnsi="宋体"/>
          <w:b/>
          <w:color w:val="auto"/>
          <w:sz w:val="28"/>
          <w:highlight w:val="none"/>
        </w:rPr>
        <w:t>招标代理：</w:t>
      </w:r>
      <w:r>
        <w:rPr>
          <w:rFonts w:hint="eastAsia" w:hAnsi="宋体"/>
          <w:b/>
          <w:color w:val="auto"/>
          <w:sz w:val="28"/>
          <w:highlight w:val="none"/>
          <w:u w:val="single"/>
        </w:rPr>
        <w:t>北京中交建设工程咨询有限公司</w:t>
      </w:r>
    </w:p>
    <w:p>
      <w:pPr>
        <w:jc w:val="center"/>
        <w:rPr>
          <w:b/>
          <w:color w:val="auto"/>
          <w:sz w:val="28"/>
          <w:szCs w:val="28"/>
          <w:highlight w:val="none"/>
        </w:rPr>
      </w:pPr>
      <w:r>
        <w:rPr>
          <w:rFonts w:hint="eastAsia"/>
          <w:b/>
          <w:color w:val="auto"/>
          <w:sz w:val="28"/>
          <w:szCs w:val="28"/>
          <w:highlight w:val="none"/>
        </w:rPr>
        <w:t>日期：</w:t>
      </w:r>
      <w:r>
        <w:rPr>
          <w:rFonts w:hint="eastAsia"/>
          <w:b/>
          <w:color w:val="auto"/>
          <w:sz w:val="28"/>
          <w:szCs w:val="28"/>
          <w:highlight w:val="none"/>
          <w:u w:val="single"/>
        </w:rPr>
        <w:t>2022</w:t>
      </w:r>
      <w:r>
        <w:rPr>
          <w:rFonts w:hAnsi="宋体"/>
          <w:b/>
          <w:color w:val="auto"/>
          <w:sz w:val="28"/>
          <w:szCs w:val="28"/>
          <w:highlight w:val="none"/>
        </w:rPr>
        <w:t>年</w:t>
      </w:r>
      <w:r>
        <w:rPr>
          <w:rFonts w:hint="eastAsia"/>
          <w:b/>
          <w:color w:val="auto"/>
          <w:sz w:val="28"/>
          <w:szCs w:val="28"/>
          <w:highlight w:val="none"/>
          <w:u w:val="single"/>
          <w:lang w:val="en-US" w:eastAsia="zh-CN"/>
        </w:rPr>
        <w:t>4</w:t>
      </w:r>
      <w:r>
        <w:rPr>
          <w:rFonts w:hAnsi="宋体"/>
          <w:b/>
          <w:color w:val="auto"/>
          <w:sz w:val="28"/>
          <w:szCs w:val="28"/>
          <w:highlight w:val="none"/>
        </w:rPr>
        <w:t>月</w:t>
      </w:r>
    </w:p>
    <w:p>
      <w:pPr>
        <w:spacing w:line="0" w:lineRule="atLeast"/>
        <w:rPr>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titlePg/>
          <w:docGrid w:type="lines" w:linePitch="312" w:charSpace="0"/>
        </w:sectPr>
      </w:pPr>
    </w:p>
    <w:tbl>
      <w:tblPr>
        <w:tblStyle w:val="42"/>
        <w:tblW w:w="8938" w:type="dxa"/>
        <w:tblInd w:w="360" w:type="dxa"/>
        <w:tblLayout w:type="fixed"/>
        <w:tblCellMar>
          <w:top w:w="0" w:type="dxa"/>
          <w:left w:w="0" w:type="dxa"/>
          <w:bottom w:w="0" w:type="dxa"/>
          <w:right w:w="0" w:type="dxa"/>
        </w:tblCellMar>
      </w:tblPr>
      <w:tblGrid>
        <w:gridCol w:w="682"/>
        <w:gridCol w:w="517"/>
        <w:gridCol w:w="7512"/>
        <w:gridCol w:w="227"/>
      </w:tblGrid>
      <w:tr>
        <w:trPr>
          <w:trHeight w:val="785" w:hRule="atLeast"/>
        </w:trPr>
        <w:tc>
          <w:tcPr>
            <w:tcW w:w="682" w:type="dxa"/>
            <w:vAlign w:val="bottom"/>
          </w:tcPr>
          <w:p>
            <w:pPr>
              <w:spacing w:line="0" w:lineRule="atLeast"/>
              <w:rPr>
                <w:color w:val="auto"/>
                <w:sz w:val="24"/>
                <w:highlight w:val="none"/>
              </w:rPr>
            </w:pPr>
          </w:p>
        </w:tc>
        <w:tc>
          <w:tcPr>
            <w:tcW w:w="517" w:type="dxa"/>
            <w:vAlign w:val="bottom"/>
          </w:tcPr>
          <w:p>
            <w:pPr>
              <w:spacing w:line="0" w:lineRule="atLeast"/>
              <w:rPr>
                <w:color w:val="auto"/>
                <w:sz w:val="24"/>
                <w:highlight w:val="none"/>
              </w:rPr>
            </w:pPr>
          </w:p>
        </w:tc>
        <w:tc>
          <w:tcPr>
            <w:tcW w:w="7512" w:type="dxa"/>
            <w:vAlign w:val="bottom"/>
          </w:tcPr>
          <w:p>
            <w:pPr>
              <w:spacing w:after="240" w:line="320" w:lineRule="exact"/>
              <w:ind w:right="3573"/>
              <w:jc w:val="right"/>
              <w:rPr>
                <w:b/>
                <w:color w:val="auto"/>
                <w:sz w:val="28"/>
                <w:szCs w:val="28"/>
                <w:highlight w:val="none"/>
              </w:rPr>
            </w:pPr>
            <w:r>
              <w:rPr>
                <w:rFonts w:hAnsi="黑体"/>
                <w:b/>
                <w:color w:val="auto"/>
                <w:sz w:val="28"/>
                <w:szCs w:val="28"/>
                <w:highlight w:val="none"/>
              </w:rPr>
              <w:t>目录</w:t>
            </w:r>
          </w:p>
        </w:tc>
        <w:tc>
          <w:tcPr>
            <w:tcW w:w="227" w:type="dxa"/>
            <w:vAlign w:val="bottom"/>
          </w:tcPr>
          <w:p>
            <w:pPr>
              <w:spacing w:line="0" w:lineRule="atLeast"/>
              <w:rPr>
                <w:color w:val="auto"/>
                <w:sz w:val="24"/>
                <w:highlight w:val="none"/>
              </w:rPr>
            </w:pPr>
          </w:p>
        </w:tc>
      </w:tr>
    </w:tbl>
    <w:p>
      <w:pPr>
        <w:pStyle w:val="33"/>
        <w:tabs>
          <w:tab w:val="right" w:leader="dot" w:pos="9060"/>
        </w:tabs>
        <w:spacing w:line="360" w:lineRule="auto"/>
        <w:ind w:left="420"/>
        <w:rPr>
          <w:rFonts w:asciiTheme="minorHAnsi" w:hAnsiTheme="minorHAnsi" w:eastAsiaTheme="minorEastAsia" w:cstheme="minorBidi"/>
          <w:b/>
          <w:bCs/>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"_Toc97798540" </w:instrText>
      </w:r>
      <w:r>
        <w:rPr>
          <w:color w:val="auto"/>
          <w:highlight w:val="none"/>
        </w:rPr>
        <w:fldChar w:fldCharType="separate"/>
      </w:r>
      <w:r>
        <w:rPr>
          <w:rStyle w:val="48"/>
          <w:rFonts w:hint="eastAsia" w:hAnsi="宋体"/>
          <w:b/>
          <w:bCs/>
          <w:color w:val="auto"/>
          <w:highlight w:val="none"/>
        </w:rPr>
        <w:t>第一章招标公告</w:t>
      </w:r>
      <w:r>
        <w:rPr>
          <w:b/>
          <w:bCs/>
          <w:color w:val="auto"/>
          <w:highlight w:val="none"/>
        </w:rPr>
        <w:tab/>
      </w:r>
      <w:r>
        <w:rPr>
          <w:b/>
          <w:bCs/>
          <w:color w:val="auto"/>
          <w:highlight w:val="none"/>
        </w:rPr>
        <w:fldChar w:fldCharType="begin"/>
      </w:r>
      <w:r>
        <w:rPr>
          <w:b/>
          <w:bCs/>
          <w:color w:val="auto"/>
          <w:highlight w:val="none"/>
        </w:rPr>
        <w:instrText xml:space="preserve"> PAGEREF _Toc97798540 \h </w:instrText>
      </w:r>
      <w:r>
        <w:rPr>
          <w:b/>
          <w:bCs/>
          <w:color w:val="auto"/>
          <w:highlight w:val="none"/>
        </w:rPr>
        <w:fldChar w:fldCharType="separate"/>
      </w:r>
      <w:r>
        <w:rPr>
          <w:b/>
          <w:bCs/>
          <w:color w:val="auto"/>
          <w:highlight w:val="none"/>
        </w:rPr>
        <w:t>2</w:t>
      </w:r>
      <w:r>
        <w:rPr>
          <w:b/>
          <w:bCs/>
          <w:color w:val="auto"/>
          <w:highlight w:val="none"/>
        </w:rPr>
        <w:fldChar w:fldCharType="end"/>
      </w:r>
      <w:r>
        <w:rPr>
          <w:b/>
          <w:bCs/>
          <w:color w:val="auto"/>
          <w:highlight w:val="none"/>
        </w:rPr>
        <w:fldChar w:fldCharType="end"/>
      </w:r>
    </w:p>
    <w:p>
      <w:pPr>
        <w:pStyle w:val="33"/>
        <w:tabs>
          <w:tab w:val="right" w:leader="dot" w:pos="9060"/>
        </w:tabs>
        <w:spacing w:line="360" w:lineRule="auto"/>
        <w:ind w:left="420"/>
        <w:rPr>
          <w:rFonts w:asciiTheme="minorHAnsi" w:hAnsiTheme="minorHAnsi" w:eastAsiaTheme="minorEastAsia" w:cstheme="minorBidi"/>
          <w:b/>
          <w:bCs/>
          <w:color w:val="auto"/>
          <w:highlight w:val="none"/>
        </w:rPr>
      </w:pPr>
      <w:r>
        <w:rPr>
          <w:color w:val="auto"/>
          <w:highlight w:val="none"/>
        </w:rPr>
        <w:fldChar w:fldCharType="begin"/>
      </w:r>
      <w:r>
        <w:rPr>
          <w:color w:val="auto"/>
          <w:highlight w:val="none"/>
        </w:rPr>
        <w:instrText xml:space="preserve"> HYPERLINK \l "_Toc97798541" </w:instrText>
      </w:r>
      <w:r>
        <w:rPr>
          <w:color w:val="auto"/>
          <w:highlight w:val="none"/>
        </w:rPr>
        <w:fldChar w:fldCharType="separate"/>
      </w:r>
      <w:r>
        <w:rPr>
          <w:rStyle w:val="48"/>
          <w:rFonts w:hint="eastAsia"/>
          <w:b/>
          <w:bCs/>
          <w:color w:val="auto"/>
          <w:highlight w:val="none"/>
        </w:rPr>
        <w:t>第二章投标人须知</w:t>
      </w:r>
      <w:r>
        <w:rPr>
          <w:b/>
          <w:bCs/>
          <w:color w:val="auto"/>
          <w:highlight w:val="none"/>
        </w:rPr>
        <w:tab/>
      </w:r>
      <w:r>
        <w:rPr>
          <w:b/>
          <w:bCs/>
          <w:color w:val="auto"/>
          <w:highlight w:val="none"/>
        </w:rPr>
        <w:fldChar w:fldCharType="begin"/>
      </w:r>
      <w:r>
        <w:rPr>
          <w:b/>
          <w:bCs/>
          <w:color w:val="auto"/>
          <w:highlight w:val="none"/>
        </w:rPr>
        <w:instrText xml:space="preserve"> PAGEREF _Toc97798541 \h </w:instrText>
      </w:r>
      <w:r>
        <w:rPr>
          <w:b/>
          <w:bCs/>
          <w:color w:val="auto"/>
          <w:highlight w:val="none"/>
        </w:rPr>
        <w:fldChar w:fldCharType="separate"/>
      </w:r>
      <w:r>
        <w:rPr>
          <w:b/>
          <w:bCs/>
          <w:color w:val="auto"/>
          <w:highlight w:val="none"/>
        </w:rPr>
        <w:t>3</w:t>
      </w:r>
      <w:r>
        <w:rPr>
          <w:b/>
          <w:bCs/>
          <w:color w:val="auto"/>
          <w:highlight w:val="none"/>
        </w:rPr>
        <w:fldChar w:fldCharType="end"/>
      </w:r>
      <w:r>
        <w:rPr>
          <w:b/>
          <w:bCs/>
          <w:color w:val="auto"/>
          <w:highlight w:val="none"/>
        </w:rPr>
        <w:fldChar w:fldCharType="end"/>
      </w:r>
    </w:p>
    <w:p>
      <w:pPr>
        <w:pStyle w:val="33"/>
        <w:tabs>
          <w:tab w:val="right" w:leader="dot" w:pos="9060"/>
        </w:tabs>
        <w:spacing w:line="360" w:lineRule="auto"/>
        <w:ind w:left="420"/>
        <w:rPr>
          <w:rFonts w:asciiTheme="minorHAnsi" w:hAnsiTheme="minorHAnsi" w:eastAsiaTheme="minorEastAsia" w:cstheme="minorBidi"/>
          <w:b/>
          <w:bCs/>
          <w:color w:val="auto"/>
          <w:highlight w:val="none"/>
        </w:rPr>
      </w:pPr>
      <w:r>
        <w:rPr>
          <w:color w:val="auto"/>
          <w:highlight w:val="none"/>
        </w:rPr>
        <w:fldChar w:fldCharType="begin"/>
      </w:r>
      <w:r>
        <w:rPr>
          <w:color w:val="auto"/>
          <w:highlight w:val="none"/>
        </w:rPr>
        <w:instrText xml:space="preserve"> HYPERLINK \l "_Toc97798601" </w:instrText>
      </w:r>
      <w:r>
        <w:rPr>
          <w:color w:val="auto"/>
          <w:highlight w:val="none"/>
        </w:rPr>
        <w:fldChar w:fldCharType="separate"/>
      </w:r>
      <w:r>
        <w:rPr>
          <w:rStyle w:val="48"/>
          <w:rFonts w:hint="eastAsia"/>
          <w:b/>
          <w:bCs/>
          <w:color w:val="auto"/>
          <w:highlight w:val="none"/>
        </w:rPr>
        <w:t>第三章评标办法（综合评估法）</w:t>
      </w:r>
      <w:r>
        <w:rPr>
          <w:b/>
          <w:bCs/>
          <w:color w:val="auto"/>
          <w:highlight w:val="none"/>
        </w:rPr>
        <w:tab/>
      </w:r>
      <w:r>
        <w:rPr>
          <w:b/>
          <w:bCs/>
          <w:color w:val="auto"/>
          <w:highlight w:val="none"/>
        </w:rPr>
        <w:fldChar w:fldCharType="begin"/>
      </w:r>
      <w:r>
        <w:rPr>
          <w:b/>
          <w:bCs/>
          <w:color w:val="auto"/>
          <w:highlight w:val="none"/>
        </w:rPr>
        <w:instrText xml:space="preserve"> PAGEREF _Toc97798601 \h </w:instrText>
      </w:r>
      <w:r>
        <w:rPr>
          <w:b/>
          <w:bCs/>
          <w:color w:val="auto"/>
          <w:highlight w:val="none"/>
        </w:rPr>
        <w:fldChar w:fldCharType="separate"/>
      </w:r>
      <w:r>
        <w:rPr>
          <w:b/>
          <w:bCs/>
          <w:color w:val="auto"/>
          <w:highlight w:val="none"/>
        </w:rPr>
        <w:t>28</w:t>
      </w:r>
      <w:r>
        <w:rPr>
          <w:b/>
          <w:bCs/>
          <w:color w:val="auto"/>
          <w:highlight w:val="none"/>
        </w:rPr>
        <w:fldChar w:fldCharType="end"/>
      </w:r>
      <w:r>
        <w:rPr>
          <w:b/>
          <w:bCs/>
          <w:color w:val="auto"/>
          <w:highlight w:val="none"/>
        </w:rPr>
        <w:fldChar w:fldCharType="end"/>
      </w:r>
    </w:p>
    <w:p>
      <w:pPr>
        <w:pStyle w:val="33"/>
        <w:tabs>
          <w:tab w:val="right" w:leader="dot" w:pos="9060"/>
        </w:tabs>
        <w:spacing w:line="360" w:lineRule="auto"/>
        <w:ind w:left="420"/>
        <w:rPr>
          <w:rFonts w:asciiTheme="minorHAnsi" w:hAnsiTheme="minorHAnsi" w:eastAsiaTheme="minorEastAsia" w:cstheme="minorBidi"/>
          <w:b/>
          <w:bCs/>
          <w:color w:val="auto"/>
          <w:highlight w:val="none"/>
        </w:rPr>
      </w:pPr>
      <w:r>
        <w:rPr>
          <w:color w:val="auto"/>
          <w:highlight w:val="none"/>
        </w:rPr>
        <w:fldChar w:fldCharType="begin"/>
      </w:r>
      <w:r>
        <w:rPr>
          <w:color w:val="auto"/>
          <w:highlight w:val="none"/>
        </w:rPr>
        <w:instrText xml:space="preserve"> HYPERLINK \l "_Toc97798611" </w:instrText>
      </w:r>
      <w:r>
        <w:rPr>
          <w:color w:val="auto"/>
          <w:highlight w:val="none"/>
        </w:rPr>
        <w:fldChar w:fldCharType="separate"/>
      </w:r>
      <w:r>
        <w:rPr>
          <w:rStyle w:val="48"/>
          <w:rFonts w:hint="eastAsia"/>
          <w:b/>
          <w:bCs/>
          <w:color w:val="auto"/>
          <w:highlight w:val="none"/>
        </w:rPr>
        <w:t>第四章合同条款及格式</w:t>
      </w:r>
      <w:r>
        <w:rPr>
          <w:b/>
          <w:bCs/>
          <w:color w:val="auto"/>
          <w:highlight w:val="none"/>
        </w:rPr>
        <w:tab/>
      </w:r>
      <w:r>
        <w:rPr>
          <w:b/>
          <w:bCs/>
          <w:color w:val="auto"/>
          <w:highlight w:val="none"/>
        </w:rPr>
        <w:fldChar w:fldCharType="begin"/>
      </w:r>
      <w:r>
        <w:rPr>
          <w:b/>
          <w:bCs/>
          <w:color w:val="auto"/>
          <w:highlight w:val="none"/>
        </w:rPr>
        <w:instrText xml:space="preserve"> PAGEREF _Toc97798611 \h </w:instrText>
      </w:r>
      <w:r>
        <w:rPr>
          <w:b/>
          <w:bCs/>
          <w:color w:val="auto"/>
          <w:highlight w:val="none"/>
        </w:rPr>
        <w:fldChar w:fldCharType="separate"/>
      </w:r>
      <w:r>
        <w:rPr>
          <w:b/>
          <w:bCs/>
          <w:color w:val="auto"/>
          <w:highlight w:val="none"/>
        </w:rPr>
        <w:t>36</w:t>
      </w:r>
      <w:r>
        <w:rPr>
          <w:b/>
          <w:bCs/>
          <w:color w:val="auto"/>
          <w:highlight w:val="none"/>
        </w:rPr>
        <w:fldChar w:fldCharType="end"/>
      </w:r>
      <w:r>
        <w:rPr>
          <w:b/>
          <w:bCs/>
          <w:color w:val="auto"/>
          <w:highlight w:val="none"/>
        </w:rPr>
        <w:fldChar w:fldCharType="end"/>
      </w:r>
    </w:p>
    <w:p>
      <w:pPr>
        <w:pStyle w:val="33"/>
        <w:tabs>
          <w:tab w:val="right" w:leader="dot" w:pos="9060"/>
        </w:tabs>
        <w:spacing w:line="360" w:lineRule="auto"/>
        <w:ind w:left="420"/>
        <w:rPr>
          <w:rFonts w:asciiTheme="minorHAnsi" w:hAnsiTheme="minorHAnsi" w:eastAsiaTheme="minorEastAsia" w:cstheme="minorBidi"/>
          <w:b/>
          <w:bCs/>
          <w:color w:val="auto"/>
          <w:highlight w:val="none"/>
        </w:rPr>
      </w:pPr>
      <w:r>
        <w:rPr>
          <w:color w:val="auto"/>
          <w:highlight w:val="none"/>
        </w:rPr>
        <w:fldChar w:fldCharType="begin"/>
      </w:r>
      <w:r>
        <w:rPr>
          <w:color w:val="auto"/>
          <w:highlight w:val="none"/>
        </w:rPr>
        <w:instrText xml:space="preserve"> HYPERLINK \l "_Toc97798612" </w:instrText>
      </w:r>
      <w:r>
        <w:rPr>
          <w:color w:val="auto"/>
          <w:highlight w:val="none"/>
        </w:rPr>
        <w:fldChar w:fldCharType="separate"/>
      </w:r>
      <w:r>
        <w:rPr>
          <w:rStyle w:val="48"/>
          <w:rFonts w:hint="eastAsia"/>
          <w:b/>
          <w:bCs/>
          <w:color w:val="auto"/>
          <w:highlight w:val="none"/>
        </w:rPr>
        <w:t>第五章委托人要求</w:t>
      </w:r>
      <w:r>
        <w:rPr>
          <w:b/>
          <w:bCs/>
          <w:color w:val="auto"/>
          <w:highlight w:val="none"/>
        </w:rPr>
        <w:tab/>
      </w:r>
      <w:r>
        <w:rPr>
          <w:b/>
          <w:bCs/>
          <w:color w:val="auto"/>
          <w:highlight w:val="none"/>
        </w:rPr>
        <w:fldChar w:fldCharType="begin"/>
      </w:r>
      <w:r>
        <w:rPr>
          <w:b/>
          <w:bCs/>
          <w:color w:val="auto"/>
          <w:highlight w:val="none"/>
        </w:rPr>
        <w:instrText xml:space="preserve"> PAGEREF _Toc97798612 \h </w:instrText>
      </w:r>
      <w:r>
        <w:rPr>
          <w:b/>
          <w:bCs/>
          <w:color w:val="auto"/>
          <w:highlight w:val="none"/>
        </w:rPr>
        <w:fldChar w:fldCharType="separate"/>
      </w:r>
      <w:r>
        <w:rPr>
          <w:b/>
          <w:bCs/>
          <w:color w:val="auto"/>
          <w:highlight w:val="none"/>
        </w:rPr>
        <w:t>36</w:t>
      </w:r>
      <w:r>
        <w:rPr>
          <w:b/>
          <w:bCs/>
          <w:color w:val="auto"/>
          <w:highlight w:val="none"/>
        </w:rPr>
        <w:fldChar w:fldCharType="end"/>
      </w:r>
      <w:r>
        <w:rPr>
          <w:b/>
          <w:bCs/>
          <w:color w:val="auto"/>
          <w:highlight w:val="none"/>
        </w:rPr>
        <w:fldChar w:fldCharType="end"/>
      </w:r>
    </w:p>
    <w:p>
      <w:pPr>
        <w:pStyle w:val="33"/>
        <w:tabs>
          <w:tab w:val="right" w:leader="dot" w:pos="9060"/>
        </w:tabs>
        <w:spacing w:line="360" w:lineRule="auto"/>
        <w:ind w:left="420"/>
        <w:rPr>
          <w:rFonts w:asciiTheme="minorHAnsi" w:hAnsiTheme="minorHAnsi" w:eastAsiaTheme="minorEastAsia" w:cstheme="minorBidi"/>
          <w:b/>
          <w:bCs/>
          <w:color w:val="auto"/>
          <w:highlight w:val="none"/>
        </w:rPr>
      </w:pPr>
      <w:r>
        <w:rPr>
          <w:color w:val="auto"/>
          <w:highlight w:val="none"/>
        </w:rPr>
        <w:fldChar w:fldCharType="begin"/>
      </w:r>
      <w:r>
        <w:rPr>
          <w:color w:val="auto"/>
          <w:highlight w:val="none"/>
        </w:rPr>
        <w:instrText xml:space="preserve"> HYPERLINK \l "_Toc97798619" </w:instrText>
      </w:r>
      <w:r>
        <w:rPr>
          <w:color w:val="auto"/>
          <w:highlight w:val="none"/>
        </w:rPr>
        <w:fldChar w:fldCharType="separate"/>
      </w:r>
      <w:r>
        <w:rPr>
          <w:rStyle w:val="48"/>
          <w:rFonts w:hint="eastAsia"/>
          <w:b/>
          <w:bCs/>
          <w:color w:val="auto"/>
          <w:highlight w:val="none"/>
        </w:rPr>
        <w:t>第六章检测服务清单</w:t>
      </w:r>
      <w:r>
        <w:rPr>
          <w:b/>
          <w:bCs/>
          <w:color w:val="auto"/>
          <w:highlight w:val="none"/>
        </w:rPr>
        <w:tab/>
      </w:r>
      <w:r>
        <w:rPr>
          <w:b/>
          <w:bCs/>
          <w:color w:val="auto"/>
          <w:highlight w:val="none"/>
        </w:rPr>
        <w:fldChar w:fldCharType="begin"/>
      </w:r>
      <w:r>
        <w:rPr>
          <w:b/>
          <w:bCs/>
          <w:color w:val="auto"/>
          <w:highlight w:val="none"/>
        </w:rPr>
        <w:instrText xml:space="preserve"> PAGEREF _Toc97798619 \h </w:instrText>
      </w:r>
      <w:r>
        <w:rPr>
          <w:b/>
          <w:bCs/>
          <w:color w:val="auto"/>
          <w:highlight w:val="none"/>
        </w:rPr>
        <w:fldChar w:fldCharType="separate"/>
      </w:r>
      <w:r>
        <w:rPr>
          <w:b/>
          <w:bCs/>
          <w:color w:val="auto"/>
          <w:highlight w:val="none"/>
        </w:rPr>
        <w:t>39</w:t>
      </w:r>
      <w:r>
        <w:rPr>
          <w:b/>
          <w:bCs/>
          <w:color w:val="auto"/>
          <w:highlight w:val="none"/>
        </w:rPr>
        <w:fldChar w:fldCharType="end"/>
      </w:r>
      <w:r>
        <w:rPr>
          <w:b/>
          <w:bCs/>
          <w:color w:val="auto"/>
          <w:highlight w:val="none"/>
        </w:rPr>
        <w:fldChar w:fldCharType="end"/>
      </w:r>
    </w:p>
    <w:p>
      <w:pPr>
        <w:pStyle w:val="33"/>
        <w:tabs>
          <w:tab w:val="right" w:leader="dot" w:pos="9060"/>
        </w:tabs>
        <w:spacing w:line="360" w:lineRule="auto"/>
        <w:ind w:left="420"/>
        <w:rPr>
          <w:rFonts w:asciiTheme="minorHAnsi" w:hAnsiTheme="minorHAnsi" w:eastAsiaTheme="minorEastAsia" w:cstheme="minorBidi"/>
          <w:b/>
          <w:bCs/>
          <w:color w:val="auto"/>
          <w:highlight w:val="none"/>
        </w:rPr>
      </w:pPr>
      <w:r>
        <w:rPr>
          <w:color w:val="auto"/>
          <w:highlight w:val="none"/>
        </w:rPr>
        <w:fldChar w:fldCharType="begin"/>
      </w:r>
      <w:r>
        <w:rPr>
          <w:color w:val="auto"/>
          <w:highlight w:val="none"/>
        </w:rPr>
        <w:instrText xml:space="preserve"> HYPERLINK \l "_Toc97798620" </w:instrText>
      </w:r>
      <w:r>
        <w:rPr>
          <w:color w:val="auto"/>
          <w:highlight w:val="none"/>
        </w:rPr>
        <w:fldChar w:fldCharType="separate"/>
      </w:r>
      <w:r>
        <w:rPr>
          <w:rStyle w:val="48"/>
          <w:rFonts w:hint="eastAsia"/>
          <w:b/>
          <w:bCs/>
          <w:color w:val="auto"/>
          <w:highlight w:val="none"/>
        </w:rPr>
        <w:t>第七章投标文件格式</w:t>
      </w:r>
      <w:r>
        <w:rPr>
          <w:b/>
          <w:bCs/>
          <w:color w:val="auto"/>
          <w:highlight w:val="none"/>
        </w:rPr>
        <w:tab/>
      </w:r>
      <w:r>
        <w:rPr>
          <w:b/>
          <w:bCs/>
          <w:color w:val="auto"/>
          <w:highlight w:val="none"/>
        </w:rPr>
        <w:fldChar w:fldCharType="begin"/>
      </w:r>
      <w:r>
        <w:rPr>
          <w:b/>
          <w:bCs/>
          <w:color w:val="auto"/>
          <w:highlight w:val="none"/>
        </w:rPr>
        <w:instrText xml:space="preserve"> PAGEREF _Toc97798620 \h </w:instrText>
      </w:r>
      <w:r>
        <w:rPr>
          <w:b/>
          <w:bCs/>
          <w:color w:val="auto"/>
          <w:highlight w:val="none"/>
        </w:rPr>
        <w:fldChar w:fldCharType="separate"/>
      </w:r>
      <w:r>
        <w:rPr>
          <w:b/>
          <w:bCs/>
          <w:color w:val="auto"/>
          <w:highlight w:val="none"/>
        </w:rPr>
        <w:t>46</w:t>
      </w:r>
      <w:r>
        <w:rPr>
          <w:b/>
          <w:bCs/>
          <w:color w:val="auto"/>
          <w:highlight w:val="none"/>
        </w:rPr>
        <w:fldChar w:fldCharType="end"/>
      </w:r>
      <w:r>
        <w:rPr>
          <w:b/>
          <w:bCs/>
          <w:color w:val="auto"/>
          <w:highlight w:val="none"/>
        </w:rPr>
        <w:fldChar w:fldCharType="end"/>
      </w:r>
    </w:p>
    <w:p>
      <w:pPr>
        <w:rPr>
          <w:color w:val="auto"/>
          <w:highlight w:val="none"/>
        </w:rPr>
        <w:sectPr>
          <w:footerReference r:id="rId9" w:type="default"/>
          <w:pgSz w:w="11906" w:h="16838"/>
          <w:pgMar w:top="1418" w:right="1418" w:bottom="1418" w:left="1418" w:header="851" w:footer="992" w:gutter="0"/>
          <w:pgNumType w:start="1"/>
          <w:cols w:space="720" w:num="1"/>
          <w:docGrid w:type="lines" w:linePitch="312" w:charSpace="0"/>
        </w:sectPr>
      </w:pPr>
      <w:r>
        <w:rPr>
          <w:b/>
          <w:bCs/>
          <w:color w:val="auto"/>
          <w:highlight w:val="none"/>
          <w:lang w:val="zh-CN"/>
        </w:rPr>
        <w:fldChar w:fldCharType="end"/>
      </w:r>
    </w:p>
    <w:p>
      <w:pPr>
        <w:spacing w:line="491" w:lineRule="exact"/>
        <w:rPr>
          <w:b/>
          <w:color w:val="auto"/>
          <w:sz w:val="43"/>
          <w:highlight w:val="none"/>
        </w:rPr>
      </w:pPr>
    </w:p>
    <w:p>
      <w:pPr>
        <w:spacing w:line="360" w:lineRule="auto"/>
        <w:jc w:val="center"/>
        <w:outlineLvl w:val="1"/>
        <w:rPr>
          <w:b/>
          <w:color w:val="auto"/>
          <w:sz w:val="44"/>
          <w:highlight w:val="none"/>
        </w:rPr>
      </w:pPr>
      <w:bookmarkStart w:id="1" w:name="_Toc97798540"/>
      <w:r>
        <w:rPr>
          <w:rFonts w:hAnsi="宋体"/>
          <w:b/>
          <w:color w:val="auto"/>
          <w:sz w:val="44"/>
          <w:highlight w:val="none"/>
        </w:rPr>
        <w:t>第一章</w:t>
      </w:r>
      <w:r>
        <w:rPr>
          <w:rFonts w:hint="eastAsia" w:hAnsi="宋体"/>
          <w:b/>
          <w:color w:val="auto"/>
          <w:sz w:val="44"/>
          <w:highlight w:val="none"/>
        </w:rPr>
        <w:t>招标公告</w:t>
      </w:r>
      <w:bookmarkEnd w:id="1"/>
    </w:p>
    <w:p>
      <w:pPr>
        <w:spacing w:line="360" w:lineRule="auto"/>
        <w:jc w:val="center"/>
        <w:rPr>
          <w:b/>
          <w:color w:val="auto"/>
          <w:sz w:val="43"/>
          <w:highlight w:val="none"/>
        </w:rPr>
      </w:pPr>
      <w:r>
        <w:rPr>
          <w:rFonts w:hAnsi="宋体"/>
          <w:b/>
          <w:color w:val="auto"/>
          <w:sz w:val="43"/>
          <w:highlight w:val="none"/>
        </w:rPr>
        <w:t>（</w:t>
      </w:r>
      <w:r>
        <w:rPr>
          <w:rFonts w:hint="eastAsia" w:hAnsi="宋体"/>
          <w:b/>
          <w:color w:val="auto"/>
          <w:sz w:val="43"/>
          <w:highlight w:val="none"/>
        </w:rPr>
        <w:t>略</w:t>
      </w:r>
      <w:r>
        <w:rPr>
          <w:rFonts w:hAnsi="宋体"/>
          <w:b/>
          <w:color w:val="auto"/>
          <w:sz w:val="43"/>
          <w:highlight w:val="none"/>
        </w:rPr>
        <w:t>）</w:t>
      </w:r>
    </w:p>
    <w:p>
      <w:pPr>
        <w:spacing w:line="491" w:lineRule="exact"/>
        <w:jc w:val="center"/>
        <w:rPr>
          <w:b/>
          <w:color w:val="auto"/>
          <w:sz w:val="44"/>
          <w:highlight w:val="none"/>
        </w:rPr>
      </w:pPr>
    </w:p>
    <w:p>
      <w:pPr>
        <w:spacing w:line="491" w:lineRule="exact"/>
        <w:jc w:val="center"/>
        <w:rPr>
          <w:b/>
          <w:color w:val="auto"/>
          <w:sz w:val="44"/>
          <w:highlight w:val="none"/>
        </w:rPr>
      </w:pPr>
    </w:p>
    <w:p>
      <w:pPr>
        <w:spacing w:line="491" w:lineRule="exact"/>
        <w:jc w:val="center"/>
        <w:rPr>
          <w:b/>
          <w:color w:val="auto"/>
          <w:sz w:val="44"/>
          <w:highlight w:val="none"/>
        </w:rPr>
      </w:pPr>
    </w:p>
    <w:p>
      <w:pPr>
        <w:spacing w:line="491" w:lineRule="exact"/>
        <w:jc w:val="center"/>
        <w:rPr>
          <w:b/>
          <w:color w:val="auto"/>
          <w:sz w:val="44"/>
          <w:highlight w:val="none"/>
        </w:rPr>
      </w:pPr>
    </w:p>
    <w:p>
      <w:pPr>
        <w:spacing w:line="491" w:lineRule="exact"/>
        <w:jc w:val="center"/>
        <w:rPr>
          <w:b/>
          <w:color w:val="auto"/>
          <w:sz w:val="44"/>
          <w:highlight w:val="none"/>
        </w:rPr>
      </w:pPr>
    </w:p>
    <w:p>
      <w:pPr>
        <w:spacing w:line="491" w:lineRule="exact"/>
        <w:jc w:val="center"/>
        <w:rPr>
          <w:b/>
          <w:color w:val="auto"/>
          <w:sz w:val="44"/>
          <w:highlight w:val="none"/>
        </w:rPr>
        <w:sectPr>
          <w:footerReference r:id="rId12" w:type="first"/>
          <w:headerReference r:id="rId10" w:type="default"/>
          <w:footerReference r:id="rId11" w:type="default"/>
          <w:pgSz w:w="11907" w:h="16839"/>
          <w:pgMar w:top="1440" w:right="1440" w:bottom="1418" w:left="1440" w:header="993" w:footer="749" w:gutter="0"/>
          <w:cols w:space="720" w:num="1"/>
          <w:titlePg/>
          <w:docGrid w:linePitch="360" w:charSpace="0"/>
        </w:sectPr>
      </w:pPr>
    </w:p>
    <w:p>
      <w:pPr>
        <w:pStyle w:val="4"/>
        <w:jc w:val="center"/>
        <w:rPr>
          <w:rFonts w:ascii="Times New Roman" w:hAnsi="Times New Roman" w:eastAsia="宋体"/>
          <w:color w:val="auto"/>
          <w:sz w:val="44"/>
          <w:szCs w:val="40"/>
          <w:highlight w:val="none"/>
        </w:rPr>
      </w:pPr>
      <w:bookmarkStart w:id="2" w:name="_Toc97798541"/>
      <w:r>
        <w:rPr>
          <w:rFonts w:ascii="Times New Roman" w:eastAsia="宋体"/>
          <w:color w:val="auto"/>
          <w:sz w:val="44"/>
          <w:szCs w:val="40"/>
          <w:highlight w:val="none"/>
        </w:rPr>
        <w:t>第二章投标人须知</w:t>
      </w:r>
      <w:bookmarkEnd w:id="2"/>
    </w:p>
    <w:p>
      <w:pPr>
        <w:spacing w:line="201" w:lineRule="exact"/>
        <w:rPr>
          <w:color w:val="auto"/>
          <w:highlight w:val="none"/>
        </w:rPr>
      </w:pPr>
    </w:p>
    <w:p>
      <w:pPr>
        <w:spacing w:line="366" w:lineRule="exact"/>
        <w:ind w:left="357"/>
        <w:jc w:val="center"/>
        <w:outlineLvl w:val="2"/>
        <w:rPr>
          <w:b/>
          <w:color w:val="auto"/>
          <w:sz w:val="32"/>
          <w:highlight w:val="none"/>
        </w:rPr>
      </w:pPr>
      <w:bookmarkStart w:id="3" w:name="_Toc97798542"/>
      <w:r>
        <w:rPr>
          <w:rFonts w:hAnsi="黑体"/>
          <w:b/>
          <w:color w:val="auto"/>
          <w:sz w:val="32"/>
          <w:highlight w:val="none"/>
        </w:rPr>
        <w:t>投标人须知前附表</w:t>
      </w:r>
      <w:bookmarkEnd w:id="3"/>
    </w:p>
    <w:p>
      <w:pPr>
        <w:spacing w:line="200" w:lineRule="exact"/>
        <w:rPr>
          <w:color w:val="auto"/>
          <w:highlight w:val="none"/>
        </w:rPr>
      </w:pPr>
    </w:p>
    <w:tbl>
      <w:tblPr>
        <w:tblStyle w:val="42"/>
        <w:tblW w:w="9606" w:type="dxa"/>
        <w:tblInd w:w="0" w:type="dxa"/>
        <w:tblLayout w:type="fixed"/>
        <w:tblCellMar>
          <w:top w:w="0" w:type="dxa"/>
          <w:left w:w="108" w:type="dxa"/>
          <w:bottom w:w="0" w:type="dxa"/>
          <w:right w:w="108" w:type="dxa"/>
        </w:tblCellMar>
      </w:tblPr>
      <w:tblGrid>
        <w:gridCol w:w="1165"/>
        <w:gridCol w:w="2345"/>
        <w:gridCol w:w="6096"/>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auto"/>
                <w:highlight w:val="none"/>
              </w:rPr>
            </w:pPr>
            <w:r>
              <w:rPr>
                <w:rFonts w:hint="eastAsia" w:hAnsi="宋体"/>
                <w:b/>
                <w:color w:val="auto"/>
                <w:highlight w:val="none"/>
              </w:rPr>
              <w:t>条款号</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auto"/>
                <w:highlight w:val="none"/>
              </w:rPr>
            </w:pPr>
            <w:r>
              <w:rPr>
                <w:rFonts w:hint="eastAsia" w:hAnsi="宋体"/>
                <w:b/>
                <w:color w:val="auto"/>
                <w:highlight w:val="none"/>
              </w:rPr>
              <w:t>条款名称</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jc w:val="center"/>
              <w:rPr>
                <w:b/>
                <w:color w:val="auto"/>
                <w:szCs w:val="21"/>
                <w:highlight w:val="none"/>
              </w:rPr>
            </w:pPr>
            <w:r>
              <w:rPr>
                <w:rFonts w:hint="eastAsia" w:hAnsi="宋体"/>
                <w:b/>
                <w:color w:val="auto"/>
                <w:szCs w:val="21"/>
                <w:highlight w:val="none"/>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招标人</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名称：</w:t>
            </w:r>
            <w:r>
              <w:rPr>
                <w:rFonts w:hint="eastAsia" w:hAnsi="宋体"/>
                <w:color w:val="auto"/>
                <w:szCs w:val="21"/>
                <w:highlight w:val="none"/>
                <w:u w:val="single"/>
                <w:shd w:val="clear" w:color="auto" w:fill="FFFFFF"/>
              </w:rPr>
              <w:t xml:space="preserve">广州环城地下管廊建设投资有限公司 </w:t>
            </w:r>
          </w:p>
          <w:p>
            <w:pPr>
              <w:spacing w:line="360" w:lineRule="exact"/>
              <w:ind w:left="40" w:leftChars="19" w:right="107" w:rightChars="51"/>
              <w:rPr>
                <w:color w:val="auto"/>
                <w:szCs w:val="21"/>
                <w:highlight w:val="none"/>
              </w:rPr>
            </w:pPr>
            <w:r>
              <w:rPr>
                <w:rFonts w:hint="eastAsia"/>
                <w:color w:val="auto"/>
                <w:szCs w:val="21"/>
                <w:highlight w:val="none"/>
              </w:rPr>
              <w:t>地 址：</w:t>
            </w:r>
            <w:r>
              <w:rPr>
                <w:rFonts w:hint="eastAsia"/>
                <w:color w:val="auto"/>
                <w:szCs w:val="21"/>
                <w:highlight w:val="none"/>
                <w:u w:val="single"/>
              </w:rPr>
              <w:t>广州市海珠区新港东路1238号万胜广场C塔19楼</w:t>
            </w:r>
          </w:p>
          <w:p>
            <w:pPr>
              <w:spacing w:line="360" w:lineRule="exact"/>
              <w:ind w:left="40" w:leftChars="19" w:right="107" w:rightChars="51"/>
              <w:rPr>
                <w:color w:val="auto"/>
                <w:szCs w:val="21"/>
                <w:highlight w:val="none"/>
              </w:rPr>
            </w:pPr>
            <w:r>
              <w:rPr>
                <w:rFonts w:hint="eastAsia"/>
                <w:color w:val="auto"/>
                <w:szCs w:val="21"/>
                <w:highlight w:val="none"/>
              </w:rPr>
              <w:t>联系人：</w:t>
            </w:r>
            <w:r>
              <w:rPr>
                <w:rFonts w:hint="eastAsia"/>
                <w:color w:val="auto"/>
                <w:szCs w:val="21"/>
                <w:highlight w:val="none"/>
                <w:u w:val="single"/>
              </w:rPr>
              <w:t>梁工</w:t>
            </w:r>
          </w:p>
          <w:p>
            <w:pPr>
              <w:spacing w:line="360" w:lineRule="exact"/>
              <w:ind w:left="40" w:leftChars="19" w:right="107" w:rightChars="51"/>
              <w:rPr>
                <w:color w:val="auto"/>
                <w:szCs w:val="21"/>
                <w:highlight w:val="none"/>
              </w:rPr>
            </w:pPr>
            <w:r>
              <w:rPr>
                <w:rFonts w:hint="eastAsia"/>
                <w:color w:val="auto"/>
                <w:szCs w:val="21"/>
                <w:highlight w:val="none"/>
              </w:rPr>
              <w:t>电话：</w:t>
            </w:r>
            <w:r>
              <w:rPr>
                <w:rFonts w:hint="eastAsia"/>
                <w:color w:val="auto"/>
                <w:szCs w:val="21"/>
                <w:highlight w:val="none"/>
                <w:u w:val="single"/>
              </w:rPr>
              <w:t>020-89449105</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招标代理机构</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名称：</w:t>
            </w:r>
            <w:r>
              <w:rPr>
                <w:rFonts w:hint="eastAsia" w:hAnsi="宋体" w:cs="宋体"/>
                <w:color w:val="auto"/>
                <w:szCs w:val="21"/>
                <w:highlight w:val="none"/>
                <w:u w:val="single"/>
              </w:rPr>
              <w:t>北京中交建设工程咨询有限公司</w:t>
            </w:r>
          </w:p>
          <w:p>
            <w:pPr>
              <w:spacing w:line="360" w:lineRule="exact"/>
              <w:ind w:left="40" w:leftChars="19" w:right="107" w:rightChars="51"/>
              <w:rPr>
                <w:rFonts w:cs="宋体"/>
                <w:color w:val="auto"/>
                <w:szCs w:val="21"/>
                <w:highlight w:val="none"/>
                <w:u w:val="single"/>
              </w:rPr>
            </w:pPr>
            <w:r>
              <w:rPr>
                <w:rFonts w:hint="eastAsia" w:hAnsi="宋体"/>
                <w:color w:val="auto"/>
                <w:szCs w:val="21"/>
                <w:highlight w:val="none"/>
              </w:rPr>
              <w:t>地址：</w:t>
            </w:r>
            <w:r>
              <w:rPr>
                <w:rFonts w:hint="eastAsia" w:hAnsi="宋体" w:cs="宋体"/>
                <w:color w:val="auto"/>
                <w:szCs w:val="21"/>
                <w:highlight w:val="none"/>
                <w:u w:val="single"/>
              </w:rPr>
              <w:t>广州市天河区黄埔大道西</w:t>
            </w:r>
            <w:r>
              <w:rPr>
                <w:rFonts w:hint="eastAsia" w:cs="宋体"/>
                <w:color w:val="auto"/>
                <w:szCs w:val="21"/>
                <w:highlight w:val="none"/>
                <w:u w:val="single"/>
              </w:rPr>
              <w:t>159</w:t>
            </w:r>
            <w:r>
              <w:rPr>
                <w:rFonts w:hint="eastAsia" w:hAnsi="宋体" w:cs="宋体"/>
                <w:color w:val="auto"/>
                <w:szCs w:val="21"/>
                <w:highlight w:val="none"/>
                <w:u w:val="single"/>
              </w:rPr>
              <w:t>号富星商贸大厦西塔</w:t>
            </w:r>
            <w:r>
              <w:rPr>
                <w:rFonts w:hint="eastAsia" w:cs="宋体"/>
                <w:color w:val="auto"/>
                <w:szCs w:val="21"/>
                <w:highlight w:val="none"/>
                <w:u w:val="single"/>
              </w:rPr>
              <w:t>7</w:t>
            </w:r>
            <w:r>
              <w:rPr>
                <w:rFonts w:hint="eastAsia" w:hAnsi="宋体" w:cs="宋体"/>
                <w:color w:val="auto"/>
                <w:szCs w:val="21"/>
                <w:highlight w:val="none"/>
                <w:u w:val="single"/>
              </w:rPr>
              <w:t>楼</w:t>
            </w:r>
            <w:r>
              <w:rPr>
                <w:rFonts w:hint="eastAsia" w:cs="宋体"/>
                <w:color w:val="auto"/>
                <w:szCs w:val="21"/>
                <w:highlight w:val="none"/>
                <w:u w:val="single"/>
              </w:rPr>
              <w:t>C</w:t>
            </w:r>
            <w:r>
              <w:rPr>
                <w:rFonts w:hint="eastAsia" w:hAnsi="宋体" w:cs="宋体"/>
                <w:color w:val="auto"/>
                <w:szCs w:val="21"/>
                <w:highlight w:val="none"/>
                <w:u w:val="single"/>
              </w:rPr>
              <w:t>单元</w:t>
            </w:r>
          </w:p>
          <w:p>
            <w:pPr>
              <w:spacing w:line="360" w:lineRule="exact"/>
              <w:ind w:left="40" w:leftChars="19" w:right="107" w:rightChars="51"/>
              <w:rPr>
                <w:color w:val="auto"/>
                <w:szCs w:val="21"/>
                <w:highlight w:val="none"/>
              </w:rPr>
            </w:pPr>
            <w:r>
              <w:rPr>
                <w:rFonts w:hint="eastAsia" w:hAnsi="宋体"/>
                <w:color w:val="auto"/>
                <w:szCs w:val="21"/>
                <w:highlight w:val="none"/>
              </w:rPr>
              <w:t>联系人：</w:t>
            </w:r>
            <w:r>
              <w:rPr>
                <w:rFonts w:hint="eastAsia" w:hAnsi="宋体"/>
                <w:color w:val="auto"/>
                <w:szCs w:val="21"/>
                <w:highlight w:val="none"/>
                <w:u w:val="single"/>
              </w:rPr>
              <w:t>李工</w:t>
            </w:r>
          </w:p>
          <w:p>
            <w:pPr>
              <w:spacing w:line="360" w:lineRule="exact"/>
              <w:ind w:left="40" w:leftChars="19" w:right="107" w:rightChars="51"/>
              <w:rPr>
                <w:color w:val="auto"/>
                <w:szCs w:val="21"/>
                <w:highlight w:val="none"/>
              </w:rPr>
            </w:pPr>
            <w:r>
              <w:rPr>
                <w:rFonts w:hint="eastAsia" w:hAnsi="宋体"/>
                <w:color w:val="auto"/>
                <w:szCs w:val="21"/>
                <w:highlight w:val="none"/>
              </w:rPr>
              <w:t>电话：</w:t>
            </w:r>
            <w:r>
              <w:rPr>
                <w:rFonts w:hint="eastAsia"/>
                <w:color w:val="auto"/>
                <w:szCs w:val="21"/>
                <w:highlight w:val="none"/>
                <w:u w:val="single"/>
              </w:rPr>
              <w:t>020-87575800-811</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招标项目名称</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color w:val="auto"/>
                <w:szCs w:val="21"/>
                <w:highlight w:val="none"/>
                <w:u w:val="single"/>
              </w:rPr>
              <w:t>广州市中心城区地下综合管廊（沿轨道交通十一号线）主线建筑节能、智能建筑、消防、附属结构检测服务项目</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1.1.5</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项目建设地点</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1.1.6</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项目建设规模</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1.1.7</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工程项目施工预计开工日期和建设周期</w:t>
            </w:r>
          </w:p>
        </w:tc>
        <w:tc>
          <w:tcPr>
            <w:tcW w:w="60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40" w:leftChars="19" w:right="107" w:rightChars="51"/>
              <w:rPr>
                <w:color w:val="auto"/>
                <w:szCs w:val="21"/>
                <w:highlight w:val="none"/>
                <w:u w:val="single"/>
              </w:rPr>
            </w:pPr>
            <w:r>
              <w:rPr>
                <w:rFonts w:hint="eastAsia" w:hAnsi="宋体"/>
                <w:color w:val="auto"/>
                <w:szCs w:val="21"/>
                <w:highlight w:val="none"/>
                <w:u w:val="single"/>
              </w:rPr>
              <w:t>具体开工日期</w:t>
            </w:r>
            <w:r>
              <w:rPr>
                <w:rFonts w:hint="eastAsia" w:ascii="Times New Roman" w:hAnsi="宋体"/>
                <w:color w:val="auto"/>
                <w:sz w:val="21"/>
                <w:szCs w:val="21"/>
                <w:highlight w:val="none"/>
                <w:u w:val="single"/>
              </w:rPr>
              <w:t>以</w:t>
            </w:r>
            <w:r>
              <w:rPr>
                <w:rFonts w:hint="eastAsia" w:hAnsi="宋体"/>
                <w:color w:val="auto"/>
                <w:szCs w:val="21"/>
                <w:highlight w:val="none"/>
                <w:u w:val="single"/>
              </w:rPr>
              <w:t>招标人</w:t>
            </w:r>
            <w:r>
              <w:rPr>
                <w:rFonts w:hint="eastAsia" w:ascii="Times New Roman" w:hAnsi="宋体"/>
                <w:color w:val="auto"/>
                <w:sz w:val="21"/>
                <w:szCs w:val="21"/>
                <w:highlight w:val="none"/>
                <w:u w:val="single"/>
              </w:rPr>
              <w:t>发出要求开始的日期为准</w:t>
            </w:r>
            <w:r>
              <w:rPr>
                <w:rFonts w:hint="eastAsia" w:hAnsi="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1.1.8</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建筑安装工程费</w:t>
            </w:r>
            <w:r>
              <w:rPr>
                <w:color w:val="auto"/>
                <w:highlight w:val="none"/>
              </w:rPr>
              <w:t>/</w:t>
            </w:r>
            <w:r>
              <w:rPr>
                <w:rFonts w:hint="eastAsia" w:hAnsi="宋体"/>
                <w:color w:val="auto"/>
                <w:highlight w:val="none"/>
              </w:rPr>
              <w:t>投资估算</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u w:val="single"/>
              </w:rPr>
            </w:pPr>
            <w:r>
              <w:rPr>
                <w:rFonts w:hint="eastAsia" w:hAnsi="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资金来源及比例</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u w:val="single"/>
              </w:rPr>
            </w:pPr>
            <w:r>
              <w:rPr>
                <w:rFonts w:hint="eastAsia" w:hAnsi="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1.2.2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资金落实情况</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s="宋体"/>
                <w:color w:val="auto"/>
                <w:szCs w:val="21"/>
                <w:highlight w:val="none"/>
                <w:u w:val="single"/>
              </w:rPr>
              <w:t>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1.3.1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招标范围</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u w:val="single"/>
              </w:rPr>
            </w:pPr>
            <w:r>
              <w:rPr>
                <w:rFonts w:hint="eastAsia"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1.3.2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服务期限</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u w:val="single"/>
              </w:rPr>
              <w:t>详见招标公告。</w:t>
            </w:r>
          </w:p>
        </w:tc>
      </w:tr>
      <w:tr>
        <w:tblPrEx>
          <w:tblCellMar>
            <w:top w:w="0" w:type="dxa"/>
            <w:left w:w="108" w:type="dxa"/>
            <w:bottom w:w="0" w:type="dxa"/>
            <w:right w:w="108" w:type="dxa"/>
          </w:tblCellMar>
        </w:tblPrEx>
        <w:trPr>
          <w:trHeight w:val="37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1.3.3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质量标准</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exact"/>
              <w:rPr>
                <w:color w:val="auto"/>
                <w:szCs w:val="21"/>
                <w:highlight w:val="none"/>
                <w:u w:val="single"/>
              </w:rPr>
            </w:pPr>
            <w:r>
              <w:rPr>
                <w:rFonts w:hint="eastAsia" w:hAnsi="宋体"/>
                <w:color w:val="auto"/>
                <w:szCs w:val="21"/>
                <w:highlight w:val="none"/>
                <w:u w:val="single"/>
              </w:rPr>
              <w:t>符合国家及省、市有关检测标准。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1.4.1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投标人资质条件、能力、信誉</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）资质要求：</w:t>
            </w:r>
            <w:r>
              <w:rPr>
                <w:rFonts w:hint="eastAsia" w:hAnsi="宋体"/>
                <w:color w:val="auto"/>
                <w:szCs w:val="21"/>
                <w:highlight w:val="none"/>
                <w:u w:val="single"/>
              </w:rPr>
              <w:t>见招标公告第</w:t>
            </w:r>
            <w:r>
              <w:rPr>
                <w:rFonts w:hint="eastAsia"/>
                <w:color w:val="auto"/>
                <w:szCs w:val="21"/>
                <w:highlight w:val="none"/>
                <w:u w:val="single"/>
              </w:rPr>
              <w:t>3</w:t>
            </w:r>
            <w:r>
              <w:rPr>
                <w:rFonts w:hint="eastAsia" w:hAnsi="宋体"/>
                <w:color w:val="auto"/>
                <w:szCs w:val="21"/>
                <w:highlight w:val="none"/>
                <w:u w:val="single"/>
              </w:rPr>
              <w:t>点投标人资格要求</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）财务要求：</w:t>
            </w:r>
            <w:r>
              <w:rPr>
                <w:rFonts w:hint="eastAsia"/>
                <w:color w:val="auto"/>
                <w:szCs w:val="21"/>
                <w:highlight w:val="none"/>
                <w:u w:val="single"/>
              </w:rPr>
              <w:t>/</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）业绩要求：</w:t>
            </w:r>
            <w:r>
              <w:rPr>
                <w:rFonts w:hint="eastAsia"/>
                <w:color w:val="auto"/>
                <w:szCs w:val="21"/>
                <w:highlight w:val="none"/>
                <w:u w:val="single"/>
              </w:rPr>
              <w:t>/</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）信誉要求：</w:t>
            </w:r>
            <w:r>
              <w:rPr>
                <w:rFonts w:hint="eastAsia"/>
                <w:color w:val="auto"/>
                <w:szCs w:val="21"/>
                <w:highlight w:val="none"/>
                <w:u w:val="single"/>
              </w:rPr>
              <w:t>/</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）项目负责人的资格要求：</w:t>
            </w:r>
            <w:r>
              <w:rPr>
                <w:rFonts w:hint="eastAsia" w:hAnsi="宋体"/>
                <w:color w:val="auto"/>
                <w:szCs w:val="21"/>
                <w:highlight w:val="none"/>
                <w:u w:val="single"/>
              </w:rPr>
              <w:t>见招标公告第</w:t>
            </w:r>
            <w:r>
              <w:rPr>
                <w:rFonts w:hint="eastAsia"/>
                <w:color w:val="auto"/>
                <w:szCs w:val="21"/>
                <w:highlight w:val="none"/>
                <w:u w:val="single"/>
              </w:rPr>
              <w:t>3</w:t>
            </w:r>
            <w:r>
              <w:rPr>
                <w:rFonts w:hint="eastAsia" w:hAnsi="宋体"/>
                <w:color w:val="auto"/>
                <w:szCs w:val="21"/>
                <w:highlight w:val="none"/>
                <w:u w:val="single"/>
              </w:rPr>
              <w:t>点投标人资格要求</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6</w:t>
            </w:r>
            <w:r>
              <w:rPr>
                <w:rFonts w:hint="eastAsia" w:hAnsi="宋体"/>
                <w:color w:val="auto"/>
                <w:szCs w:val="21"/>
                <w:highlight w:val="none"/>
              </w:rPr>
              <w:t>）其他主要人员要求：</w:t>
            </w:r>
            <w:r>
              <w:rPr>
                <w:rFonts w:hint="eastAsia"/>
                <w:color w:val="auto"/>
                <w:szCs w:val="21"/>
                <w:highlight w:val="none"/>
                <w:u w:val="single"/>
              </w:rPr>
              <w:t>/</w:t>
            </w:r>
          </w:p>
          <w:p>
            <w:pPr>
              <w:spacing w:line="360" w:lineRule="exact"/>
              <w:ind w:left="40" w:leftChars="19" w:right="107" w:rightChars="51"/>
              <w:rPr>
                <w:rFonts w:cs="宋体"/>
                <w:color w:val="auto"/>
                <w:szCs w:val="21"/>
                <w:highlight w:val="none"/>
              </w:rPr>
            </w:pPr>
            <w:r>
              <w:rPr>
                <w:rFonts w:hint="eastAsia" w:hAnsi="宋体" w:cs="宋体"/>
                <w:color w:val="auto"/>
                <w:szCs w:val="21"/>
                <w:highlight w:val="none"/>
              </w:rPr>
              <w:t>（</w:t>
            </w:r>
            <w:r>
              <w:rPr>
                <w:rFonts w:cs="宋体"/>
                <w:color w:val="auto"/>
                <w:szCs w:val="21"/>
                <w:highlight w:val="none"/>
              </w:rPr>
              <w:t>7</w:t>
            </w:r>
            <w:r>
              <w:rPr>
                <w:rFonts w:hint="eastAsia" w:hAnsi="宋体" w:cs="宋体"/>
                <w:color w:val="auto"/>
                <w:szCs w:val="21"/>
                <w:highlight w:val="none"/>
              </w:rPr>
              <w:t>）试验检测仪器设备要求：</w:t>
            </w:r>
            <w:r>
              <w:rPr>
                <w:rFonts w:hint="eastAsia" w:cs="宋体"/>
                <w:color w:val="auto"/>
                <w:szCs w:val="21"/>
                <w:highlight w:val="none"/>
                <w:u w:val="single"/>
              </w:rPr>
              <w:t>/</w:t>
            </w:r>
          </w:p>
          <w:p>
            <w:pPr>
              <w:spacing w:line="360" w:lineRule="exact"/>
              <w:ind w:left="40" w:leftChars="19" w:right="107" w:rightChars="51"/>
              <w:rPr>
                <w:rFonts w:cs="宋体"/>
                <w:color w:val="auto"/>
                <w:szCs w:val="21"/>
                <w:highlight w:val="none"/>
              </w:rPr>
            </w:pPr>
            <w:r>
              <w:rPr>
                <w:rFonts w:hint="eastAsia" w:hAnsi="宋体" w:cs="宋体"/>
                <w:color w:val="auto"/>
                <w:szCs w:val="21"/>
                <w:highlight w:val="none"/>
              </w:rPr>
              <w:t>（</w:t>
            </w:r>
            <w:r>
              <w:rPr>
                <w:rFonts w:cs="宋体"/>
                <w:color w:val="auto"/>
                <w:szCs w:val="21"/>
                <w:highlight w:val="none"/>
              </w:rPr>
              <w:t>8</w:t>
            </w:r>
            <w:r>
              <w:rPr>
                <w:rFonts w:hint="eastAsia" w:hAnsi="宋体" w:cs="宋体"/>
                <w:color w:val="auto"/>
                <w:szCs w:val="21"/>
                <w:highlight w:val="none"/>
              </w:rPr>
              <w:t>）其他要求：</w:t>
            </w:r>
            <w:r>
              <w:rPr>
                <w:rFonts w:hint="eastAsia" w:hAnsi="宋体"/>
                <w:color w:val="auto"/>
                <w:szCs w:val="21"/>
                <w:highlight w:val="none"/>
                <w:u w:val="single"/>
              </w:rPr>
              <w:t>见招标公告投标人资格要求（含CMA计量认证合格证书（或CMA检验检测机构资质认定证书）要求）</w:t>
            </w:r>
            <w:r>
              <w:rPr>
                <w:rFonts w:hint="eastAsia"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1.4.2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是否接受联合体投标</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exact"/>
              <w:ind w:left="40" w:leftChars="19" w:right="107" w:rightChars="51"/>
              <w:rPr>
                <w:color w:val="auto"/>
                <w:szCs w:val="21"/>
                <w:highlight w:val="none"/>
              </w:rPr>
            </w:pPr>
            <w:r>
              <w:rPr>
                <w:rFonts w:hint="eastAsia"/>
                <w:color w:val="auto"/>
                <w:szCs w:val="21"/>
                <w:highlight w:val="none"/>
              </w:rPr>
              <w:t>□</w:t>
            </w:r>
            <w:r>
              <w:rPr>
                <w:rFonts w:hint="eastAsia" w:hAnsi="宋体"/>
                <w:color w:val="auto"/>
                <w:szCs w:val="21"/>
                <w:highlight w:val="none"/>
              </w:rPr>
              <w:t>不接受</w:t>
            </w:r>
          </w:p>
          <w:p>
            <w:pPr>
              <w:spacing w:line="360" w:lineRule="exact"/>
              <w:ind w:left="40" w:leftChars="19" w:right="107" w:rightChars="51"/>
              <w:rPr>
                <w:color w:val="auto"/>
                <w:szCs w:val="21"/>
                <w:highlight w:val="none"/>
              </w:rPr>
            </w:pPr>
            <w:r>
              <w:rPr>
                <w:rFonts w:hint="eastAsia"/>
                <w:color w:val="auto"/>
                <w:szCs w:val="21"/>
                <w:highlight w:val="none"/>
              </w:rPr>
              <w:sym w:font="Wingdings 2" w:char="0052"/>
            </w:r>
            <w:r>
              <w:rPr>
                <w:rFonts w:hint="eastAsia" w:hAnsi="宋体"/>
                <w:color w:val="auto"/>
                <w:szCs w:val="21"/>
                <w:highlight w:val="none"/>
              </w:rPr>
              <w:t>接受，应满足下列要求：</w:t>
            </w:r>
            <w:r>
              <w:rPr>
                <w:rFonts w:hint="eastAsia" w:ascii="宋体" w:hAnsi="宋体" w:cs="宋体"/>
                <w:color w:val="auto"/>
                <w:szCs w:val="21"/>
                <w:highlight w:val="none"/>
                <w:u w:val="single"/>
              </w:rPr>
              <w:t>按</w:t>
            </w:r>
            <w:r>
              <w:rPr>
                <w:rFonts w:ascii="宋体" w:hAnsi="宋体" w:cs="宋体"/>
                <w:color w:val="auto"/>
                <w:szCs w:val="21"/>
                <w:highlight w:val="none"/>
                <w:u w:val="single"/>
              </w:rPr>
              <w:t>招标公告要求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1.4.3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投标人不得存在的其他情形</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exact"/>
              <w:ind w:left="40" w:leftChars="19" w:right="107" w:rightChars="51"/>
              <w:rPr>
                <w:color w:val="auto"/>
                <w:szCs w:val="21"/>
                <w:highlight w:val="none"/>
              </w:rPr>
            </w:pPr>
            <w:r>
              <w:rPr>
                <w:rFonts w:hint="eastAsia"/>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1.9.1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踏勘现场</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rPr>
            </w:pPr>
            <w:r>
              <w:rPr>
                <w:rFonts w:hint="eastAsia" w:eastAsia="宋体"/>
                <w:color w:val="auto"/>
                <w:sz w:val="21"/>
                <w:szCs w:val="21"/>
                <w:highlight w:val="none"/>
              </w:rPr>
              <w:t>■</w:t>
            </w:r>
            <w:r>
              <w:rPr>
                <w:rFonts w:hint="eastAsia" w:hAnsi="宋体" w:eastAsia="宋体"/>
                <w:color w:val="auto"/>
                <w:sz w:val="21"/>
                <w:szCs w:val="21"/>
                <w:highlight w:val="none"/>
              </w:rPr>
              <w:t>不组织</w:t>
            </w:r>
          </w:p>
          <w:p>
            <w:pPr>
              <w:pStyle w:val="16"/>
              <w:topLinePunct/>
              <w:spacing w:after="0" w:line="360" w:lineRule="exact"/>
              <w:ind w:left="40" w:leftChars="19" w:right="107" w:rightChars="51"/>
              <w:rPr>
                <w:rFonts w:eastAsia="宋体"/>
                <w:color w:val="auto"/>
                <w:sz w:val="21"/>
                <w:szCs w:val="21"/>
                <w:highlight w:val="none"/>
              </w:rPr>
            </w:pPr>
            <w:r>
              <w:rPr>
                <w:rFonts w:hint="eastAsia"/>
                <w:color w:val="auto"/>
                <w:szCs w:val="21"/>
                <w:highlight w:val="none"/>
              </w:rPr>
              <w:t>□</w:t>
            </w:r>
            <w:r>
              <w:rPr>
                <w:rFonts w:hint="eastAsia" w:hAnsi="宋体" w:eastAsia="宋体"/>
                <w:color w:val="auto"/>
                <w:sz w:val="21"/>
                <w:szCs w:val="21"/>
                <w:highlight w:val="none"/>
              </w:rPr>
              <w:t>组织，踏勘时间：</w:t>
            </w:r>
            <w:r>
              <w:rPr>
                <w:rFonts w:hint="eastAsia" w:eastAsia="宋体"/>
                <w:color w:val="auto"/>
                <w:sz w:val="21"/>
                <w:szCs w:val="21"/>
                <w:highlight w:val="none"/>
                <w:u w:val="single"/>
              </w:rPr>
              <w:t>/</w:t>
            </w:r>
          </w:p>
          <w:p>
            <w:pPr>
              <w:pStyle w:val="16"/>
              <w:topLinePunct/>
              <w:spacing w:after="0" w:line="360" w:lineRule="exact"/>
              <w:ind w:left="40" w:leftChars="19" w:right="107" w:rightChars="51" w:firstLine="840" w:firstLineChars="400"/>
              <w:rPr>
                <w:rFonts w:eastAsia="宋体"/>
                <w:color w:val="auto"/>
                <w:sz w:val="21"/>
                <w:szCs w:val="21"/>
                <w:highlight w:val="none"/>
              </w:rPr>
            </w:pPr>
            <w:r>
              <w:rPr>
                <w:rFonts w:hint="eastAsia" w:hAnsi="宋体" w:eastAsia="宋体"/>
                <w:color w:val="auto"/>
                <w:sz w:val="21"/>
                <w:szCs w:val="21"/>
                <w:highlight w:val="none"/>
              </w:rPr>
              <w:t>踏勘集中地点：</w:t>
            </w:r>
            <w:r>
              <w:rPr>
                <w:rFonts w:hint="eastAsia" w:eastAsia="宋体"/>
                <w:color w:val="auto"/>
                <w:sz w:val="21"/>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1.10.1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投标预备会</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rPr>
            </w:pPr>
            <w:r>
              <w:rPr>
                <w:rFonts w:hint="eastAsia" w:eastAsia="宋体"/>
                <w:color w:val="auto"/>
                <w:sz w:val="21"/>
                <w:szCs w:val="21"/>
                <w:highlight w:val="none"/>
              </w:rPr>
              <w:t>■</w:t>
            </w:r>
            <w:r>
              <w:rPr>
                <w:rFonts w:hint="eastAsia" w:hAnsi="宋体" w:eastAsia="宋体"/>
                <w:color w:val="auto"/>
                <w:sz w:val="21"/>
                <w:szCs w:val="21"/>
                <w:highlight w:val="none"/>
              </w:rPr>
              <w:t>不召开</w:t>
            </w:r>
          </w:p>
          <w:p>
            <w:pPr>
              <w:spacing w:line="360" w:lineRule="exact"/>
              <w:ind w:left="40" w:leftChars="19" w:right="107" w:rightChars="51"/>
              <w:rPr>
                <w:color w:val="auto"/>
                <w:szCs w:val="21"/>
                <w:highlight w:val="none"/>
              </w:rPr>
            </w:pPr>
            <w:r>
              <w:rPr>
                <w:rFonts w:hint="eastAsia"/>
                <w:color w:val="auto"/>
                <w:szCs w:val="21"/>
                <w:highlight w:val="none"/>
              </w:rPr>
              <w:t>□</w:t>
            </w:r>
            <w:r>
              <w:rPr>
                <w:rFonts w:hint="eastAsia" w:hAnsi="宋体"/>
                <w:color w:val="auto"/>
                <w:szCs w:val="21"/>
                <w:highlight w:val="none"/>
              </w:rPr>
              <w:t>召开，召开时间：</w:t>
            </w:r>
            <w:r>
              <w:rPr>
                <w:rFonts w:hint="eastAsia"/>
                <w:color w:val="auto"/>
                <w:szCs w:val="21"/>
                <w:highlight w:val="none"/>
                <w:u w:val="single"/>
              </w:rPr>
              <w:t>/</w:t>
            </w:r>
          </w:p>
          <w:p>
            <w:pPr>
              <w:spacing w:line="360" w:lineRule="exact"/>
              <w:ind w:left="40" w:leftChars="19" w:right="107" w:rightChars="51" w:firstLine="840" w:firstLineChars="400"/>
              <w:rPr>
                <w:color w:val="auto"/>
                <w:szCs w:val="21"/>
                <w:highlight w:val="none"/>
              </w:rPr>
            </w:pPr>
            <w:r>
              <w:rPr>
                <w:rFonts w:hint="eastAsia" w:hAnsi="宋体"/>
                <w:color w:val="auto"/>
                <w:szCs w:val="21"/>
                <w:highlight w:val="none"/>
              </w:rPr>
              <w:t>召开地点：</w:t>
            </w:r>
            <w:r>
              <w:rPr>
                <w:rFonts w:hint="eastAsia"/>
                <w:color w:val="auto"/>
                <w:szCs w:val="21"/>
                <w:highlight w:val="none"/>
                <w:u w:val="single"/>
              </w:rPr>
              <w:t>/</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360" w:lineRule="exact"/>
              <w:jc w:val="center"/>
              <w:rPr>
                <w:color w:val="auto"/>
                <w:highlight w:val="none"/>
              </w:rPr>
            </w:pPr>
            <w:r>
              <w:rPr>
                <w:color w:val="auto"/>
                <w:highlight w:val="none"/>
              </w:rPr>
              <w:t>1.10.2</w:t>
            </w:r>
          </w:p>
        </w:tc>
        <w:tc>
          <w:tcPr>
            <w:tcW w:w="2345" w:type="dxa"/>
            <w:vMerge w:val="restart"/>
            <w:tcBorders>
              <w:top w:val="single" w:color="auto" w:sz="4" w:space="0"/>
              <w:left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投标人在投标预备会前提出问题</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时间：</w:t>
            </w:r>
            <w:r>
              <w:rPr>
                <w:rFonts w:hint="eastAsia"/>
                <w:color w:val="auto"/>
                <w:szCs w:val="21"/>
                <w:highlight w:val="none"/>
                <w:u w:val="single"/>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p>
        </w:tc>
        <w:tc>
          <w:tcPr>
            <w:tcW w:w="2345" w:type="dxa"/>
            <w:vMerge w:val="continue"/>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形式：</w:t>
            </w:r>
            <w:r>
              <w:rPr>
                <w:rFonts w:hint="eastAsia"/>
                <w:color w:val="auto"/>
                <w:szCs w:val="21"/>
                <w:highlight w:val="none"/>
                <w:u w:val="single"/>
              </w:rPr>
              <w:t>/</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1.10.3</w:t>
            </w:r>
          </w:p>
        </w:tc>
        <w:tc>
          <w:tcPr>
            <w:tcW w:w="2345" w:type="dxa"/>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招标文件澄清发出的形式</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实质性要求和条件</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rPr>
            </w:pPr>
            <w:r>
              <w:rPr>
                <w:rFonts w:hint="eastAsia" w:eastAsia="宋体" w:cs="宋体"/>
                <w:color w:val="auto"/>
                <w:sz w:val="21"/>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1.12.3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偏差</w:t>
            </w:r>
          </w:p>
        </w:tc>
        <w:tc>
          <w:tcPr>
            <w:tcW w:w="6096" w:type="dxa"/>
            <w:tcBorders>
              <w:top w:val="single" w:color="auto" w:sz="4" w:space="0"/>
              <w:left w:val="single" w:color="auto" w:sz="4" w:space="0"/>
              <w:bottom w:val="single" w:color="auto" w:sz="4" w:space="0"/>
              <w:right w:val="single" w:color="auto" w:sz="4" w:space="0"/>
            </w:tcBorders>
          </w:tcPr>
          <w:p>
            <w:pPr>
              <w:spacing w:line="360" w:lineRule="exact"/>
              <w:ind w:left="40" w:leftChars="19" w:right="107" w:rightChars="51"/>
              <w:rPr>
                <w:color w:val="auto"/>
                <w:szCs w:val="21"/>
                <w:highlight w:val="none"/>
              </w:rPr>
            </w:pPr>
            <w:r>
              <w:rPr>
                <w:rFonts w:hint="eastAsia"/>
                <w:color w:val="auto"/>
                <w:szCs w:val="21"/>
                <w:highlight w:val="none"/>
              </w:rPr>
              <w:t>■</w:t>
            </w:r>
            <w:r>
              <w:rPr>
                <w:rFonts w:hint="eastAsia" w:hAnsi="宋体"/>
                <w:color w:val="auto"/>
                <w:szCs w:val="21"/>
                <w:highlight w:val="none"/>
              </w:rPr>
              <w:t>不允许</w:t>
            </w:r>
          </w:p>
          <w:p>
            <w:pPr>
              <w:pStyle w:val="16"/>
              <w:topLinePunct/>
              <w:spacing w:after="0" w:line="360" w:lineRule="exact"/>
              <w:ind w:left="40" w:leftChars="19" w:right="107" w:rightChars="51"/>
              <w:rPr>
                <w:rFonts w:eastAsia="宋体"/>
                <w:color w:val="auto"/>
                <w:sz w:val="21"/>
                <w:szCs w:val="21"/>
                <w:highlight w:val="none"/>
              </w:rPr>
            </w:pPr>
            <w:r>
              <w:rPr>
                <w:rFonts w:hint="eastAsia"/>
                <w:color w:val="auto"/>
                <w:szCs w:val="21"/>
                <w:highlight w:val="none"/>
              </w:rPr>
              <w:t>□</w:t>
            </w:r>
            <w:r>
              <w:rPr>
                <w:rFonts w:hint="eastAsia" w:hAnsi="宋体" w:eastAsia="宋体"/>
                <w:color w:val="auto"/>
                <w:sz w:val="21"/>
                <w:szCs w:val="21"/>
                <w:highlight w:val="none"/>
              </w:rPr>
              <w:t>允许，偏差范围：</w:t>
            </w:r>
            <w:r>
              <w:rPr>
                <w:rFonts w:hint="eastAsia" w:eastAsia="宋体"/>
                <w:color w:val="auto"/>
                <w:sz w:val="21"/>
                <w:szCs w:val="21"/>
                <w:highlight w:val="none"/>
                <w:u w:val="single"/>
              </w:rPr>
              <w:t>/</w:t>
            </w:r>
          </w:p>
          <w:p>
            <w:pPr>
              <w:pStyle w:val="16"/>
              <w:topLinePunct/>
              <w:spacing w:after="0" w:line="360" w:lineRule="exact"/>
              <w:ind w:left="40" w:leftChars="19" w:right="107" w:rightChars="51" w:firstLine="945" w:firstLineChars="450"/>
              <w:rPr>
                <w:rFonts w:eastAsia="宋体"/>
                <w:color w:val="auto"/>
                <w:sz w:val="21"/>
                <w:szCs w:val="21"/>
                <w:highlight w:val="none"/>
              </w:rPr>
            </w:pPr>
            <w:r>
              <w:rPr>
                <w:rFonts w:hint="eastAsia" w:hAnsi="宋体" w:eastAsia="宋体"/>
                <w:color w:val="auto"/>
                <w:sz w:val="21"/>
                <w:szCs w:val="21"/>
                <w:highlight w:val="none"/>
              </w:rPr>
              <w:t>偏差幅度：</w:t>
            </w:r>
            <w:r>
              <w:rPr>
                <w:rFonts w:hint="eastAsia" w:eastAsia="宋体"/>
                <w:color w:val="auto"/>
                <w:sz w:val="21"/>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构成招标文件的其他资料</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color w:val="auto"/>
                <w:szCs w:val="21"/>
                <w:highlight w:val="none"/>
                <w:u w:val="single"/>
              </w:rPr>
              <w:t>/</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360" w:lineRule="exact"/>
              <w:jc w:val="center"/>
              <w:rPr>
                <w:color w:val="auto"/>
                <w:highlight w:val="none"/>
              </w:rPr>
            </w:pPr>
            <w:r>
              <w:rPr>
                <w:color w:val="auto"/>
                <w:highlight w:val="none"/>
              </w:rPr>
              <w:t>2.2.1</w:t>
            </w:r>
          </w:p>
        </w:tc>
        <w:tc>
          <w:tcPr>
            <w:tcW w:w="2345" w:type="dxa"/>
            <w:vMerge w:val="restart"/>
            <w:tcBorders>
              <w:top w:val="single" w:color="auto" w:sz="4" w:space="0"/>
              <w:left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投标人要求澄清招标文件</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时间：</w:t>
            </w:r>
            <w:r>
              <w:rPr>
                <w:rFonts w:hint="eastAsia" w:hAnsi="宋体"/>
                <w:color w:val="auto"/>
                <w:szCs w:val="21"/>
                <w:highlight w:val="none"/>
                <w:u w:val="single"/>
              </w:rPr>
              <w:t>在提交投标文件截止时间</w:t>
            </w:r>
            <w:r>
              <w:rPr>
                <w:color w:val="auto"/>
                <w:szCs w:val="21"/>
                <w:highlight w:val="none"/>
                <w:u w:val="single"/>
              </w:rPr>
              <w:t>1</w:t>
            </w:r>
            <w:r>
              <w:rPr>
                <w:rFonts w:hint="eastAsia"/>
                <w:color w:val="auto"/>
                <w:szCs w:val="21"/>
                <w:highlight w:val="none"/>
                <w:u w:val="single"/>
              </w:rPr>
              <w:t>8</w:t>
            </w:r>
            <w:r>
              <w:rPr>
                <w:rFonts w:hint="eastAsia" w:hAnsi="宋体"/>
                <w:color w:val="auto"/>
                <w:szCs w:val="21"/>
                <w:highlight w:val="none"/>
                <w:u w:val="single"/>
              </w:rPr>
              <w:t>天前提出。</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p>
        </w:tc>
        <w:tc>
          <w:tcPr>
            <w:tcW w:w="2345" w:type="dxa"/>
            <w:vMerge w:val="continue"/>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zCs w:val="21"/>
                <w:highlight w:val="none"/>
                <w:u w:val="single"/>
              </w:rPr>
            </w:pPr>
            <w:r>
              <w:rPr>
                <w:rFonts w:hint="eastAsia" w:hAnsi="宋体"/>
                <w:color w:val="auto"/>
                <w:szCs w:val="21"/>
                <w:highlight w:val="none"/>
              </w:rPr>
              <w:t>形式：</w:t>
            </w:r>
            <w:r>
              <w:rPr>
                <w:rFonts w:hint="eastAsia" w:hAnsi="宋体"/>
                <w:color w:val="auto"/>
                <w:szCs w:val="21"/>
                <w:highlight w:val="none"/>
                <w:u w:val="single"/>
              </w:rPr>
              <w:t>投标人的疑问通过广州公共资源交易中心数字交易平台提交。具体操作方法详见广州公共资源交易中心网站发布的《房屋建筑和市政基础设施工程全流程电子化项目专章》。</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2.2.2</w:t>
            </w:r>
          </w:p>
        </w:tc>
        <w:tc>
          <w:tcPr>
            <w:tcW w:w="2345" w:type="dxa"/>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招标文件澄清发出的形式</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u w:val="single"/>
              </w:rPr>
            </w:pPr>
            <w:r>
              <w:rPr>
                <w:rFonts w:hint="eastAsia" w:ascii="宋体" w:hAnsi="宋体" w:cs="宋体"/>
                <w:color w:val="auto"/>
                <w:szCs w:val="21"/>
                <w:highlight w:val="none"/>
                <w:u w:val="single"/>
              </w:rPr>
              <w:t>在递交投标文件截止时间15天前；在广州公共资源交易中心网站通过项目答疑专区网上公开发布。</w:t>
            </w:r>
          </w:p>
        </w:tc>
      </w:tr>
      <w:tr>
        <w:tblPrEx>
          <w:tblCellMar>
            <w:top w:w="0" w:type="dxa"/>
            <w:left w:w="108" w:type="dxa"/>
            <w:bottom w:w="0" w:type="dxa"/>
            <w:right w:w="108" w:type="dxa"/>
          </w:tblCellMar>
        </w:tblPrEx>
        <w:trPr>
          <w:trHeight w:val="9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2.2.3</w:t>
            </w:r>
          </w:p>
        </w:tc>
        <w:tc>
          <w:tcPr>
            <w:tcW w:w="2345" w:type="dxa"/>
            <w:vMerge w:val="restart"/>
            <w:tcBorders>
              <w:top w:val="single" w:color="auto" w:sz="4" w:space="0"/>
              <w:left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投标人确认收到招标文件澄清</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时间：</w:t>
            </w:r>
            <w:r>
              <w:rPr>
                <w:rFonts w:hint="eastAsia" w:hAnsi="宋体"/>
                <w:color w:val="auto"/>
                <w:szCs w:val="21"/>
                <w:highlight w:val="none"/>
                <w:u w:val="single"/>
              </w:rPr>
              <w:t>发出即视作收到。</w:t>
            </w:r>
          </w:p>
        </w:tc>
      </w:tr>
      <w:tr>
        <w:tblPrEx>
          <w:tblCellMar>
            <w:top w:w="0" w:type="dxa"/>
            <w:left w:w="108" w:type="dxa"/>
            <w:bottom w:w="0" w:type="dxa"/>
            <w:right w:w="108" w:type="dxa"/>
          </w:tblCellMar>
        </w:tblPrEx>
        <w:trPr>
          <w:trHeight w:val="247"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p>
        </w:tc>
        <w:tc>
          <w:tcPr>
            <w:tcW w:w="2345" w:type="dxa"/>
            <w:vMerge w:val="continue"/>
            <w:tcBorders>
              <w:left w:val="single" w:color="auto" w:sz="4" w:space="0"/>
              <w:bottom w:val="single" w:color="auto" w:sz="4" w:space="0"/>
              <w:right w:val="single" w:color="auto" w:sz="4" w:space="0"/>
            </w:tcBorders>
            <w:vAlign w:val="center"/>
          </w:tcPr>
          <w:p>
            <w:pPr>
              <w:spacing w:line="360" w:lineRule="exact"/>
              <w:jc w:val="center"/>
              <w:rPr>
                <w:color w:val="auto"/>
                <w:highlight w:val="none"/>
              </w:rPr>
            </w:pPr>
          </w:p>
        </w:tc>
        <w:tc>
          <w:tcPr>
            <w:tcW w:w="6096" w:type="dxa"/>
            <w:tcBorders>
              <w:top w:val="single" w:color="auto" w:sz="4" w:space="0"/>
              <w:left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形式：</w:t>
            </w:r>
            <w:r>
              <w:rPr>
                <w:rFonts w:hint="eastAsia" w:hAnsi="宋体"/>
                <w:color w:val="auto"/>
                <w:szCs w:val="21"/>
                <w:highlight w:val="none"/>
                <w:u w:val="single"/>
              </w:rPr>
              <w:t>招标文件澄清（招标答疑纪要）一经在广州公共资源交易中心网站发布，视作已发放给所有投标人。</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2.3.1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招标文件修改发出的形式</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u w:val="single"/>
              </w:rPr>
            </w:pPr>
            <w:r>
              <w:rPr>
                <w:rFonts w:hint="eastAsia" w:hAnsi="宋体"/>
                <w:color w:val="auto"/>
                <w:szCs w:val="21"/>
                <w:highlight w:val="none"/>
                <w:u w:val="single"/>
              </w:rPr>
              <w:t>以补充公告或项目答疑澄清的方式在广州公共资源交易中心网站发布</w:t>
            </w:r>
            <w:r>
              <w:rPr>
                <w:rFonts w:hint="eastAsia" w:hAnsi="宋体" w:cs="宋体"/>
                <w:color w:val="auto"/>
                <w:szCs w:val="21"/>
                <w:highlight w:val="none"/>
                <w:u w:val="single"/>
              </w:rPr>
              <w:t>。</w:t>
            </w:r>
          </w:p>
        </w:tc>
      </w:tr>
      <w:tr>
        <w:tblPrEx>
          <w:tblCellMar>
            <w:top w:w="0" w:type="dxa"/>
            <w:left w:w="108" w:type="dxa"/>
            <w:bottom w:w="0" w:type="dxa"/>
            <w:right w:w="108" w:type="dxa"/>
          </w:tblCellMar>
        </w:tblPrEx>
        <w:trPr>
          <w:trHeight w:val="578" w:hRule="atLeast"/>
        </w:trPr>
        <w:tc>
          <w:tcPr>
            <w:tcW w:w="1165" w:type="dxa"/>
            <w:vMerge w:val="restart"/>
            <w:tcBorders>
              <w:top w:val="single" w:color="auto" w:sz="4" w:space="0"/>
              <w:left w:val="single" w:color="auto" w:sz="4" w:space="0"/>
              <w:right w:val="single" w:color="auto" w:sz="4" w:space="0"/>
            </w:tcBorders>
            <w:vAlign w:val="center"/>
          </w:tcPr>
          <w:p>
            <w:pPr>
              <w:spacing w:line="360" w:lineRule="exact"/>
              <w:jc w:val="center"/>
              <w:rPr>
                <w:color w:val="auto"/>
                <w:highlight w:val="none"/>
              </w:rPr>
            </w:pPr>
            <w:r>
              <w:rPr>
                <w:color w:val="auto"/>
                <w:highlight w:val="none"/>
              </w:rPr>
              <w:t>2.3.2</w:t>
            </w:r>
          </w:p>
        </w:tc>
        <w:tc>
          <w:tcPr>
            <w:tcW w:w="2345" w:type="dxa"/>
            <w:vMerge w:val="restart"/>
            <w:tcBorders>
              <w:top w:val="single" w:color="auto" w:sz="4" w:space="0"/>
              <w:left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投标人确认收到招标文件修改</w:t>
            </w:r>
          </w:p>
        </w:tc>
        <w:tc>
          <w:tcPr>
            <w:tcW w:w="6096" w:type="dxa"/>
            <w:tcBorders>
              <w:top w:val="single" w:color="auto" w:sz="4" w:space="0"/>
              <w:left w:val="single" w:color="auto" w:sz="4" w:space="0"/>
              <w:right w:val="single" w:color="auto" w:sz="4" w:space="0"/>
            </w:tcBorders>
            <w:vAlign w:val="center"/>
          </w:tcPr>
          <w:p>
            <w:pPr>
              <w:spacing w:line="360" w:lineRule="exact"/>
              <w:rPr>
                <w:color w:val="auto"/>
                <w:szCs w:val="21"/>
                <w:highlight w:val="none"/>
              </w:rPr>
            </w:pPr>
            <w:r>
              <w:rPr>
                <w:rFonts w:hint="eastAsia" w:hAnsi="宋体"/>
                <w:color w:val="auto"/>
                <w:szCs w:val="21"/>
                <w:highlight w:val="none"/>
              </w:rPr>
              <w:t>时间：</w:t>
            </w:r>
            <w:r>
              <w:rPr>
                <w:rFonts w:hint="eastAsia" w:hAnsi="宋体"/>
                <w:color w:val="auto"/>
                <w:szCs w:val="21"/>
                <w:highlight w:val="none"/>
                <w:u w:val="single"/>
              </w:rPr>
              <w:t>发出即视作收到。</w:t>
            </w:r>
          </w:p>
        </w:tc>
      </w:tr>
      <w:tr>
        <w:tblPrEx>
          <w:tblCellMar>
            <w:top w:w="0" w:type="dxa"/>
            <w:left w:w="108" w:type="dxa"/>
            <w:bottom w:w="0" w:type="dxa"/>
            <w:right w:w="108" w:type="dxa"/>
          </w:tblCellMar>
        </w:tblPrEx>
        <w:trPr>
          <w:trHeight w:val="890" w:hRule="atLeast"/>
        </w:trPr>
        <w:tc>
          <w:tcPr>
            <w:tcW w:w="1165" w:type="dxa"/>
            <w:vMerge w:val="continue"/>
            <w:tcBorders>
              <w:left w:val="single" w:color="auto" w:sz="4" w:space="0"/>
              <w:right w:val="single" w:color="auto" w:sz="4" w:space="0"/>
            </w:tcBorders>
            <w:vAlign w:val="center"/>
          </w:tcPr>
          <w:p>
            <w:pPr>
              <w:spacing w:line="360" w:lineRule="exact"/>
              <w:jc w:val="center"/>
              <w:rPr>
                <w:color w:val="auto"/>
                <w:highlight w:val="none"/>
              </w:rPr>
            </w:pPr>
          </w:p>
        </w:tc>
        <w:tc>
          <w:tcPr>
            <w:tcW w:w="2345" w:type="dxa"/>
            <w:vMerge w:val="continue"/>
            <w:tcBorders>
              <w:left w:val="single" w:color="auto" w:sz="4" w:space="0"/>
              <w:right w:val="single" w:color="auto" w:sz="4" w:space="0"/>
            </w:tcBorders>
            <w:vAlign w:val="center"/>
          </w:tcPr>
          <w:p>
            <w:pPr>
              <w:spacing w:line="360" w:lineRule="exact"/>
              <w:jc w:val="center"/>
              <w:rPr>
                <w:color w:val="auto"/>
                <w:highlight w:val="none"/>
              </w:rPr>
            </w:pPr>
          </w:p>
        </w:tc>
        <w:tc>
          <w:tcPr>
            <w:tcW w:w="6096" w:type="dxa"/>
            <w:tcBorders>
              <w:top w:val="single" w:color="auto" w:sz="4" w:space="0"/>
              <w:left w:val="single" w:color="auto" w:sz="4" w:space="0"/>
              <w:right w:val="single" w:color="auto" w:sz="4" w:space="0"/>
            </w:tcBorders>
            <w:vAlign w:val="center"/>
          </w:tcPr>
          <w:p>
            <w:pPr>
              <w:spacing w:line="360" w:lineRule="exact"/>
              <w:rPr>
                <w:color w:val="auto"/>
                <w:szCs w:val="21"/>
                <w:highlight w:val="none"/>
              </w:rPr>
            </w:pPr>
            <w:r>
              <w:rPr>
                <w:rFonts w:hint="eastAsia" w:hAnsi="宋体"/>
                <w:color w:val="auto"/>
                <w:szCs w:val="21"/>
                <w:highlight w:val="none"/>
              </w:rPr>
              <w:t>形式：</w:t>
            </w:r>
            <w:r>
              <w:rPr>
                <w:rFonts w:hint="eastAsia" w:hAnsi="宋体"/>
                <w:color w:val="auto"/>
                <w:szCs w:val="21"/>
                <w:highlight w:val="none"/>
                <w:u w:val="single"/>
              </w:rPr>
              <w:t>招标文件修改一经在广州公共资源交易中心网站发布，视作已发放给所有投标人，无需确认。潜在投标人应自行关注招标公告公布的网站公告，投标人因自身贻误行为导致投标失败的，责任自负。</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3.1.1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构成投标文件的其他资料</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Ansi="宋体"/>
                <w:color w:val="auto"/>
                <w:szCs w:val="21"/>
                <w:highlight w:val="none"/>
                <w:u w:val="single"/>
              </w:rPr>
              <w:t>满足本项目评审要求的其他资料</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增值税税金的计算方法</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3.2.3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报价方式</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u w:val="single"/>
              </w:rPr>
            </w:pPr>
            <w:r>
              <w:rPr>
                <w:rFonts w:hint="eastAsia"/>
                <w:color w:val="auto"/>
                <w:szCs w:val="21"/>
                <w:highlight w:val="none"/>
                <w:u w:val="single"/>
              </w:rPr>
              <w:t>自行报价（以元为单位，精确到小数位后2位）。本项目检测费用采用综合单价包干，检测数量按实结算。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3.2.4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最高投标限价</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color w:val="auto"/>
                <w:szCs w:val="21"/>
                <w:highlight w:val="none"/>
              </w:rPr>
              <w:t>□</w:t>
            </w:r>
            <w:r>
              <w:rPr>
                <w:rFonts w:hint="eastAsia" w:hAnsi="宋体"/>
                <w:color w:val="auto"/>
                <w:szCs w:val="21"/>
                <w:highlight w:val="none"/>
              </w:rPr>
              <w:t>无</w:t>
            </w:r>
          </w:p>
          <w:p>
            <w:pPr>
              <w:spacing w:line="360" w:lineRule="exact"/>
              <w:ind w:left="40" w:leftChars="19" w:right="107" w:rightChars="51"/>
              <w:rPr>
                <w:rFonts w:hAnsi="宋体"/>
                <w:color w:val="auto"/>
                <w:szCs w:val="21"/>
                <w:highlight w:val="none"/>
              </w:rPr>
            </w:pPr>
            <w:r>
              <w:rPr>
                <w:rFonts w:hint="eastAsia"/>
                <w:color w:val="auto"/>
                <w:szCs w:val="21"/>
                <w:highlight w:val="none"/>
              </w:rPr>
              <w:t>■</w:t>
            </w:r>
            <w:r>
              <w:rPr>
                <w:rFonts w:hint="eastAsia" w:hAnsi="宋体"/>
                <w:color w:val="auto"/>
                <w:szCs w:val="21"/>
                <w:highlight w:val="none"/>
              </w:rPr>
              <w:t>有，最高投标限价：人民币</w:t>
            </w:r>
            <w:r>
              <w:rPr>
                <w:rFonts w:hint="eastAsia" w:ascii="宋体" w:hAnsi="宋体" w:cs="宋体"/>
                <w:color w:val="auto"/>
                <w:szCs w:val="21"/>
                <w:highlight w:val="none"/>
                <w:u w:val="single"/>
                <w:lang w:val="en-US" w:eastAsia="zh-CN"/>
              </w:rPr>
              <w:t>4374786.00</w:t>
            </w:r>
            <w:r>
              <w:rPr>
                <w:color w:val="auto"/>
                <w:szCs w:val="21"/>
                <w:highlight w:val="none"/>
              </w:rPr>
              <w:t>元</w:t>
            </w:r>
            <w:r>
              <w:rPr>
                <w:rFonts w:hint="eastAsia" w:ascii="宋体" w:hAnsi="宋体"/>
                <w:color w:val="auto"/>
                <w:sz w:val="21"/>
                <w:szCs w:val="21"/>
                <w:highlight w:val="none"/>
              </w:rPr>
              <w:t>（其中：</w:t>
            </w:r>
            <w:r>
              <w:rPr>
                <w:rFonts w:hint="eastAsia" w:ascii="宋体" w:hAnsi="宋体"/>
                <w:color w:val="auto"/>
                <w:sz w:val="21"/>
                <w:szCs w:val="21"/>
                <w:highlight w:val="none"/>
                <w:lang w:val="en-US" w:eastAsia="zh-CN"/>
              </w:rPr>
              <w:t>建筑节能检测</w:t>
            </w:r>
            <w:r>
              <w:rPr>
                <w:rFonts w:hint="eastAsia" w:ascii="宋体" w:hAnsi="宋体"/>
                <w:color w:val="auto"/>
                <w:sz w:val="21"/>
                <w:szCs w:val="21"/>
                <w:highlight w:val="none"/>
              </w:rPr>
              <w:t>最高投标限价为</w:t>
            </w:r>
            <w:r>
              <w:rPr>
                <w:rFonts w:hint="eastAsia" w:ascii="宋体" w:hAnsi="宋体"/>
                <w:color w:val="auto"/>
                <w:sz w:val="21"/>
                <w:szCs w:val="21"/>
                <w:highlight w:val="none"/>
                <w:u w:val="single"/>
                <w:lang w:val="en-US" w:eastAsia="zh-CN"/>
              </w:rPr>
              <w:t>1298568.00</w:t>
            </w:r>
            <w:r>
              <w:rPr>
                <w:rFonts w:hint="eastAsia" w:ascii="宋体" w:hAnsi="宋体"/>
                <w:color w:val="auto"/>
                <w:sz w:val="21"/>
                <w:szCs w:val="21"/>
                <w:highlight w:val="none"/>
              </w:rPr>
              <w:t>元，</w:t>
            </w:r>
            <w:r>
              <w:rPr>
                <w:rFonts w:hint="eastAsia" w:ascii="宋体" w:hAnsi="宋体"/>
                <w:color w:val="auto"/>
                <w:sz w:val="21"/>
                <w:szCs w:val="21"/>
                <w:highlight w:val="none"/>
                <w:lang w:val="en-US" w:eastAsia="zh-CN"/>
              </w:rPr>
              <w:t>智能建筑检测</w:t>
            </w:r>
            <w:r>
              <w:rPr>
                <w:rFonts w:hint="eastAsia" w:ascii="宋体" w:hAnsi="宋体"/>
                <w:color w:val="auto"/>
                <w:sz w:val="21"/>
                <w:szCs w:val="21"/>
                <w:highlight w:val="none"/>
              </w:rPr>
              <w:t>最高投标限价为</w:t>
            </w:r>
            <w:r>
              <w:rPr>
                <w:rFonts w:hint="eastAsia" w:ascii="宋体" w:hAnsi="宋体"/>
                <w:color w:val="auto"/>
                <w:sz w:val="21"/>
                <w:szCs w:val="21"/>
                <w:highlight w:val="none"/>
                <w:u w:val="single"/>
                <w:lang w:val="en-US" w:eastAsia="zh-CN"/>
              </w:rPr>
              <w:t>928296.00</w:t>
            </w:r>
            <w:r>
              <w:rPr>
                <w:rFonts w:hint="eastAsia" w:ascii="宋体" w:hAnsi="宋体"/>
                <w:color w:val="auto"/>
                <w:sz w:val="21"/>
                <w:szCs w:val="21"/>
                <w:highlight w:val="none"/>
              </w:rPr>
              <w:t>元，</w:t>
            </w:r>
            <w:r>
              <w:rPr>
                <w:rFonts w:hint="eastAsia" w:ascii="宋体" w:hAnsi="宋体"/>
                <w:color w:val="auto"/>
                <w:sz w:val="21"/>
                <w:szCs w:val="21"/>
                <w:highlight w:val="none"/>
                <w:lang w:val="en-US" w:eastAsia="zh-CN"/>
              </w:rPr>
              <w:t>消防设施检测</w:t>
            </w:r>
            <w:r>
              <w:rPr>
                <w:rFonts w:hint="eastAsia" w:ascii="宋体" w:hAnsi="宋体"/>
                <w:color w:val="auto"/>
                <w:sz w:val="21"/>
                <w:szCs w:val="21"/>
                <w:highlight w:val="none"/>
              </w:rPr>
              <w:t>最高投标限价为</w:t>
            </w:r>
            <w:r>
              <w:rPr>
                <w:rFonts w:hint="eastAsia" w:ascii="宋体" w:hAnsi="宋体"/>
                <w:color w:val="auto"/>
                <w:sz w:val="21"/>
                <w:szCs w:val="21"/>
                <w:highlight w:val="none"/>
                <w:u w:val="single"/>
                <w:lang w:val="en-US" w:eastAsia="zh-CN"/>
              </w:rPr>
              <w:t>1463214.00</w:t>
            </w:r>
            <w:r>
              <w:rPr>
                <w:rFonts w:hint="eastAsia" w:ascii="宋体" w:hAnsi="宋体"/>
                <w:color w:val="auto"/>
                <w:sz w:val="21"/>
                <w:szCs w:val="21"/>
                <w:highlight w:val="none"/>
              </w:rPr>
              <w:t>元，</w:t>
            </w:r>
            <w:r>
              <w:rPr>
                <w:rFonts w:hint="eastAsia" w:ascii="宋体" w:hAnsi="宋体"/>
                <w:color w:val="auto"/>
                <w:sz w:val="21"/>
                <w:szCs w:val="21"/>
                <w:highlight w:val="none"/>
                <w:lang w:val="en-US" w:eastAsia="zh-CN"/>
              </w:rPr>
              <w:t>附属结构检测</w:t>
            </w:r>
            <w:r>
              <w:rPr>
                <w:rFonts w:hint="eastAsia" w:ascii="宋体" w:hAnsi="宋体"/>
                <w:color w:val="auto"/>
                <w:sz w:val="21"/>
                <w:szCs w:val="21"/>
                <w:highlight w:val="none"/>
              </w:rPr>
              <w:t>最高投标限价为</w:t>
            </w:r>
            <w:r>
              <w:rPr>
                <w:rFonts w:hint="eastAsia" w:ascii="宋体" w:hAnsi="宋体"/>
                <w:color w:val="auto"/>
                <w:sz w:val="21"/>
                <w:szCs w:val="21"/>
                <w:highlight w:val="none"/>
                <w:u w:val="single"/>
                <w:lang w:val="en-US" w:eastAsia="zh-CN"/>
              </w:rPr>
              <w:t>684708.00</w:t>
            </w:r>
            <w:r>
              <w:rPr>
                <w:rFonts w:hint="eastAsia" w:ascii="宋体" w:hAnsi="宋体"/>
                <w:color w:val="auto"/>
                <w:sz w:val="21"/>
                <w:szCs w:val="21"/>
                <w:highlight w:val="none"/>
              </w:rPr>
              <w:t>元）</w:t>
            </w:r>
            <w:r>
              <w:rPr>
                <w:color w:val="auto"/>
                <w:szCs w:val="21"/>
                <w:highlight w:val="none"/>
              </w:rPr>
              <w:t>；</w:t>
            </w:r>
          </w:p>
          <w:p>
            <w:pPr>
              <w:tabs>
                <w:tab w:val="left" w:pos="7513"/>
              </w:tabs>
              <w:adjustRightInd w:val="0"/>
              <w:snapToGrid w:val="0"/>
              <w:spacing w:line="360" w:lineRule="exact"/>
              <w:rPr>
                <w:rFonts w:hint="eastAsia"/>
                <w:b/>
                <w:color w:val="auto"/>
                <w:szCs w:val="21"/>
                <w:highlight w:val="none"/>
                <w:u w:val="single"/>
              </w:rPr>
            </w:pPr>
            <w:r>
              <w:rPr>
                <w:rFonts w:hint="eastAsia"/>
                <w:b/>
                <w:color w:val="auto"/>
                <w:szCs w:val="21"/>
                <w:highlight w:val="none"/>
                <w:u w:val="single"/>
              </w:rPr>
              <w:t>投标报价不得超过最高投标限价总价,其中：</w:t>
            </w:r>
            <w:r>
              <w:rPr>
                <w:rFonts w:hint="eastAsia"/>
                <w:b/>
                <w:color w:val="auto"/>
                <w:szCs w:val="21"/>
                <w:highlight w:val="none"/>
                <w:u w:val="single"/>
                <w:lang w:val="en-US" w:eastAsia="zh-CN"/>
              </w:rPr>
              <w:t>建筑节能检测费</w:t>
            </w:r>
            <w:r>
              <w:rPr>
                <w:rFonts w:hint="eastAsia" w:ascii="Times New Roman" w:hAnsi="Times New Roman"/>
                <w:b/>
                <w:color w:val="auto"/>
                <w:szCs w:val="21"/>
                <w:highlight w:val="none"/>
                <w:u w:val="single"/>
              </w:rPr>
              <w:t>、</w:t>
            </w:r>
            <w:r>
              <w:rPr>
                <w:rFonts w:hint="eastAsia" w:ascii="Times New Roman" w:hAnsi="Times New Roman"/>
                <w:b/>
                <w:color w:val="auto"/>
                <w:szCs w:val="21"/>
                <w:highlight w:val="none"/>
                <w:u w:val="single"/>
                <w:lang w:val="en-US" w:eastAsia="zh-CN"/>
              </w:rPr>
              <w:t>智能建筑检测</w:t>
            </w:r>
            <w:r>
              <w:rPr>
                <w:rFonts w:hint="eastAsia" w:ascii="Times New Roman" w:hAnsi="Times New Roman"/>
                <w:b/>
                <w:color w:val="auto"/>
                <w:szCs w:val="21"/>
                <w:highlight w:val="none"/>
                <w:u w:val="single"/>
              </w:rPr>
              <w:t>费</w:t>
            </w:r>
            <w:r>
              <w:rPr>
                <w:rFonts w:hint="eastAsia" w:ascii="Times New Roman" w:hAnsi="Times New Roman"/>
                <w:b/>
                <w:color w:val="auto"/>
                <w:szCs w:val="21"/>
                <w:highlight w:val="none"/>
                <w:u w:val="single"/>
                <w:lang w:eastAsia="zh-CN"/>
              </w:rPr>
              <w:t>、</w:t>
            </w:r>
            <w:r>
              <w:rPr>
                <w:rFonts w:hint="eastAsia" w:ascii="Times New Roman" w:hAnsi="Times New Roman"/>
                <w:b/>
                <w:color w:val="auto"/>
                <w:sz w:val="21"/>
                <w:szCs w:val="21"/>
                <w:highlight w:val="none"/>
                <w:u w:val="single"/>
                <w:lang w:val="en-US" w:eastAsia="zh-CN"/>
              </w:rPr>
              <w:t>消防设施检测费、附属结构检测费投标报价不得</w:t>
            </w:r>
            <w:r>
              <w:rPr>
                <w:rFonts w:hint="eastAsia" w:ascii="Times New Roman" w:hAnsi="Times New Roman"/>
                <w:b/>
                <w:color w:val="auto"/>
                <w:szCs w:val="21"/>
                <w:highlight w:val="none"/>
                <w:u w:val="single"/>
              </w:rPr>
              <w:t>高于相应的最高投标限价</w:t>
            </w:r>
            <w:r>
              <w:rPr>
                <w:rFonts w:hint="eastAsia"/>
                <w:b/>
                <w:color w:val="auto"/>
                <w:szCs w:val="21"/>
                <w:highlight w:val="none"/>
                <w:u w:val="single"/>
              </w:rPr>
              <w:t>。</w:t>
            </w:r>
          </w:p>
          <w:p>
            <w:pPr>
              <w:tabs>
                <w:tab w:val="left" w:pos="7513"/>
              </w:tabs>
              <w:adjustRightInd w:val="0"/>
              <w:snapToGrid w:val="0"/>
              <w:spacing w:line="360" w:lineRule="exact"/>
              <w:rPr>
                <w:color w:val="auto"/>
                <w:szCs w:val="21"/>
                <w:highlight w:val="none"/>
                <w:u w:val="single"/>
              </w:rPr>
            </w:pPr>
            <w:r>
              <w:rPr>
                <w:rFonts w:hint="eastAsia"/>
                <w:b/>
                <w:color w:val="auto"/>
                <w:szCs w:val="21"/>
                <w:highlight w:val="none"/>
                <w:u w:val="single"/>
              </w:rPr>
              <w:t>（注：本项目只限总价，不限单价。）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3.2.5</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投标报价的其他要求</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color w:val="auto"/>
                <w:szCs w:val="21"/>
                <w:highlight w:val="none"/>
                <w:u w:val="single"/>
              </w:rPr>
              <w:t>/</w:t>
            </w:r>
            <w:r>
              <w:rPr>
                <w:rFonts w:hAnsi="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3.3.1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投标有效期</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cs="宋体"/>
                <w:color w:val="auto"/>
                <w:szCs w:val="21"/>
                <w:highlight w:val="none"/>
                <w:u w:val="single"/>
              </w:rPr>
              <w:t>90</w:t>
            </w:r>
            <w:r>
              <w:rPr>
                <w:rFonts w:hint="eastAsia" w:hAnsi="宋体" w:cs="宋体"/>
                <w:color w:val="auto"/>
                <w:szCs w:val="21"/>
                <w:highlight w:val="none"/>
              </w:rPr>
              <w:t>日历天</w:t>
            </w:r>
            <w:r>
              <w:rPr>
                <w:rFonts w:hint="eastAsia" w:hAnsi="宋体"/>
                <w:color w:val="auto"/>
                <w:szCs w:val="21"/>
                <w:highlight w:val="none"/>
                <w:u w:val="single"/>
              </w:rPr>
              <w:t>（从提交投标截止之日起计算）。</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3.4.1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投标保证金</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是否要求投标人递交投标保证金：</w:t>
            </w:r>
          </w:p>
          <w:p>
            <w:pPr>
              <w:spacing w:line="360" w:lineRule="exact"/>
              <w:rPr>
                <w:rFonts w:ascii="宋体" w:hAnsi="宋体"/>
                <w:color w:val="auto"/>
                <w:szCs w:val="21"/>
                <w:highlight w:val="none"/>
              </w:rPr>
            </w:pPr>
            <w:r>
              <w:rPr>
                <w:rFonts w:hint="eastAsia" w:ascii="宋体" w:hAnsi="宋体"/>
                <w:color w:val="auto"/>
                <w:szCs w:val="21"/>
                <w:highlight w:val="none"/>
              </w:rPr>
              <w:t>■要求，</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万元人民币。</w:t>
            </w:r>
          </w:p>
          <w:p>
            <w:pPr>
              <w:spacing w:line="360" w:lineRule="exact"/>
              <w:rPr>
                <w:rFonts w:ascii="宋体" w:hAnsi="宋体"/>
                <w:color w:val="auto"/>
                <w:szCs w:val="21"/>
                <w:highlight w:val="none"/>
              </w:rPr>
            </w:pPr>
            <w:r>
              <w:rPr>
                <w:rFonts w:hint="eastAsia" w:ascii="宋体" w:hAnsi="宋体"/>
                <w:color w:val="auto"/>
                <w:szCs w:val="21"/>
                <w:highlight w:val="none"/>
              </w:rPr>
              <w:t>投标保证金有效期：与投标有效期一致。</w:t>
            </w:r>
          </w:p>
          <w:p>
            <w:pPr>
              <w:spacing w:line="360" w:lineRule="exact"/>
              <w:rPr>
                <w:rFonts w:ascii="宋体" w:hAnsi="宋体"/>
                <w:color w:val="auto"/>
                <w:szCs w:val="21"/>
                <w:highlight w:val="none"/>
              </w:rPr>
            </w:pPr>
            <w:r>
              <w:rPr>
                <w:rFonts w:hint="eastAsia" w:ascii="宋体" w:hAnsi="宋体"/>
                <w:color w:val="auto"/>
                <w:szCs w:val="21"/>
                <w:highlight w:val="none"/>
              </w:rPr>
              <w:t> 一、 投标保证金的形式：投标保证金可采用现金、银行汇票、银行本票、银行电汇、支票（现金支票、转账支票）、投标保证保险、投标保函（银行或专业担保公司出具）的形式，须在递交投标文件截止时间前完成缴纳。</w:t>
            </w:r>
          </w:p>
          <w:p>
            <w:pPr>
              <w:spacing w:line="360" w:lineRule="exact"/>
              <w:rPr>
                <w:rFonts w:ascii="宋体" w:hAnsi="宋体"/>
                <w:color w:val="auto"/>
                <w:szCs w:val="21"/>
                <w:highlight w:val="none"/>
              </w:rPr>
            </w:pPr>
            <w:r>
              <w:rPr>
                <w:rFonts w:hint="eastAsia" w:ascii="宋体" w:hAnsi="宋体"/>
                <w:color w:val="auto"/>
                <w:szCs w:val="21"/>
                <w:highlight w:val="none"/>
              </w:rPr>
              <w:t xml:space="preserve"> 二、 投标保证金的提交方式：</w:t>
            </w:r>
          </w:p>
          <w:p>
            <w:pPr>
              <w:spacing w:line="360" w:lineRule="exact"/>
              <w:rPr>
                <w:rFonts w:ascii="宋体" w:hAnsi="宋体"/>
                <w:color w:val="auto"/>
                <w:szCs w:val="21"/>
                <w:highlight w:val="none"/>
              </w:rPr>
            </w:pPr>
            <w:r>
              <w:rPr>
                <w:rFonts w:hint="eastAsia" w:ascii="宋体" w:hAnsi="宋体"/>
                <w:color w:val="auto"/>
                <w:szCs w:val="21"/>
                <w:highlight w:val="none"/>
              </w:rPr>
              <w:t>（1）如采用现金或者转账或者支票形式提交的，投标保证金从投标人基本账户递交，由广州交易集团有限公司代收。请各投标人在投标文件递交截止时间前按上述金额递交至广州交易集团有限公司，缴纳情况以开标时广州交易集团有限公司网站查询为准。具体操作流程详见广州交易集团有限公司最新的投标保证金缴纳操作指引或自行咨询交易中心(咨询电话：020-28866000)。</w:t>
            </w:r>
          </w:p>
          <w:p>
            <w:pPr>
              <w:spacing w:line="360" w:lineRule="exact"/>
              <w:rPr>
                <w:rFonts w:ascii="宋体" w:hAnsi="宋体"/>
                <w:color w:val="auto"/>
                <w:szCs w:val="21"/>
                <w:highlight w:val="none"/>
              </w:rPr>
            </w:pPr>
            <w:r>
              <w:rPr>
                <w:rFonts w:hint="eastAsia" w:ascii="宋体" w:hAnsi="宋体"/>
                <w:color w:val="auto"/>
                <w:szCs w:val="21"/>
                <w:highlight w:val="none"/>
              </w:rPr>
              <w:t>（2）如采用投标保函、投标保证保险形式提交投标保证金的，投标保函或投标保证保险须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广州公共资源交易中心数据库查询信息为准。</w:t>
            </w:r>
          </w:p>
          <w:p>
            <w:pPr>
              <w:spacing w:line="360" w:lineRule="exact"/>
              <w:rPr>
                <w:rFonts w:ascii="宋体" w:hAnsi="宋体"/>
                <w:b/>
                <w:bCs/>
                <w:color w:val="auto"/>
                <w:szCs w:val="21"/>
                <w:highlight w:val="none"/>
              </w:rPr>
            </w:pPr>
            <w:r>
              <w:rPr>
                <w:rFonts w:hint="eastAsia" w:ascii="宋体" w:hAnsi="宋体"/>
                <w:b/>
                <w:bCs/>
                <w:color w:val="auto"/>
                <w:szCs w:val="21"/>
                <w:highlight w:val="none"/>
              </w:rPr>
              <w:t>（3）如为联合体投标，投标保证金可由主办方提交即可。</w:t>
            </w:r>
          </w:p>
          <w:p>
            <w:pPr>
              <w:spacing w:line="360" w:lineRule="exact"/>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不要求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3.4.4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其他可以不予退还投标保证金的情形</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zCs w:val="21"/>
                <w:highlight w:val="none"/>
                <w:u w:val="single"/>
              </w:rPr>
            </w:pPr>
            <w:r>
              <w:rPr>
                <w:rFonts w:hint="eastAsia" w:hAnsi="宋体"/>
                <w:color w:val="auto"/>
                <w:szCs w:val="21"/>
                <w:highlight w:val="none"/>
                <w:u w:val="single"/>
              </w:rPr>
              <w:t>（</w:t>
            </w:r>
            <w:r>
              <w:rPr>
                <w:rFonts w:hint="eastAsia"/>
                <w:color w:val="auto"/>
                <w:szCs w:val="21"/>
                <w:highlight w:val="none"/>
                <w:u w:val="single"/>
              </w:rPr>
              <w:t>4</w:t>
            </w:r>
            <w:r>
              <w:rPr>
                <w:rFonts w:hint="eastAsia" w:hAnsi="宋体"/>
                <w:color w:val="auto"/>
                <w:szCs w:val="21"/>
                <w:highlight w:val="none"/>
                <w:u w:val="single"/>
              </w:rPr>
              <w:t>）存在串通投标、围标情况的；</w:t>
            </w:r>
          </w:p>
          <w:p>
            <w:pPr>
              <w:spacing w:line="360" w:lineRule="exact"/>
              <w:rPr>
                <w:color w:val="auto"/>
                <w:szCs w:val="21"/>
                <w:highlight w:val="none"/>
                <w:u w:val="single"/>
              </w:rPr>
            </w:pPr>
            <w:r>
              <w:rPr>
                <w:rFonts w:hint="eastAsia" w:hAnsi="宋体"/>
                <w:color w:val="auto"/>
                <w:szCs w:val="21"/>
                <w:highlight w:val="none"/>
                <w:u w:val="single"/>
              </w:rPr>
              <w:t>（</w:t>
            </w:r>
            <w:r>
              <w:rPr>
                <w:rFonts w:hint="eastAsia"/>
                <w:color w:val="auto"/>
                <w:szCs w:val="21"/>
                <w:highlight w:val="none"/>
                <w:u w:val="single"/>
              </w:rPr>
              <w:t>5</w:t>
            </w:r>
            <w:r>
              <w:rPr>
                <w:rFonts w:hint="eastAsia" w:hAnsi="宋体"/>
                <w:color w:val="auto"/>
                <w:szCs w:val="21"/>
                <w:highlight w:val="none"/>
                <w:u w:val="single"/>
              </w:rPr>
              <w:t>）投标人以他人名义投标或者允许他人挂靠投标或借用本公司名义投标的；</w:t>
            </w:r>
          </w:p>
          <w:p>
            <w:pPr>
              <w:spacing w:line="360" w:lineRule="exact"/>
              <w:rPr>
                <w:color w:val="auto"/>
                <w:szCs w:val="21"/>
                <w:highlight w:val="none"/>
                <w:u w:val="single"/>
              </w:rPr>
            </w:pPr>
            <w:r>
              <w:rPr>
                <w:rFonts w:hint="eastAsia" w:hAnsi="宋体"/>
                <w:color w:val="auto"/>
                <w:szCs w:val="21"/>
                <w:highlight w:val="none"/>
                <w:u w:val="single"/>
              </w:rPr>
              <w:t>（</w:t>
            </w:r>
            <w:r>
              <w:rPr>
                <w:rFonts w:hint="eastAsia"/>
                <w:color w:val="auto"/>
                <w:szCs w:val="21"/>
                <w:highlight w:val="none"/>
                <w:u w:val="single"/>
              </w:rPr>
              <w:t>6</w:t>
            </w:r>
            <w:r>
              <w:rPr>
                <w:rFonts w:hint="eastAsia" w:hAnsi="宋体"/>
                <w:color w:val="auto"/>
                <w:szCs w:val="21"/>
                <w:highlight w:val="none"/>
                <w:u w:val="single"/>
              </w:rPr>
              <w:t>）提供虚假投标文件、虚假证明、虚假承诺</w:t>
            </w:r>
            <w:r>
              <w:rPr>
                <w:rFonts w:hint="eastAsia"/>
                <w:color w:val="auto"/>
                <w:szCs w:val="21"/>
                <w:highlight w:val="none"/>
                <w:u w:val="single"/>
              </w:rPr>
              <w:t>/</w:t>
            </w:r>
            <w:r>
              <w:rPr>
                <w:rFonts w:hint="eastAsia" w:hAnsi="宋体"/>
                <w:color w:val="auto"/>
                <w:szCs w:val="21"/>
                <w:highlight w:val="none"/>
                <w:u w:val="single"/>
              </w:rPr>
              <w:t>声明</w:t>
            </w:r>
            <w:r>
              <w:rPr>
                <w:rFonts w:hint="eastAsia"/>
                <w:color w:val="auto"/>
                <w:szCs w:val="21"/>
                <w:highlight w:val="none"/>
                <w:u w:val="single"/>
              </w:rPr>
              <w:t>/</w:t>
            </w:r>
            <w:r>
              <w:rPr>
                <w:rFonts w:hint="eastAsia" w:hAnsi="宋体"/>
                <w:color w:val="auto"/>
                <w:szCs w:val="21"/>
                <w:highlight w:val="none"/>
                <w:u w:val="single"/>
              </w:rPr>
              <w:t>保证或者以其他方式弄虚作假的；</w:t>
            </w:r>
          </w:p>
          <w:p>
            <w:pPr>
              <w:spacing w:line="360" w:lineRule="exact"/>
              <w:ind w:left="40" w:leftChars="19" w:right="107" w:rightChars="51"/>
              <w:rPr>
                <w:color w:val="auto"/>
                <w:szCs w:val="21"/>
                <w:highlight w:val="none"/>
                <w:u w:val="single"/>
              </w:rPr>
            </w:pPr>
            <w:r>
              <w:rPr>
                <w:rFonts w:hint="eastAsia" w:hAnsi="宋体"/>
                <w:color w:val="auto"/>
                <w:szCs w:val="21"/>
                <w:highlight w:val="none"/>
                <w:u w:val="single"/>
              </w:rPr>
              <w:t>（</w:t>
            </w:r>
            <w:r>
              <w:rPr>
                <w:rFonts w:hint="eastAsia"/>
                <w:color w:val="auto"/>
                <w:szCs w:val="21"/>
                <w:highlight w:val="none"/>
                <w:u w:val="single"/>
              </w:rPr>
              <w:t>7</w:t>
            </w:r>
            <w:r>
              <w:rPr>
                <w:rFonts w:hint="eastAsia" w:hAnsi="宋体"/>
                <w:color w:val="auto"/>
                <w:szCs w:val="21"/>
                <w:highlight w:val="none"/>
                <w:u w:val="single"/>
              </w:rPr>
              <w:t>）法律或者本招标文件规定的其他情形。</w:t>
            </w:r>
          </w:p>
        </w:tc>
      </w:tr>
      <w:tr>
        <w:tblPrEx>
          <w:tblCellMar>
            <w:top w:w="0" w:type="dxa"/>
            <w:left w:w="108" w:type="dxa"/>
            <w:bottom w:w="0" w:type="dxa"/>
            <w:right w:w="108" w:type="dxa"/>
          </w:tblCellMar>
        </w:tblPrEx>
        <w:trPr>
          <w:trHeight w:val="61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3.6.1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是否允许递交备选投标方案</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rPr>
            </w:pPr>
            <w:r>
              <w:rPr>
                <w:rFonts w:hint="eastAsia" w:eastAsia="宋体"/>
                <w:color w:val="auto"/>
                <w:sz w:val="21"/>
                <w:szCs w:val="21"/>
                <w:highlight w:val="none"/>
              </w:rPr>
              <w:t>■</w:t>
            </w:r>
            <w:r>
              <w:rPr>
                <w:rFonts w:hint="eastAsia" w:hAnsi="宋体" w:eastAsia="宋体"/>
                <w:color w:val="auto"/>
                <w:sz w:val="21"/>
                <w:szCs w:val="21"/>
                <w:highlight w:val="none"/>
              </w:rPr>
              <w:t>不允许</w:t>
            </w:r>
          </w:p>
          <w:p>
            <w:pPr>
              <w:spacing w:line="360" w:lineRule="exact"/>
              <w:ind w:left="40" w:leftChars="19" w:right="107" w:rightChars="51"/>
              <w:rPr>
                <w:color w:val="auto"/>
                <w:szCs w:val="21"/>
                <w:highlight w:val="none"/>
              </w:rPr>
            </w:pPr>
            <w:r>
              <w:rPr>
                <w:rFonts w:hint="eastAsia"/>
                <w:color w:val="auto"/>
                <w:szCs w:val="21"/>
                <w:highlight w:val="none"/>
              </w:rPr>
              <w:t>□</w:t>
            </w:r>
            <w:r>
              <w:rPr>
                <w:rFonts w:hint="eastAsia" w:hAnsi="宋体"/>
                <w:color w:val="auto"/>
                <w:szCs w:val="21"/>
                <w:highlight w:val="none"/>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3.7.3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投标文件所附证书证件要求</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rPr>
            </w:pPr>
            <w:r>
              <w:rPr>
                <w:rFonts w:hint="eastAsia" w:hAnsi="宋体" w:eastAsia="宋体" w:cs="宋体"/>
                <w:color w:val="auto"/>
                <w:sz w:val="21"/>
                <w:szCs w:val="21"/>
                <w:highlight w:val="none"/>
                <w:u w:val="single"/>
              </w:rPr>
              <w:t>证书证件需为清晰扫描件，并采用单位数字证书，按照招标文件要求在相应位置加盖电子印章。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3.7.3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投标文件签字或盖章要求</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rPr>
            </w:pPr>
            <w:r>
              <w:rPr>
                <w:rFonts w:hint="eastAsia" w:hAnsi="宋体" w:eastAsia="宋体"/>
                <w:color w:val="auto"/>
                <w:sz w:val="21"/>
                <w:szCs w:val="21"/>
                <w:highlight w:val="none"/>
                <w:u w:val="single"/>
              </w:rPr>
              <w:t>投标文件全部采用电子文档，投标文件所附证书证件均为扫描件，并采用单位数字证书，按招标文件要求在相应位置加盖电子印章。投标文件中需个人签字或盖章的，应手签后扫描上传。具体操作详见广州公共资源交易中心网站发布的《房屋建筑和市政基础设施工程全流程电子化项目专章（最新版）》。</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4.1.1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投标文件加密要求</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u w:val="single"/>
              </w:rPr>
            </w:pPr>
            <w:r>
              <w:rPr>
                <w:rFonts w:hint="eastAsia" w:hAnsi="宋体" w:eastAsia="宋体"/>
                <w:color w:val="auto"/>
                <w:sz w:val="21"/>
                <w:szCs w:val="21"/>
                <w:highlight w:val="none"/>
                <w:u w:val="single"/>
              </w:rPr>
              <w:t>网上递交的电子投标文件须进行加密。具体操作详见</w:t>
            </w:r>
            <w:r>
              <w:rPr>
                <w:rFonts w:hint="eastAsia" w:hAnsi="宋体" w:eastAsia="宋体" w:cs="宋体"/>
                <w:bCs/>
                <w:color w:val="auto"/>
                <w:sz w:val="21"/>
                <w:szCs w:val="21"/>
                <w:highlight w:val="none"/>
                <w:u w:val="single"/>
              </w:rPr>
              <w:t>《房屋建筑和市政基础设施工程全流程电子化项目专章</w:t>
            </w:r>
            <w:r>
              <w:rPr>
                <w:rFonts w:hint="eastAsia" w:hAnsi="宋体" w:eastAsia="宋体"/>
                <w:color w:val="auto"/>
                <w:sz w:val="21"/>
                <w:szCs w:val="21"/>
                <w:highlight w:val="none"/>
                <w:u w:val="single"/>
              </w:rPr>
              <w:t>（最新版）</w:t>
            </w:r>
            <w:r>
              <w:rPr>
                <w:rFonts w:hint="eastAsia" w:hAnsi="宋体" w:eastAsia="宋体" w:cs="宋体"/>
                <w:bCs/>
                <w:color w:val="auto"/>
                <w:sz w:val="21"/>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4.1.2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封套上应载明的信息</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napToGrid w:val="0"/>
              <w:spacing w:line="360" w:lineRule="exact"/>
              <w:ind w:right="174" w:rightChars="83"/>
              <w:rPr>
                <w:rFonts w:eastAsia="宋体"/>
                <w:color w:val="auto"/>
                <w:sz w:val="21"/>
                <w:szCs w:val="21"/>
                <w:highlight w:val="none"/>
              </w:rPr>
            </w:pPr>
            <w:r>
              <w:rPr>
                <w:rFonts w:hint="eastAsia" w:hAnsi="宋体" w:eastAsia="宋体"/>
                <w:color w:val="auto"/>
                <w:sz w:val="21"/>
                <w:szCs w:val="21"/>
                <w:highlight w:val="none"/>
              </w:rPr>
              <w:t>如有提交投标文件光盘备用，封套上应注明如下信息：</w:t>
            </w:r>
          </w:p>
          <w:p>
            <w:pPr>
              <w:pStyle w:val="16"/>
              <w:topLinePunct/>
              <w:snapToGrid w:val="0"/>
              <w:spacing w:line="360" w:lineRule="exact"/>
              <w:ind w:right="174" w:rightChars="83"/>
              <w:rPr>
                <w:rFonts w:eastAsia="宋体"/>
                <w:color w:val="auto"/>
                <w:sz w:val="21"/>
                <w:szCs w:val="21"/>
                <w:highlight w:val="none"/>
                <w:u w:val="single"/>
              </w:rPr>
            </w:pPr>
            <w:r>
              <w:rPr>
                <w:rFonts w:hint="eastAsia" w:hAnsi="宋体" w:eastAsia="宋体"/>
                <w:color w:val="auto"/>
                <w:sz w:val="21"/>
                <w:szCs w:val="21"/>
                <w:highlight w:val="none"/>
              </w:rPr>
              <w:t>招标人名称：</w:t>
            </w:r>
            <w:r>
              <w:rPr>
                <w:rFonts w:hint="eastAsia" w:hAnsi="宋体" w:eastAsia="宋体"/>
                <w:color w:val="auto"/>
                <w:sz w:val="21"/>
                <w:szCs w:val="21"/>
                <w:highlight w:val="none"/>
                <w:u w:val="single"/>
              </w:rPr>
              <w:t xml:space="preserve">广州环城地下管廊建设投资有限公司 </w:t>
            </w:r>
          </w:p>
          <w:p>
            <w:pPr>
              <w:pStyle w:val="16"/>
              <w:topLinePunct/>
              <w:snapToGrid w:val="0"/>
              <w:spacing w:line="360" w:lineRule="exact"/>
              <w:ind w:right="174" w:rightChars="83"/>
              <w:rPr>
                <w:rFonts w:eastAsia="宋体"/>
                <w:color w:val="auto"/>
                <w:sz w:val="21"/>
                <w:szCs w:val="21"/>
                <w:highlight w:val="none"/>
                <w:u w:val="single"/>
              </w:rPr>
            </w:pPr>
            <w:r>
              <w:rPr>
                <w:rFonts w:hint="eastAsia" w:hAnsi="宋体" w:eastAsia="宋体"/>
                <w:color w:val="auto"/>
                <w:sz w:val="21"/>
                <w:szCs w:val="21"/>
                <w:highlight w:val="none"/>
              </w:rPr>
              <w:t>招标人地址：</w:t>
            </w:r>
            <w:r>
              <w:rPr>
                <w:rFonts w:hint="eastAsia" w:hAnsi="宋体" w:eastAsia="宋体"/>
                <w:color w:val="auto"/>
                <w:sz w:val="21"/>
                <w:szCs w:val="21"/>
                <w:highlight w:val="none"/>
                <w:u w:val="single"/>
              </w:rPr>
              <w:t>广州市海珠区新港东路1238号万胜广场C塔19楼</w:t>
            </w:r>
          </w:p>
          <w:p>
            <w:pPr>
              <w:pStyle w:val="16"/>
              <w:topLinePunct/>
              <w:snapToGrid w:val="0"/>
              <w:spacing w:line="360" w:lineRule="exact"/>
              <w:ind w:right="174" w:rightChars="83"/>
              <w:rPr>
                <w:rFonts w:eastAsia="宋体"/>
                <w:color w:val="auto"/>
                <w:sz w:val="21"/>
                <w:szCs w:val="21"/>
                <w:highlight w:val="none"/>
                <w:u w:val="single"/>
              </w:rPr>
            </w:pPr>
            <w:r>
              <w:rPr>
                <w:rFonts w:hint="eastAsia" w:hAnsi="宋体" w:eastAsia="宋体"/>
                <w:color w:val="auto"/>
                <w:sz w:val="21"/>
                <w:szCs w:val="21"/>
                <w:highlight w:val="none"/>
                <w:u w:val="single"/>
              </w:rPr>
              <w:t xml:space="preserve">        （项目名称）     </w:t>
            </w:r>
            <w:r>
              <w:rPr>
                <w:rFonts w:hint="eastAsia" w:hAnsi="宋体" w:eastAsia="宋体"/>
                <w:color w:val="auto"/>
                <w:sz w:val="21"/>
                <w:szCs w:val="21"/>
                <w:highlight w:val="none"/>
              </w:rPr>
              <w:t>投标文件</w:t>
            </w:r>
          </w:p>
          <w:p>
            <w:pPr>
              <w:pStyle w:val="16"/>
              <w:topLinePunct/>
              <w:snapToGrid w:val="0"/>
              <w:spacing w:line="360" w:lineRule="exact"/>
              <w:ind w:right="174" w:rightChars="83"/>
              <w:rPr>
                <w:rFonts w:eastAsia="宋体"/>
                <w:color w:val="auto"/>
                <w:sz w:val="21"/>
                <w:szCs w:val="21"/>
                <w:highlight w:val="none"/>
              </w:rPr>
            </w:pPr>
            <w:r>
              <w:rPr>
                <w:rFonts w:hint="eastAsia" w:hAnsi="宋体" w:eastAsia="宋体"/>
                <w:color w:val="auto"/>
                <w:sz w:val="21"/>
                <w:szCs w:val="21"/>
                <w:highlight w:val="none"/>
              </w:rPr>
              <w:t>招标项目编号：</w:t>
            </w:r>
          </w:p>
          <w:p>
            <w:pPr>
              <w:pStyle w:val="16"/>
              <w:topLinePunct/>
              <w:snapToGrid w:val="0"/>
              <w:spacing w:line="360" w:lineRule="exact"/>
              <w:ind w:right="174" w:rightChars="83"/>
              <w:rPr>
                <w:rFonts w:eastAsia="宋体"/>
                <w:color w:val="auto"/>
                <w:sz w:val="21"/>
                <w:szCs w:val="21"/>
                <w:highlight w:val="none"/>
              </w:rPr>
            </w:pPr>
            <w:r>
              <w:rPr>
                <w:rFonts w:hint="eastAsia" w:hAnsi="宋体" w:eastAsia="宋体"/>
                <w:color w:val="auto"/>
                <w:sz w:val="21"/>
                <w:szCs w:val="21"/>
                <w:highlight w:val="none"/>
              </w:rPr>
              <w:t>在年月日时前不得开启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4.2.1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投标截止时间</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s="宋体"/>
                <w:color w:val="auto"/>
                <w:szCs w:val="21"/>
                <w:highlight w:val="none"/>
              </w:rPr>
              <w:t>投标截止时间：</w:t>
            </w:r>
            <w:r>
              <w:rPr>
                <w:rFonts w:hint="eastAsia" w:cs="宋体"/>
                <w:color w:val="auto"/>
                <w:szCs w:val="21"/>
                <w:highlight w:val="none"/>
                <w:u w:val="single"/>
              </w:rPr>
              <w:t xml:space="preserve"> 2022 </w:t>
            </w:r>
            <w:r>
              <w:rPr>
                <w:rFonts w:hint="eastAsia" w:hAnsi="宋体" w:cs="宋体"/>
                <w:color w:val="auto"/>
                <w:szCs w:val="21"/>
                <w:highlight w:val="none"/>
              </w:rPr>
              <w:t>年</w:t>
            </w:r>
            <w:r>
              <w:rPr>
                <w:rFonts w:hint="eastAsia" w:hAnsi="宋体" w:cs="宋体"/>
                <w:color w:val="auto"/>
                <w:szCs w:val="21"/>
                <w:highlight w:val="none"/>
                <w:u w:val="single"/>
                <w:lang w:val="en-US" w:eastAsia="zh-CN"/>
              </w:rPr>
              <w:t>5</w:t>
            </w:r>
            <w:r>
              <w:rPr>
                <w:rFonts w:hint="eastAsia" w:hAnsi="宋体" w:cs="宋体"/>
                <w:color w:val="auto"/>
                <w:szCs w:val="21"/>
                <w:highlight w:val="none"/>
              </w:rPr>
              <w:t>月</w:t>
            </w:r>
            <w:r>
              <w:rPr>
                <w:rFonts w:hint="eastAsia" w:hAnsi="宋体" w:cs="宋体"/>
                <w:color w:val="auto"/>
                <w:szCs w:val="21"/>
                <w:highlight w:val="none"/>
                <w:u w:val="single"/>
                <w:lang w:val="en-US" w:eastAsia="zh-CN"/>
              </w:rPr>
              <w:t>5</w:t>
            </w:r>
            <w:r>
              <w:rPr>
                <w:rFonts w:hint="eastAsia" w:hAnsi="宋体" w:cs="宋体"/>
                <w:color w:val="auto"/>
                <w:szCs w:val="21"/>
                <w:highlight w:val="none"/>
              </w:rPr>
              <w:t>日</w:t>
            </w:r>
            <w:r>
              <w:rPr>
                <w:rFonts w:hint="eastAsia" w:hAnsi="宋体" w:cs="宋体"/>
                <w:color w:val="auto"/>
                <w:szCs w:val="21"/>
                <w:highlight w:val="none"/>
                <w:u w:val="single"/>
                <w:lang w:val="en-US" w:eastAsia="zh-CN"/>
              </w:rPr>
              <w:t>10</w:t>
            </w:r>
            <w:r>
              <w:rPr>
                <w:rFonts w:hint="eastAsia" w:hAnsi="宋体" w:cs="宋体"/>
                <w:color w:val="auto"/>
                <w:szCs w:val="21"/>
                <w:highlight w:val="none"/>
              </w:rPr>
              <w:t>时</w:t>
            </w:r>
            <w:bookmarkStart w:id="532" w:name="_GoBack"/>
            <w:r>
              <w:rPr>
                <w:rFonts w:hint="eastAsia" w:hAnsi="宋体" w:cs="宋体"/>
                <w:color w:val="auto"/>
                <w:szCs w:val="21"/>
                <w:highlight w:val="none"/>
                <w:u w:val="single"/>
                <w:lang w:val="en-US" w:eastAsia="zh-CN"/>
              </w:rPr>
              <w:t>30</w:t>
            </w:r>
            <w:bookmarkEnd w:id="532"/>
            <w:r>
              <w:rPr>
                <w:rFonts w:hint="eastAsia" w:hAnsi="宋体" w:cs="宋体"/>
                <w:color w:val="auto"/>
                <w:szCs w:val="21"/>
                <w:highlight w:val="none"/>
              </w:rPr>
              <w:t>分（北京时间）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color w:val="auto"/>
                <w:highlight w:val="none"/>
              </w:rPr>
              <w:t>4.2.2</w:t>
            </w:r>
          </w:p>
        </w:tc>
        <w:tc>
          <w:tcPr>
            <w:tcW w:w="234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Ansi="宋体"/>
                <w:color w:val="auto"/>
                <w:highlight w:val="none"/>
              </w:rPr>
            </w:pPr>
            <w:r>
              <w:rPr>
                <w:rFonts w:hint="eastAsia" w:ascii="宋体" w:hAnsi="宋体" w:cs="宋体"/>
                <w:color w:val="auto"/>
                <w:szCs w:val="21"/>
                <w:highlight w:val="none"/>
              </w:rPr>
              <w:t>递交电子投标文件交易平台</w:t>
            </w:r>
          </w:p>
        </w:tc>
        <w:tc>
          <w:tcPr>
            <w:tcW w:w="60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1.递交方式：网上递交投标文件 </w:t>
            </w:r>
          </w:p>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2.递交投标文件的起始时间：（详见广州公共资源交易中心网站信息）。</w:t>
            </w:r>
          </w:p>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截止时间：（详见广州公共资源交易中心网站信息）</w:t>
            </w:r>
          </w:p>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3.地点：广州公共资源交易中心网站。 </w:t>
            </w:r>
          </w:p>
          <w:p>
            <w:pPr>
              <w:snapToGrid w:val="0"/>
              <w:spacing w:line="360" w:lineRule="exact"/>
              <w:rPr>
                <w:rFonts w:hAnsi="宋体" w:cs="宋体"/>
                <w:color w:val="auto"/>
                <w:szCs w:val="21"/>
                <w:highlight w:val="none"/>
              </w:rPr>
            </w:pPr>
            <w:r>
              <w:rPr>
                <w:rFonts w:hint="eastAsia" w:ascii="宋体" w:hAnsi="宋体" w:cs="宋体"/>
                <w:color w:val="auto"/>
                <w:szCs w:val="21"/>
                <w:highlight w:val="none"/>
                <w:u w:val="single"/>
              </w:rPr>
              <w:t>4.上述时间及地点是否有改变，请密切留意招标答疑中的相关信息。也可登录广州公共资源交易中心网站首页，点击“项目查询（日程安排、答疑纪要）”专栏中的“项目查询”，输入项目编号或项目名称查询最新信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4.2.3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投标文件是否退还</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rPr>
            </w:pPr>
            <w:r>
              <w:rPr>
                <w:rFonts w:hint="eastAsia" w:eastAsia="宋体"/>
                <w:color w:val="auto"/>
                <w:sz w:val="21"/>
                <w:szCs w:val="21"/>
                <w:highlight w:val="none"/>
              </w:rPr>
              <w:t>■</w:t>
            </w:r>
            <w:r>
              <w:rPr>
                <w:rFonts w:hint="eastAsia" w:hAnsi="宋体" w:eastAsia="宋体"/>
                <w:color w:val="auto"/>
                <w:sz w:val="21"/>
                <w:szCs w:val="21"/>
                <w:highlight w:val="none"/>
              </w:rPr>
              <w:t>否</w:t>
            </w:r>
          </w:p>
          <w:p>
            <w:pPr>
              <w:pStyle w:val="16"/>
              <w:topLinePunct/>
              <w:spacing w:after="0" w:line="360" w:lineRule="exact"/>
              <w:ind w:left="40" w:leftChars="19" w:right="107" w:rightChars="51"/>
              <w:rPr>
                <w:rFonts w:eastAsia="宋体"/>
                <w:color w:val="auto"/>
                <w:sz w:val="21"/>
                <w:szCs w:val="21"/>
                <w:highlight w:val="none"/>
              </w:rPr>
            </w:pPr>
            <w:r>
              <w:rPr>
                <w:rFonts w:hint="eastAsia"/>
                <w:color w:val="auto"/>
                <w:szCs w:val="21"/>
                <w:highlight w:val="none"/>
              </w:rPr>
              <w:t>□</w:t>
            </w:r>
            <w:r>
              <w:rPr>
                <w:rFonts w:hint="eastAsia" w:hAnsi="宋体" w:eastAsia="宋体"/>
                <w:color w:val="auto"/>
                <w:sz w:val="21"/>
                <w:szCs w:val="21"/>
                <w:highlight w:val="none"/>
              </w:rPr>
              <w:t>是，退还时间：</w:t>
            </w:r>
          </w:p>
        </w:tc>
      </w:tr>
      <w:tr>
        <w:tblPrEx>
          <w:tblCellMar>
            <w:top w:w="0" w:type="dxa"/>
            <w:left w:w="108" w:type="dxa"/>
            <w:bottom w:w="0" w:type="dxa"/>
            <w:right w:w="108" w:type="dxa"/>
          </w:tblCellMar>
        </w:tblPrEx>
        <w:trPr>
          <w:cantSplit/>
          <w:trHeight w:val="545" w:hRule="atLeast"/>
        </w:trPr>
        <w:tc>
          <w:tcPr>
            <w:tcW w:w="1165" w:type="dxa"/>
            <w:tcBorders>
              <w:top w:val="single" w:color="auto" w:sz="4" w:space="0"/>
              <w:left w:val="single" w:color="auto" w:sz="4" w:space="0"/>
              <w:bottom w:val="nil"/>
              <w:right w:val="single" w:color="auto" w:sz="4" w:space="0"/>
            </w:tcBorders>
            <w:vAlign w:val="center"/>
          </w:tcPr>
          <w:p>
            <w:pPr>
              <w:spacing w:line="360" w:lineRule="exact"/>
              <w:jc w:val="center"/>
              <w:rPr>
                <w:color w:val="auto"/>
                <w:highlight w:val="none"/>
              </w:rPr>
            </w:pPr>
            <w:r>
              <w:rPr>
                <w:color w:val="auto"/>
                <w:highlight w:val="none"/>
              </w:rPr>
              <w:t>5.1</w:t>
            </w:r>
          </w:p>
          <w:p>
            <w:pPr>
              <w:spacing w:line="360" w:lineRule="exact"/>
              <w:jc w:val="center"/>
              <w:rPr>
                <w:color w:val="auto"/>
                <w:highlight w:val="none"/>
              </w:rPr>
            </w:pPr>
            <w:r>
              <w:rPr>
                <w:rFonts w:hint="eastAsia" w:hAnsi="宋体"/>
                <w:color w:val="auto"/>
                <w:highlight w:val="none"/>
              </w:rPr>
              <w:t>（修改）</w:t>
            </w:r>
          </w:p>
        </w:tc>
        <w:tc>
          <w:tcPr>
            <w:tcW w:w="2345" w:type="dxa"/>
            <w:tcBorders>
              <w:top w:val="single" w:color="auto" w:sz="4" w:space="0"/>
              <w:left w:val="single" w:color="auto" w:sz="4" w:space="0"/>
              <w:bottom w:val="nil"/>
              <w:right w:val="single" w:color="auto" w:sz="4" w:space="0"/>
            </w:tcBorders>
            <w:vAlign w:val="center"/>
          </w:tcPr>
          <w:p>
            <w:pPr>
              <w:spacing w:line="360" w:lineRule="exact"/>
              <w:jc w:val="center"/>
              <w:rPr>
                <w:color w:val="auto"/>
                <w:highlight w:val="none"/>
              </w:rPr>
            </w:pPr>
            <w:r>
              <w:rPr>
                <w:rFonts w:hint="eastAsia" w:hAnsi="宋体"/>
                <w:color w:val="auto"/>
                <w:highlight w:val="none"/>
              </w:rPr>
              <w:t>开标时间和地点</w:t>
            </w:r>
          </w:p>
        </w:tc>
        <w:tc>
          <w:tcPr>
            <w:tcW w:w="6096" w:type="dxa"/>
            <w:tcBorders>
              <w:top w:val="single" w:color="auto" w:sz="4" w:space="0"/>
              <w:left w:val="single" w:color="auto" w:sz="4" w:space="0"/>
              <w:bottom w:val="nil"/>
              <w:right w:val="single" w:color="auto" w:sz="4" w:space="0"/>
            </w:tcBorders>
            <w:vAlign w:val="center"/>
          </w:tcPr>
          <w:p>
            <w:pPr>
              <w:spacing w:line="360" w:lineRule="exact"/>
              <w:rPr>
                <w:rFonts w:cs="宋体"/>
                <w:color w:val="auto"/>
                <w:szCs w:val="21"/>
                <w:highlight w:val="none"/>
              </w:rPr>
            </w:pPr>
            <w:r>
              <w:rPr>
                <w:rFonts w:hint="eastAsia" w:hAnsi="宋体"/>
                <w:color w:val="auto"/>
                <w:szCs w:val="21"/>
                <w:highlight w:val="none"/>
              </w:rPr>
              <w:t>本电子招投标项目在本章</w:t>
            </w:r>
            <w:r>
              <w:rPr>
                <w:rFonts w:hint="eastAsia"/>
                <w:color w:val="auto"/>
                <w:szCs w:val="21"/>
                <w:highlight w:val="none"/>
              </w:rPr>
              <w:t>4.2.1</w:t>
            </w:r>
            <w:r>
              <w:rPr>
                <w:rFonts w:hint="eastAsia" w:hAnsi="宋体"/>
                <w:color w:val="auto"/>
                <w:szCs w:val="21"/>
                <w:highlight w:val="none"/>
              </w:rPr>
              <w:t>项规定的投标截止时间（开标时间），在广州公共资源交易中心公开开标，并邀请所有投标人的法定代表人（单位负责人）或其委托代理人准时参加。开标时，投标人代表有权出席开标会，也可以自主决定不参加开标会，若投标人代表对开标过程提出异议，该投标人代表须同时出示本人身份证原件。</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360" w:lineRule="exact"/>
              <w:jc w:val="center"/>
              <w:rPr>
                <w:color w:val="auto"/>
                <w:highlight w:val="none"/>
              </w:rPr>
            </w:pPr>
            <w:r>
              <w:rPr>
                <w:color w:val="auto"/>
                <w:highlight w:val="none"/>
              </w:rPr>
              <w:t>5.</w:t>
            </w:r>
            <w:r>
              <w:rPr>
                <w:rFonts w:hint="eastAsia"/>
                <w:color w:val="auto"/>
                <w:highlight w:val="none"/>
              </w:rPr>
              <w:t>2</w:t>
            </w:r>
          </w:p>
          <w:p>
            <w:pPr>
              <w:spacing w:line="360" w:lineRule="exact"/>
              <w:jc w:val="center"/>
              <w:rPr>
                <w:color w:val="auto"/>
                <w:highlight w:val="none"/>
              </w:rPr>
            </w:pPr>
            <w:r>
              <w:rPr>
                <w:rFonts w:hint="eastAsia" w:hAnsi="宋体"/>
                <w:color w:val="auto"/>
                <w:highlight w:val="none"/>
              </w:rPr>
              <w:t>（新增）</w:t>
            </w:r>
          </w:p>
        </w:tc>
        <w:tc>
          <w:tcPr>
            <w:tcW w:w="2345" w:type="dxa"/>
            <w:tcBorders>
              <w:top w:val="single" w:color="auto" w:sz="4" w:space="0"/>
              <w:left w:val="single" w:color="auto" w:sz="4" w:space="0"/>
              <w:bottom w:val="nil"/>
              <w:right w:val="single" w:color="auto" w:sz="4" w:space="0"/>
            </w:tcBorders>
            <w:vAlign w:val="center"/>
          </w:tcPr>
          <w:p>
            <w:pPr>
              <w:spacing w:line="360" w:lineRule="exact"/>
              <w:jc w:val="center"/>
              <w:rPr>
                <w:color w:val="auto"/>
                <w:highlight w:val="none"/>
              </w:rPr>
            </w:pPr>
            <w:r>
              <w:rPr>
                <w:rFonts w:hint="eastAsia" w:hAnsi="宋体"/>
                <w:color w:val="auto"/>
                <w:highlight w:val="none"/>
              </w:rPr>
              <w:t>开标程序</w:t>
            </w:r>
          </w:p>
        </w:tc>
        <w:tc>
          <w:tcPr>
            <w:tcW w:w="6096" w:type="dxa"/>
            <w:tcBorders>
              <w:top w:val="single" w:color="auto" w:sz="4" w:space="0"/>
              <w:left w:val="single" w:color="auto" w:sz="4" w:space="0"/>
              <w:bottom w:val="nil"/>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电子招投标项目开标按下列程序进行：</w:t>
            </w:r>
          </w:p>
          <w:p>
            <w:pPr>
              <w:spacing w:line="360" w:lineRule="exact"/>
              <w:ind w:left="40" w:leftChars="19" w:right="107" w:rightChars="51"/>
              <w:rPr>
                <w:color w:val="auto"/>
                <w:szCs w:val="21"/>
                <w:highlight w:val="none"/>
              </w:rPr>
            </w:pPr>
            <w:r>
              <w:rPr>
                <w:color w:val="auto"/>
                <w:szCs w:val="21"/>
                <w:highlight w:val="none"/>
              </w:rPr>
              <w:t>5.2.1</w:t>
            </w:r>
            <w:r>
              <w:rPr>
                <w:rFonts w:hint="eastAsia" w:hAnsi="宋体"/>
                <w:color w:val="auto"/>
                <w:szCs w:val="21"/>
                <w:highlight w:val="none"/>
              </w:rPr>
              <w:t>主持人按下列程序进行开标：</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）宣布开标纪律；</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）公布在投标截止时间前递交投标文件的投标人名称；</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）宣布开标人、唱标人、记录人、监标人等有关人员姓名；</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）投标人通过电子招标投标交易平台对已递交的电子投标文件进行解密，公布招标项目名称、投标人名称、投标保证金的递交情况、投标报价、检测服务期限及其他内容，并记录在案；</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）投标人代表、招标人代表、监标人、记录人等有关人员在开标记录上签字确认；若有关人员不签字的，不影响开标程序；</w:t>
            </w:r>
          </w:p>
          <w:p>
            <w:pPr>
              <w:spacing w:line="360" w:lineRule="exact"/>
              <w:ind w:left="40" w:leftChars="19" w:right="107" w:rightChars="51"/>
              <w:rPr>
                <w:color w:val="auto"/>
                <w:szCs w:val="21"/>
                <w:highlight w:val="none"/>
              </w:rPr>
            </w:pPr>
            <w:r>
              <w:rPr>
                <w:rFonts w:hint="eastAsia" w:hAnsi="宋体"/>
                <w:color w:val="auto"/>
                <w:szCs w:val="21"/>
                <w:highlight w:val="none"/>
              </w:rPr>
              <w:t>（</w:t>
            </w:r>
            <w:r>
              <w:rPr>
                <w:color w:val="auto"/>
                <w:szCs w:val="21"/>
                <w:highlight w:val="none"/>
              </w:rPr>
              <w:t>6</w:t>
            </w:r>
            <w:r>
              <w:rPr>
                <w:rFonts w:hint="eastAsia" w:hAnsi="宋体"/>
                <w:color w:val="auto"/>
                <w:szCs w:val="21"/>
                <w:highlight w:val="none"/>
              </w:rPr>
              <w:t>）开标结束。</w:t>
            </w:r>
          </w:p>
          <w:p>
            <w:pPr>
              <w:spacing w:line="360" w:lineRule="exact"/>
              <w:ind w:left="40" w:leftChars="19" w:right="107" w:rightChars="51"/>
              <w:rPr>
                <w:color w:val="auto"/>
                <w:szCs w:val="21"/>
                <w:highlight w:val="none"/>
              </w:rPr>
            </w:pPr>
            <w:r>
              <w:rPr>
                <w:color w:val="auto"/>
                <w:szCs w:val="21"/>
                <w:highlight w:val="none"/>
              </w:rPr>
              <w:t>5.2.2</w:t>
            </w:r>
            <w:r>
              <w:rPr>
                <w:rFonts w:hint="eastAsia" w:hAnsi="宋体"/>
                <w:color w:val="auto"/>
                <w:szCs w:val="21"/>
                <w:highlight w:val="none"/>
              </w:rPr>
              <w:t>投标截止时间前未完成投标文件传输的或因投标人之外的原因造成投标文件未解密的，视为投标人其撤回投标文件。因投标人原因造成投标文件未解密的或未在投标截止时间后</w:t>
            </w:r>
            <w:r>
              <w:rPr>
                <w:rFonts w:hint="eastAsia" w:hAnsi="宋体"/>
                <w:color w:val="auto"/>
                <w:szCs w:val="21"/>
                <w:highlight w:val="none"/>
                <w:u w:val="single"/>
              </w:rPr>
              <w:t>半小时内</w:t>
            </w:r>
            <w:r>
              <w:rPr>
                <w:rFonts w:hint="eastAsia" w:hAnsi="宋体"/>
                <w:color w:val="auto"/>
                <w:szCs w:val="21"/>
                <w:highlight w:val="none"/>
              </w:rPr>
              <w:t>解密的，视为撤销其投标文件。</w:t>
            </w:r>
          </w:p>
          <w:p>
            <w:pPr>
              <w:spacing w:line="360" w:lineRule="exact"/>
              <w:ind w:left="40" w:leftChars="19" w:right="107" w:rightChars="51"/>
              <w:rPr>
                <w:color w:val="auto"/>
                <w:szCs w:val="21"/>
                <w:highlight w:val="none"/>
              </w:rPr>
            </w:pPr>
            <w:r>
              <w:rPr>
                <w:color w:val="auto"/>
                <w:szCs w:val="21"/>
                <w:highlight w:val="none"/>
              </w:rPr>
              <w:t>5.2.3</w:t>
            </w:r>
            <w:r>
              <w:rPr>
                <w:rFonts w:hint="eastAsia" w:hAnsi="宋体"/>
                <w:color w:val="auto"/>
                <w:szCs w:val="21"/>
                <w:highlight w:val="none"/>
              </w:rPr>
              <w:t>开标时，两个（含两个）以上的投标人加密打包投标文件电脑机器特征码一致的，不参与下一程序，并由评标委员会否决其投标。</w:t>
            </w:r>
          </w:p>
        </w:tc>
      </w:tr>
      <w:tr>
        <w:tblPrEx>
          <w:tblCellMar>
            <w:top w:w="0" w:type="dxa"/>
            <w:left w:w="108" w:type="dxa"/>
            <w:bottom w:w="0" w:type="dxa"/>
            <w:right w:w="108" w:type="dxa"/>
          </w:tblCellMar>
        </w:tblPrEx>
        <w:trPr>
          <w:trHeight w:val="59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6.1.1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评标委员会的组建</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u w:val="single"/>
              </w:rPr>
            </w:pPr>
            <w:r>
              <w:rPr>
                <w:rFonts w:hint="eastAsia" w:hAnsi="宋体" w:cs="宋体"/>
                <w:color w:val="auto"/>
                <w:szCs w:val="21"/>
                <w:highlight w:val="none"/>
                <w:u w:val="single"/>
              </w:rPr>
              <w:t>由招标人依法组建。</w:t>
            </w:r>
          </w:p>
        </w:tc>
      </w:tr>
      <w:tr>
        <w:tblPrEx>
          <w:tblCellMar>
            <w:top w:w="0" w:type="dxa"/>
            <w:left w:w="108" w:type="dxa"/>
            <w:bottom w:w="0" w:type="dxa"/>
            <w:right w:w="108" w:type="dxa"/>
          </w:tblCellMar>
        </w:tblPrEx>
        <w:trPr>
          <w:trHeight w:val="55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6.3.2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评标委员会推荐中标候选人的人数</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u w:val="single"/>
              </w:rPr>
            </w:pPr>
            <w:r>
              <w:rPr>
                <w:rFonts w:hint="eastAsia" w:hAnsi="宋体"/>
                <w:color w:val="auto"/>
                <w:szCs w:val="21"/>
                <w:highlight w:val="none"/>
                <w:u w:val="single"/>
              </w:rPr>
              <w:t>推荐</w:t>
            </w:r>
            <w:r>
              <w:rPr>
                <w:rFonts w:hint="eastAsia"/>
                <w:color w:val="auto"/>
                <w:szCs w:val="21"/>
                <w:highlight w:val="none"/>
                <w:u w:val="single"/>
              </w:rPr>
              <w:t>3</w:t>
            </w:r>
            <w:r>
              <w:rPr>
                <w:rFonts w:hint="eastAsia" w:hAnsi="宋体"/>
                <w:color w:val="auto"/>
                <w:szCs w:val="21"/>
                <w:highlight w:val="none"/>
                <w:u w:val="single"/>
              </w:rPr>
              <w:t>名中标候选人</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7.1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中标候选人公示媒介及期限</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rFonts w:hint="eastAsia" w:hAnsi="宋体"/>
                <w:color w:val="auto"/>
                <w:szCs w:val="21"/>
                <w:highlight w:val="none"/>
              </w:rPr>
              <w:t>公示媒介：</w:t>
            </w:r>
            <w:r>
              <w:rPr>
                <w:rFonts w:hAnsi="宋体"/>
                <w:color w:val="auto"/>
                <w:szCs w:val="21"/>
                <w:highlight w:val="none"/>
                <w:u w:val="single"/>
              </w:rPr>
              <w:t>中国招标投标公共服务平台</w:t>
            </w:r>
            <w:r>
              <w:rPr>
                <w:rFonts w:hint="eastAsia" w:hAnsi="宋体"/>
                <w:color w:val="auto"/>
                <w:szCs w:val="21"/>
                <w:highlight w:val="none"/>
                <w:u w:val="single"/>
              </w:rPr>
              <w:t>、广东省招标投标监管网、广州公共资源交易中心网站</w:t>
            </w:r>
          </w:p>
          <w:p>
            <w:pPr>
              <w:spacing w:line="360" w:lineRule="exact"/>
              <w:ind w:left="40" w:leftChars="19" w:right="107" w:rightChars="51"/>
              <w:rPr>
                <w:color w:val="auto"/>
                <w:szCs w:val="21"/>
                <w:highlight w:val="none"/>
              </w:rPr>
            </w:pPr>
            <w:r>
              <w:rPr>
                <w:rFonts w:hint="eastAsia" w:hAnsi="宋体"/>
                <w:color w:val="auto"/>
                <w:szCs w:val="21"/>
                <w:highlight w:val="none"/>
              </w:rPr>
              <w:t>公示期限：</w:t>
            </w:r>
            <w:r>
              <w:rPr>
                <w:rFonts w:hint="eastAsia"/>
                <w:color w:val="auto"/>
                <w:szCs w:val="21"/>
                <w:highlight w:val="none"/>
                <w:u w:val="single"/>
              </w:rPr>
              <w:t>3</w:t>
            </w:r>
            <w:r>
              <w:rPr>
                <w:rFonts w:hint="eastAsia" w:hAnsi="宋体"/>
                <w:color w:val="auto"/>
                <w:szCs w:val="21"/>
                <w:highlight w:val="none"/>
              </w:rPr>
              <w:t>日</w:t>
            </w:r>
          </w:p>
        </w:tc>
      </w:tr>
      <w:tr>
        <w:tblPrEx>
          <w:tblCellMar>
            <w:top w:w="0" w:type="dxa"/>
            <w:left w:w="108" w:type="dxa"/>
            <w:bottom w:w="0" w:type="dxa"/>
            <w:right w:w="108" w:type="dxa"/>
          </w:tblCellMar>
        </w:tblPrEx>
        <w:trPr>
          <w:trHeight w:val="73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7.4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是否授权评标委员会确定中标人</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color w:val="auto"/>
                <w:szCs w:val="21"/>
                <w:highlight w:val="none"/>
              </w:rPr>
              <w:t>□</w:t>
            </w:r>
            <w:r>
              <w:rPr>
                <w:rFonts w:hint="eastAsia" w:hAnsi="宋体"/>
                <w:color w:val="auto"/>
                <w:szCs w:val="21"/>
                <w:highlight w:val="none"/>
              </w:rPr>
              <w:t>是</w:t>
            </w:r>
          </w:p>
          <w:p>
            <w:pPr>
              <w:spacing w:line="360" w:lineRule="exact"/>
              <w:ind w:left="40" w:leftChars="19" w:right="107" w:rightChars="51"/>
              <w:rPr>
                <w:color w:val="auto"/>
                <w:szCs w:val="21"/>
                <w:highlight w:val="none"/>
                <w:u w:val="single"/>
              </w:rPr>
            </w:pPr>
            <w:r>
              <w:rPr>
                <w:rFonts w:hint="eastAsia"/>
                <w:color w:val="auto"/>
                <w:szCs w:val="21"/>
                <w:highlight w:val="none"/>
              </w:rPr>
              <w:t>■</w:t>
            </w:r>
            <w:r>
              <w:rPr>
                <w:rFonts w:hint="eastAsia" w:hAnsi="宋体"/>
                <w:color w:val="auto"/>
                <w:szCs w:val="21"/>
                <w:highlight w:val="none"/>
              </w:rPr>
              <w:t>否</w:t>
            </w:r>
          </w:p>
        </w:tc>
      </w:tr>
      <w:tr>
        <w:tblPrEx>
          <w:tblCellMar>
            <w:top w:w="0" w:type="dxa"/>
            <w:left w:w="108" w:type="dxa"/>
            <w:bottom w:w="0" w:type="dxa"/>
            <w:right w:w="108" w:type="dxa"/>
          </w:tblCellMar>
        </w:tblPrEx>
        <w:trPr>
          <w:trHeight w:val="49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7.6.1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履约保证金</w:t>
            </w:r>
          </w:p>
        </w:tc>
        <w:tc>
          <w:tcPr>
            <w:tcW w:w="6096"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ind w:left="40" w:leftChars="19" w:right="107" w:rightChars="51"/>
              <w:rPr>
                <w:rFonts w:eastAsia="宋体"/>
                <w:color w:val="auto"/>
                <w:sz w:val="21"/>
                <w:szCs w:val="21"/>
                <w:highlight w:val="none"/>
              </w:rPr>
            </w:pPr>
            <w:r>
              <w:rPr>
                <w:rFonts w:hint="eastAsia" w:hAnsi="宋体" w:eastAsia="宋体"/>
                <w:color w:val="auto"/>
                <w:sz w:val="21"/>
                <w:szCs w:val="21"/>
                <w:highlight w:val="none"/>
              </w:rPr>
              <w:t>是否要求中标人提交履约保证金：</w:t>
            </w:r>
          </w:p>
          <w:p>
            <w:pPr>
              <w:pStyle w:val="16"/>
              <w:topLinePunct/>
              <w:spacing w:after="0" w:line="360" w:lineRule="exact"/>
              <w:ind w:left="40" w:leftChars="19" w:right="107" w:rightChars="51"/>
              <w:rPr>
                <w:rFonts w:eastAsia="宋体"/>
                <w:color w:val="auto"/>
                <w:sz w:val="21"/>
                <w:szCs w:val="21"/>
                <w:highlight w:val="none"/>
              </w:rPr>
            </w:pPr>
            <w:r>
              <w:rPr>
                <w:rFonts w:hint="eastAsia" w:eastAsia="宋体"/>
                <w:color w:val="auto"/>
                <w:sz w:val="21"/>
                <w:szCs w:val="21"/>
                <w:highlight w:val="none"/>
              </w:rPr>
              <w:t>■</w:t>
            </w:r>
            <w:r>
              <w:rPr>
                <w:rFonts w:hint="eastAsia" w:hAnsi="宋体" w:eastAsia="宋体"/>
                <w:color w:val="auto"/>
                <w:sz w:val="21"/>
                <w:szCs w:val="21"/>
                <w:highlight w:val="none"/>
              </w:rPr>
              <w:t>要求，履约保证金的形式：</w:t>
            </w:r>
            <w:r>
              <w:rPr>
                <w:rFonts w:hint="eastAsia" w:hAnsi="宋体" w:eastAsia="宋体"/>
                <w:color w:val="auto"/>
                <w:sz w:val="21"/>
                <w:szCs w:val="21"/>
                <w:highlight w:val="none"/>
                <w:u w:val="single"/>
              </w:rPr>
              <w:t>银行保函</w:t>
            </w:r>
          </w:p>
          <w:p>
            <w:pPr>
              <w:spacing w:line="360" w:lineRule="exact"/>
              <w:ind w:left="40" w:leftChars="19" w:right="107" w:rightChars="51"/>
              <w:rPr>
                <w:color w:val="auto"/>
                <w:szCs w:val="21"/>
                <w:highlight w:val="none"/>
              </w:rPr>
            </w:pPr>
            <w:r>
              <w:rPr>
                <w:rFonts w:hint="eastAsia" w:hAnsi="宋体"/>
                <w:color w:val="auto"/>
                <w:szCs w:val="21"/>
                <w:highlight w:val="none"/>
              </w:rPr>
              <w:t>履约保证金的金额：</w:t>
            </w:r>
            <w:r>
              <w:rPr>
                <w:rFonts w:hint="eastAsia" w:hAnsi="宋体"/>
                <w:color w:val="auto"/>
                <w:szCs w:val="21"/>
                <w:highlight w:val="none"/>
                <w:u w:val="single"/>
              </w:rPr>
              <w:t>中标价款的</w:t>
            </w:r>
            <w:r>
              <w:rPr>
                <w:rFonts w:hint="eastAsia"/>
                <w:color w:val="auto"/>
                <w:szCs w:val="21"/>
                <w:highlight w:val="none"/>
                <w:u w:val="single"/>
              </w:rPr>
              <w:t>5%</w:t>
            </w:r>
            <w:r>
              <w:rPr>
                <w:rFonts w:hint="eastAsia" w:hAnsi="宋体"/>
                <w:color w:val="auto"/>
                <w:szCs w:val="21"/>
                <w:highlight w:val="none"/>
                <w:u w:val="single"/>
              </w:rPr>
              <w:t>，须在中国境内银行开具的无条件、不可撤销、见索即付的保函。</w:t>
            </w:r>
          </w:p>
          <w:p>
            <w:pPr>
              <w:pStyle w:val="16"/>
              <w:topLinePunct/>
              <w:spacing w:after="0" w:line="360" w:lineRule="exact"/>
              <w:ind w:left="40" w:leftChars="19" w:right="107" w:rightChars="51"/>
              <w:rPr>
                <w:rFonts w:eastAsia="宋体"/>
                <w:color w:val="auto"/>
                <w:sz w:val="21"/>
                <w:szCs w:val="21"/>
                <w:highlight w:val="none"/>
              </w:rPr>
            </w:pPr>
            <w:r>
              <w:rPr>
                <w:rFonts w:eastAsia="宋体"/>
                <w:color w:val="auto"/>
                <w:sz w:val="21"/>
                <w:szCs w:val="21"/>
                <w:highlight w:val="none"/>
              </w:rPr>
              <w:t>□</w:t>
            </w:r>
            <w:r>
              <w:rPr>
                <w:rFonts w:hint="eastAsia" w:hAnsi="宋体" w:eastAsia="宋体"/>
                <w:color w:val="auto"/>
                <w:sz w:val="21"/>
                <w:szCs w:val="21"/>
                <w:highlight w:val="none"/>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color w:val="auto"/>
                <w:highlight w:val="none"/>
              </w:rPr>
              <w:t>9</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hAnsi="宋体"/>
                <w:color w:val="auto"/>
                <w:highlight w:val="none"/>
              </w:rPr>
              <w:t>是否采用电子招标投标</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rPr>
                <w:color w:val="auto"/>
                <w:szCs w:val="21"/>
                <w:highlight w:val="none"/>
              </w:rPr>
            </w:pPr>
            <w:r>
              <w:rPr>
                <w:color w:val="auto"/>
                <w:szCs w:val="21"/>
                <w:highlight w:val="none"/>
              </w:rPr>
              <w:t>□</w:t>
            </w:r>
            <w:r>
              <w:rPr>
                <w:rFonts w:hint="eastAsia" w:hAnsi="宋体"/>
                <w:color w:val="auto"/>
                <w:szCs w:val="21"/>
                <w:highlight w:val="none"/>
              </w:rPr>
              <w:t>否</w:t>
            </w:r>
          </w:p>
          <w:p>
            <w:pPr>
              <w:spacing w:line="360" w:lineRule="auto"/>
              <w:rPr>
                <w:rFonts w:ascii="宋体" w:hAnsi="宋体" w:cs="宋体"/>
                <w:color w:val="auto"/>
                <w:szCs w:val="21"/>
                <w:highlight w:val="none"/>
              </w:rPr>
            </w:pPr>
            <w:r>
              <w:rPr>
                <w:rFonts w:hint="eastAsia"/>
                <w:color w:val="auto"/>
                <w:szCs w:val="21"/>
                <w:highlight w:val="none"/>
              </w:rPr>
              <w:t>■</w:t>
            </w:r>
            <w:r>
              <w:rPr>
                <w:rFonts w:hint="eastAsia" w:hAnsi="宋体"/>
                <w:color w:val="auto"/>
                <w:szCs w:val="21"/>
                <w:highlight w:val="none"/>
              </w:rPr>
              <w:t>是，</w:t>
            </w:r>
            <w:r>
              <w:rPr>
                <w:rFonts w:hint="eastAsia" w:ascii="宋体" w:hAnsi="宋体" w:cs="宋体"/>
                <w:color w:val="auto"/>
                <w:szCs w:val="21"/>
                <w:highlight w:val="none"/>
              </w:rPr>
              <w:t>具体要求：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1、具体操作详见</w:t>
            </w:r>
            <w:r>
              <w:rPr>
                <w:rFonts w:hint="eastAsia" w:ascii="宋体" w:hAnsi="宋体" w:cs="宋体"/>
                <w:b/>
                <w:color w:val="auto"/>
                <w:szCs w:val="21"/>
                <w:highlight w:val="none"/>
                <w:u w:val="single"/>
              </w:rPr>
              <w:t>《房屋建筑和市政基础设施工程全流程电子化项目专章（最新版）》，</w:t>
            </w:r>
            <w:r>
              <w:rPr>
                <w:rFonts w:hint="eastAsia" w:ascii="宋体" w:hAnsi="宋体" w:cs="宋体"/>
                <w:color w:val="auto"/>
                <w:szCs w:val="21"/>
                <w:highlight w:val="none"/>
              </w:rPr>
              <w:t>投标文件应按《 房屋建筑和市政基础设施工程全流程电子化项目专章 》编制。如不按上述要求编制引起系统无法检索、读取相关信息的，其后果由投标人承担。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（1）投标人将按</w:t>
            </w:r>
            <w:r>
              <w:rPr>
                <w:rFonts w:hint="eastAsia" w:ascii="宋体" w:hAnsi="宋体" w:cs="宋体"/>
                <w:b/>
                <w:color w:val="auto"/>
                <w:szCs w:val="21"/>
                <w:highlight w:val="none"/>
                <w:u w:val="single"/>
              </w:rPr>
              <w:t>《房屋建筑和市政基础设施工程全流程电子化项目专章（最新版）》</w:t>
            </w:r>
            <w:r>
              <w:rPr>
                <w:rFonts w:hint="eastAsia" w:ascii="宋体" w:hAnsi="宋体" w:cs="宋体"/>
                <w:color w:val="auto"/>
                <w:szCs w:val="21"/>
                <w:highlight w:val="none"/>
                <w:u w:val="single"/>
              </w:rPr>
              <w:t>的操作方法制作非加密的电子投标文件（PDF格式）刻入光盘（1份），在截至投标前15分钟提交至广州公共资源交易中心   开标室。</w:t>
            </w:r>
            <w:r>
              <w:rPr>
                <w:rFonts w:hint="eastAsia" w:ascii="宋体" w:hAnsi="宋体" w:cs="宋体"/>
                <w:color w:val="auto"/>
                <w:szCs w:val="21"/>
                <w:highlight w:val="none"/>
              </w:rPr>
              <w:t>刻录好的投标文件光盘密封在密封袋中，</w:t>
            </w:r>
            <w:r>
              <w:rPr>
                <w:rFonts w:hint="eastAsia" w:ascii="宋体" w:hAnsi="宋体" w:cs="宋体"/>
                <w:color w:val="auto"/>
                <w:szCs w:val="21"/>
                <w:highlight w:val="none"/>
                <w:u w:val="single"/>
              </w:rPr>
              <w:t>并在封口处加盖投标人单位公章。密封袋上应写明项目名称和招标人名称。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（2）递交的投标文件（光盘）不得加密。光盘（投标文件）无法读取或导入的，则视为未提交备用投标文件光盘。如果投标人没有按规定通过交易平台网上递交电子投标文件的，不再接受提交的光盘。</w:t>
            </w:r>
            <w:r>
              <w:rPr>
                <w:rFonts w:hint="eastAsia" w:ascii="宋体" w:hAnsi="宋体" w:cs="宋体"/>
                <w:color w:val="auto"/>
                <w:szCs w:val="21"/>
                <w:highlight w:val="none"/>
                <w:u w:val="single"/>
              </w:rPr>
              <w:t>投标人可选择不提交光盘备用。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3、补救方案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若遇不可抗力发生（如：网络瘫痪、服务器损坏、交易系统故障短期无法恢复等因素），由评标委员会开启现场递交的全部投标文件光盘，并按光盘内容进行评审。</w:t>
            </w:r>
          </w:p>
          <w:p>
            <w:pPr>
              <w:spacing w:line="360" w:lineRule="exact"/>
              <w:ind w:right="107" w:rightChars="51"/>
              <w:rPr>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u w:val="single"/>
              </w:rPr>
            </w:pPr>
            <w:r>
              <w:rPr>
                <w:color w:val="auto"/>
                <w:highlight w:val="none"/>
                <w:u w:val="single"/>
              </w:rPr>
              <w:t>10</w:t>
            </w:r>
            <w:r>
              <w:rPr>
                <w:rFonts w:hint="eastAsia"/>
                <w:color w:val="auto"/>
                <w:highlight w:val="none"/>
                <w:u w:val="single"/>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u w:val="single"/>
              </w:rPr>
            </w:pPr>
            <w:r>
              <w:rPr>
                <w:rFonts w:hint="eastAsia" w:hAnsi="宋体"/>
                <w:color w:val="auto"/>
                <w:highlight w:val="none"/>
                <w:u w:val="single"/>
              </w:rPr>
              <w:t>特别提示</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left="40" w:leftChars="19" w:right="107" w:rightChars="51" w:firstLine="298" w:firstLineChars="142"/>
              <w:rPr>
                <w:rFonts w:cs="宋体"/>
                <w:color w:val="auto"/>
                <w:szCs w:val="21"/>
                <w:highlight w:val="none"/>
                <w:u w:val="single"/>
              </w:rPr>
            </w:pPr>
            <w:r>
              <w:rPr>
                <w:rFonts w:hint="eastAsia" w:hAnsi="宋体" w:cs="宋体"/>
                <w:color w:val="auto"/>
                <w:szCs w:val="21"/>
                <w:highlight w:val="none"/>
                <w:u w:val="single"/>
              </w:rPr>
              <w:t>投标人在本项目招标人的工程项目中存在下列行为的，将被拒绝一年内参与我单位后续工程投标。（注：拒绝投标时限由招标人视严重程度确定，最低三个月起，自招标人发出通知之日起计）：</w:t>
            </w:r>
          </w:p>
          <w:p>
            <w:pPr>
              <w:spacing w:line="360" w:lineRule="exact"/>
              <w:ind w:left="40" w:leftChars="19" w:right="107" w:rightChars="51" w:firstLine="298" w:firstLineChars="142"/>
              <w:rPr>
                <w:rFonts w:cs="宋体"/>
                <w:color w:val="auto"/>
                <w:szCs w:val="21"/>
                <w:highlight w:val="none"/>
                <w:u w:val="single"/>
              </w:rPr>
            </w:pPr>
            <w:r>
              <w:rPr>
                <w:rFonts w:hint="eastAsia" w:hAnsi="宋体" w:cs="宋体"/>
                <w:color w:val="auto"/>
                <w:szCs w:val="21"/>
                <w:highlight w:val="none"/>
                <w:u w:val="single"/>
              </w:rPr>
              <w:t>（</w:t>
            </w:r>
            <w:r>
              <w:rPr>
                <w:rFonts w:hint="eastAsia" w:cs="宋体"/>
                <w:color w:val="auto"/>
                <w:szCs w:val="21"/>
                <w:highlight w:val="none"/>
                <w:u w:val="single"/>
              </w:rPr>
              <w:t>1</w:t>
            </w:r>
            <w:r>
              <w:rPr>
                <w:rFonts w:hint="eastAsia" w:hAnsi="宋体" w:cs="宋体"/>
                <w:color w:val="auto"/>
                <w:szCs w:val="21"/>
                <w:highlight w:val="none"/>
                <w:u w:val="single"/>
              </w:rPr>
              <w:t>）将中标工程转包或者违法分包的；</w:t>
            </w:r>
          </w:p>
          <w:p>
            <w:pPr>
              <w:spacing w:line="360" w:lineRule="exact"/>
              <w:ind w:left="40" w:leftChars="19" w:right="107" w:rightChars="51" w:firstLine="298" w:firstLineChars="142"/>
              <w:rPr>
                <w:rFonts w:cs="宋体"/>
                <w:color w:val="auto"/>
                <w:szCs w:val="21"/>
                <w:highlight w:val="none"/>
                <w:u w:val="single"/>
              </w:rPr>
            </w:pPr>
            <w:r>
              <w:rPr>
                <w:rFonts w:hint="eastAsia" w:hAnsi="宋体" w:cs="宋体"/>
                <w:color w:val="auto"/>
                <w:szCs w:val="21"/>
                <w:highlight w:val="none"/>
                <w:u w:val="single"/>
              </w:rPr>
              <w:t>（</w:t>
            </w:r>
            <w:r>
              <w:rPr>
                <w:rFonts w:hint="eastAsia" w:cs="宋体"/>
                <w:color w:val="auto"/>
                <w:szCs w:val="21"/>
                <w:highlight w:val="none"/>
                <w:u w:val="single"/>
              </w:rPr>
              <w:t>2</w:t>
            </w:r>
            <w:r>
              <w:rPr>
                <w:rFonts w:hint="eastAsia" w:hAnsi="宋体" w:cs="宋体"/>
                <w:color w:val="auto"/>
                <w:szCs w:val="21"/>
                <w:highlight w:val="none"/>
                <w:u w:val="single"/>
              </w:rPr>
              <w:t>）在中标工程中不执行质量、安全生产相关规定的，造成质量或安全事故的；</w:t>
            </w:r>
          </w:p>
          <w:p>
            <w:pPr>
              <w:spacing w:line="360" w:lineRule="exact"/>
              <w:ind w:left="40" w:leftChars="19" w:right="107" w:rightChars="51" w:firstLine="298" w:firstLineChars="142"/>
              <w:rPr>
                <w:rFonts w:cs="宋体"/>
                <w:color w:val="auto"/>
                <w:szCs w:val="21"/>
                <w:highlight w:val="none"/>
                <w:u w:val="single"/>
              </w:rPr>
            </w:pPr>
            <w:r>
              <w:rPr>
                <w:rFonts w:hint="eastAsia" w:hAnsi="宋体" w:cs="宋体"/>
                <w:color w:val="auto"/>
                <w:szCs w:val="21"/>
                <w:highlight w:val="none"/>
                <w:u w:val="single"/>
              </w:rPr>
              <w:t>（</w:t>
            </w:r>
            <w:r>
              <w:rPr>
                <w:rFonts w:hint="eastAsia" w:cs="宋体"/>
                <w:color w:val="auto"/>
                <w:szCs w:val="21"/>
                <w:highlight w:val="none"/>
                <w:u w:val="single"/>
              </w:rPr>
              <w:t>3</w:t>
            </w:r>
            <w:r>
              <w:rPr>
                <w:rFonts w:hint="eastAsia" w:hAnsi="宋体" w:cs="宋体"/>
                <w:color w:val="auto"/>
                <w:szCs w:val="21"/>
                <w:highlight w:val="none"/>
                <w:u w:val="single"/>
              </w:rPr>
              <w:t>）存在围标或串标情形的；</w:t>
            </w:r>
          </w:p>
          <w:p>
            <w:pPr>
              <w:spacing w:line="360" w:lineRule="exact"/>
              <w:ind w:left="40" w:leftChars="19" w:right="107" w:rightChars="51" w:firstLine="298" w:firstLineChars="142"/>
              <w:rPr>
                <w:rFonts w:cs="宋体"/>
                <w:color w:val="auto"/>
                <w:szCs w:val="21"/>
                <w:highlight w:val="none"/>
                <w:u w:val="single"/>
              </w:rPr>
            </w:pPr>
            <w:r>
              <w:rPr>
                <w:rFonts w:hint="eastAsia" w:hAnsi="宋体" w:cs="宋体"/>
                <w:color w:val="auto"/>
                <w:szCs w:val="21"/>
                <w:highlight w:val="none"/>
                <w:u w:val="single"/>
              </w:rPr>
              <w:t>（</w:t>
            </w:r>
            <w:r>
              <w:rPr>
                <w:rFonts w:hint="eastAsia" w:cs="宋体"/>
                <w:color w:val="auto"/>
                <w:szCs w:val="21"/>
                <w:highlight w:val="none"/>
                <w:u w:val="single"/>
              </w:rPr>
              <w:t>4</w:t>
            </w:r>
            <w:r>
              <w:rPr>
                <w:rFonts w:hint="eastAsia" w:hAnsi="宋体" w:cs="宋体"/>
                <w:color w:val="auto"/>
                <w:szCs w:val="21"/>
                <w:highlight w:val="none"/>
                <w:u w:val="single"/>
              </w:rPr>
              <w:t>）存在弄虚作假骗取中标情形的；</w:t>
            </w:r>
          </w:p>
          <w:p>
            <w:pPr>
              <w:spacing w:line="360" w:lineRule="exact"/>
              <w:ind w:left="40" w:leftChars="19" w:right="107" w:rightChars="51" w:firstLine="298" w:firstLineChars="142"/>
              <w:rPr>
                <w:rFonts w:hAnsi="宋体" w:cs="宋体"/>
                <w:color w:val="auto"/>
                <w:szCs w:val="21"/>
                <w:highlight w:val="none"/>
                <w:u w:val="single"/>
              </w:rPr>
            </w:pPr>
            <w:r>
              <w:rPr>
                <w:rFonts w:hint="eastAsia" w:hAnsi="宋体" w:cs="宋体"/>
                <w:color w:val="auto"/>
                <w:szCs w:val="21"/>
                <w:highlight w:val="none"/>
                <w:u w:val="single"/>
              </w:rPr>
              <w:t>（</w:t>
            </w:r>
            <w:r>
              <w:rPr>
                <w:rFonts w:hint="eastAsia" w:cs="宋体"/>
                <w:color w:val="auto"/>
                <w:szCs w:val="21"/>
                <w:highlight w:val="none"/>
                <w:u w:val="single"/>
              </w:rPr>
              <w:t>5</w:t>
            </w:r>
            <w:r>
              <w:rPr>
                <w:rFonts w:hint="eastAsia" w:hAnsi="宋体" w:cs="宋体"/>
                <w:color w:val="auto"/>
                <w:szCs w:val="21"/>
                <w:highlight w:val="none"/>
                <w:u w:val="single"/>
              </w:rPr>
              <w:t>）为招标人提供检测服务过程中存在因过错行为被生效法律文书认定承担违约或侵权责任的；</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u w:val="single"/>
              </w:rPr>
            </w:pPr>
            <w:r>
              <w:rPr>
                <w:rFonts w:hint="eastAsia"/>
                <w:color w:val="auto"/>
                <w:highlight w:val="none"/>
                <w:u w:val="single"/>
              </w:rPr>
              <w:t>10.2</w:t>
            </w:r>
          </w:p>
        </w:tc>
        <w:tc>
          <w:tcPr>
            <w:tcW w:w="234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15" w:firstLineChars="150"/>
              <w:jc w:val="center"/>
              <w:rPr>
                <w:color w:val="auto"/>
                <w:highlight w:val="none"/>
                <w:u w:val="single"/>
              </w:rPr>
            </w:pPr>
            <w:r>
              <w:rPr>
                <w:rFonts w:hint="eastAsia" w:hAnsi="宋体"/>
                <w:color w:val="auto"/>
                <w:highlight w:val="none"/>
                <w:u w:val="single"/>
              </w:rPr>
              <w:t>送达</w:t>
            </w:r>
          </w:p>
        </w:tc>
        <w:tc>
          <w:tcPr>
            <w:tcW w:w="60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40" w:leftChars="19" w:right="107" w:rightChars="51"/>
              <w:rPr>
                <w:color w:val="auto"/>
                <w:szCs w:val="21"/>
                <w:highlight w:val="none"/>
                <w:u w:val="single"/>
              </w:rPr>
            </w:pPr>
            <w:r>
              <w:rPr>
                <w:rFonts w:hint="eastAsia" w:hAnsi="宋体" w:cs="宋体"/>
                <w:color w:val="auto"/>
                <w:szCs w:val="21"/>
                <w:highlight w:val="none"/>
                <w:u w:val="single"/>
              </w:rPr>
              <w:t>/。</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u w:val="single"/>
              </w:rPr>
            </w:pPr>
            <w:r>
              <w:rPr>
                <w:rFonts w:hint="eastAsia"/>
                <w:color w:val="auto"/>
                <w:highlight w:val="none"/>
                <w:u w:val="single"/>
              </w:rPr>
              <w:t>10.3</w:t>
            </w:r>
          </w:p>
        </w:tc>
        <w:tc>
          <w:tcPr>
            <w:tcW w:w="234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pacing w:line="360" w:lineRule="exact"/>
              <w:jc w:val="center"/>
              <w:rPr>
                <w:color w:val="auto"/>
                <w:highlight w:val="none"/>
                <w:u w:val="single"/>
              </w:rPr>
            </w:pPr>
            <w:r>
              <w:rPr>
                <w:rFonts w:hint="eastAsia" w:hAnsi="宋体"/>
                <w:color w:val="auto"/>
                <w:highlight w:val="none"/>
                <w:u w:val="single"/>
              </w:rPr>
              <w:t>招标失败的情形</w:t>
            </w:r>
          </w:p>
        </w:tc>
        <w:tc>
          <w:tcPr>
            <w:tcW w:w="6096" w:type="dxa"/>
            <w:tcBorders>
              <w:top w:val="single" w:color="auto" w:sz="4" w:space="0"/>
              <w:left w:val="single" w:color="auto" w:sz="4" w:space="0"/>
              <w:bottom w:val="single" w:color="auto" w:sz="4" w:space="0"/>
              <w:right w:val="single" w:color="auto" w:sz="4" w:space="0"/>
            </w:tcBorders>
            <w:vAlign w:val="center"/>
          </w:tcPr>
          <w:p>
            <w:pPr>
              <w:pStyle w:val="40"/>
              <w:spacing w:after="0" w:line="360" w:lineRule="exact"/>
              <w:ind w:right="174" w:rightChars="83" w:firstLine="210"/>
              <w:rPr>
                <w:rFonts w:hAnsi="宋体" w:cs="宋体"/>
                <w:color w:val="auto"/>
                <w:kern w:val="2"/>
                <w:sz w:val="21"/>
                <w:szCs w:val="21"/>
                <w:highlight w:val="none"/>
                <w:u w:val="single"/>
              </w:rPr>
            </w:pPr>
            <w:r>
              <w:rPr>
                <w:rFonts w:hint="eastAsia" w:hAnsi="宋体" w:cs="宋体"/>
                <w:color w:val="auto"/>
                <w:kern w:val="2"/>
                <w:sz w:val="21"/>
                <w:szCs w:val="21"/>
                <w:highlight w:val="none"/>
                <w:u w:val="single"/>
              </w:rPr>
              <w:t>（1）成功解密投标文件的投标人不足3家时，本项目本次招标失败；</w:t>
            </w:r>
          </w:p>
          <w:p>
            <w:pPr>
              <w:pStyle w:val="40"/>
              <w:spacing w:after="0" w:line="360" w:lineRule="exact"/>
              <w:ind w:right="174" w:rightChars="83" w:firstLine="210"/>
              <w:rPr>
                <w:rFonts w:hAnsi="宋体" w:cs="宋体"/>
                <w:color w:val="auto"/>
                <w:kern w:val="2"/>
                <w:sz w:val="21"/>
                <w:szCs w:val="21"/>
                <w:highlight w:val="none"/>
                <w:u w:val="single"/>
              </w:rPr>
            </w:pPr>
            <w:r>
              <w:rPr>
                <w:rFonts w:hint="eastAsia" w:hAnsi="宋体" w:cs="宋体"/>
                <w:color w:val="auto"/>
                <w:kern w:val="2"/>
                <w:sz w:val="21"/>
                <w:szCs w:val="21"/>
                <w:highlight w:val="none"/>
                <w:u w:val="single"/>
              </w:rPr>
              <w:t>（2）本项目采用资格后审方式，资格审查与评标同时进行，通过形式评审、资格审查、响应性评审的投标申请人不足3名时为本项目本次招标失败。</w:t>
            </w:r>
          </w:p>
          <w:p>
            <w:pPr>
              <w:widowControl/>
              <w:spacing w:line="360" w:lineRule="exact"/>
              <w:ind w:right="107" w:rightChars="51"/>
              <w:jc w:val="left"/>
              <w:rPr>
                <w:rFonts w:cs="宋体"/>
                <w:color w:val="auto"/>
                <w:szCs w:val="21"/>
                <w:highlight w:val="none"/>
                <w:u w:val="single"/>
              </w:rPr>
            </w:pPr>
            <w:r>
              <w:rPr>
                <w:rFonts w:hint="eastAsia" w:hAnsi="宋体" w:cs="宋体"/>
                <w:color w:val="auto"/>
                <w:szCs w:val="21"/>
                <w:highlight w:val="none"/>
                <w:u w:val="single"/>
              </w:rPr>
              <w:t>注：招标人分析招标失败原因，修正招标方案，报有关管理部门核准后，重新组织招标。</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highlight w:val="none"/>
                <w:u w:val="single"/>
              </w:rPr>
            </w:pPr>
            <w:r>
              <w:rPr>
                <w:color w:val="auto"/>
                <w:szCs w:val="21"/>
                <w:highlight w:val="none"/>
                <w:u w:val="single"/>
              </w:rPr>
              <w:t>10.4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u w:val="single"/>
              </w:rPr>
            </w:pPr>
            <w:r>
              <w:rPr>
                <w:rFonts w:hAnsi="宋体"/>
                <w:color w:val="auto"/>
                <w:szCs w:val="21"/>
                <w:highlight w:val="none"/>
                <w:u w:val="single"/>
              </w:rPr>
              <w:t>第一中标候选人放弃中标资格情形</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exact"/>
              <w:ind w:firstLine="420" w:firstLineChars="200"/>
              <w:rPr>
                <w:color w:val="auto"/>
                <w:szCs w:val="21"/>
                <w:highlight w:val="none"/>
                <w:u w:val="single"/>
              </w:rPr>
            </w:pPr>
            <w:r>
              <w:rPr>
                <w:rFonts w:hAnsi="宋体"/>
                <w:color w:val="auto"/>
                <w:szCs w:val="21"/>
                <w:highlight w:val="none"/>
                <w:u w:val="single"/>
              </w:rPr>
              <w:t>排名第一的中标候选人放弃中标、因不可抗力不能履行合同、不按照招标文件要求提交履约保证金，或者被查实存在影响中标结果的违法行为等情形，不符合中标条件的，招标人可以按照</w:t>
            </w:r>
            <w:r>
              <w:rPr>
                <w:rFonts w:hint="eastAsia" w:hAnsi="宋体"/>
                <w:color w:val="auto"/>
                <w:szCs w:val="21"/>
                <w:highlight w:val="none"/>
                <w:u w:val="single"/>
              </w:rPr>
              <w:t>招标文件第三章第</w:t>
            </w:r>
            <w:r>
              <w:rPr>
                <w:rFonts w:hint="eastAsia"/>
                <w:color w:val="auto"/>
                <w:szCs w:val="21"/>
                <w:highlight w:val="none"/>
                <w:u w:val="single"/>
              </w:rPr>
              <w:t>3.4.1</w:t>
            </w:r>
            <w:r>
              <w:rPr>
                <w:rFonts w:hint="eastAsia" w:hAnsi="宋体"/>
                <w:color w:val="auto"/>
                <w:szCs w:val="21"/>
                <w:highlight w:val="none"/>
                <w:u w:val="single"/>
              </w:rPr>
              <w:t>款确定的推荐中标候选人原则</w:t>
            </w:r>
            <w:r>
              <w:rPr>
                <w:rFonts w:hAnsi="宋体"/>
                <w:color w:val="auto"/>
                <w:szCs w:val="21"/>
                <w:highlight w:val="none"/>
                <w:u w:val="single"/>
              </w:rPr>
              <w:t>依次确定其他中标候选人为中标人，也可以重新招标</w:t>
            </w:r>
            <w:r>
              <w:rPr>
                <w:rFonts w:hint="eastAsia" w:hAnsi="宋体"/>
                <w:color w:val="auto"/>
                <w:szCs w:val="21"/>
                <w:highlight w:val="none"/>
                <w:u w:val="single"/>
              </w:rPr>
              <w:t>。</w:t>
            </w:r>
          </w:p>
        </w:tc>
      </w:tr>
      <w:tr>
        <w:tblPrEx>
          <w:tblCellMar>
            <w:top w:w="0" w:type="dxa"/>
            <w:left w:w="108" w:type="dxa"/>
            <w:bottom w:w="0" w:type="dxa"/>
            <w:right w:w="108" w:type="dxa"/>
          </w:tblCellMar>
        </w:tblPrEx>
        <w:trPr>
          <w:trHeight w:val="363"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u w:val="single"/>
              </w:rPr>
            </w:pPr>
            <w:r>
              <w:rPr>
                <w:rFonts w:hint="eastAsia"/>
                <w:color w:val="auto"/>
                <w:highlight w:val="none"/>
                <w:u w:val="single"/>
              </w:rPr>
              <w:t>10.5</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ind w:right="174" w:rightChars="83"/>
              <w:jc w:val="center"/>
              <w:rPr>
                <w:color w:val="auto"/>
                <w:szCs w:val="21"/>
                <w:highlight w:val="none"/>
                <w:u w:val="single"/>
              </w:rPr>
            </w:pPr>
            <w:r>
              <w:rPr>
                <w:rFonts w:hAnsi="宋体"/>
                <w:color w:val="auto"/>
                <w:szCs w:val="21"/>
                <w:highlight w:val="none"/>
                <w:u w:val="single"/>
              </w:rPr>
              <w:t>中标候选人公示要求</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ind w:right="174" w:rightChars="83"/>
              <w:rPr>
                <w:color w:val="auto"/>
                <w:highlight w:val="none"/>
                <w:u w:val="single"/>
              </w:rPr>
            </w:pPr>
            <w:r>
              <w:rPr>
                <w:rFonts w:hAnsi="宋体"/>
                <w:color w:val="auto"/>
                <w:szCs w:val="21"/>
                <w:highlight w:val="none"/>
                <w:u w:val="single"/>
              </w:rPr>
              <w:t>在产生中标候选人后，招标人将中标候选人的投标文件商务部分的电子版（方案等涉及商业秘密的内容除外）在广州公共资源交易中心网站公开。</w:t>
            </w:r>
          </w:p>
        </w:tc>
      </w:tr>
      <w:tr>
        <w:tblPrEx>
          <w:tblCellMar>
            <w:top w:w="0" w:type="dxa"/>
            <w:left w:w="108" w:type="dxa"/>
            <w:bottom w:w="0" w:type="dxa"/>
            <w:right w:w="108" w:type="dxa"/>
          </w:tblCellMar>
        </w:tblPrEx>
        <w:trPr>
          <w:trHeight w:val="363"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highlight w:val="none"/>
                <w:u w:val="single"/>
              </w:rPr>
            </w:pPr>
            <w:r>
              <w:rPr>
                <w:rFonts w:hint="eastAsia"/>
                <w:color w:val="auto"/>
                <w:szCs w:val="21"/>
                <w:highlight w:val="none"/>
                <w:u w:val="single"/>
              </w:rPr>
              <w:t>10.6</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ind w:right="174" w:rightChars="83"/>
              <w:jc w:val="center"/>
              <w:rPr>
                <w:color w:val="auto"/>
                <w:szCs w:val="21"/>
                <w:highlight w:val="none"/>
                <w:u w:val="single"/>
              </w:rPr>
            </w:pPr>
            <w:r>
              <w:rPr>
                <w:rFonts w:hint="eastAsia" w:hAnsi="宋体"/>
                <w:color w:val="auto"/>
                <w:szCs w:val="21"/>
                <w:highlight w:val="none"/>
                <w:u w:val="single"/>
              </w:rPr>
              <w:t>否决投标条款</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u w:val="single"/>
              </w:rPr>
            </w:pPr>
            <w:r>
              <w:rPr>
                <w:rFonts w:hint="eastAsia" w:hAnsi="宋体"/>
                <w:color w:val="auto"/>
                <w:highlight w:val="none"/>
                <w:u w:val="single"/>
              </w:rPr>
              <w:t>否决投标条款：</w:t>
            </w:r>
          </w:p>
          <w:p>
            <w:pPr>
              <w:numPr>
                <w:ilvl w:val="0"/>
                <w:numId w:val="1"/>
              </w:numPr>
              <w:spacing w:line="360" w:lineRule="exact"/>
              <w:rPr>
                <w:color w:val="auto"/>
                <w:highlight w:val="none"/>
                <w:u w:val="single"/>
              </w:rPr>
            </w:pPr>
            <w:r>
              <w:rPr>
                <w:rFonts w:hint="eastAsia" w:hAnsi="宋体"/>
                <w:color w:val="auto"/>
                <w:highlight w:val="none"/>
                <w:u w:val="single"/>
              </w:rPr>
              <w:t>在投标截止期后逾期或未在（电子招标投标交易平台）递交电子投标文件的，电子招标投标交易平台将拒绝接收其投标文件。</w:t>
            </w:r>
          </w:p>
          <w:p>
            <w:pPr>
              <w:numPr>
                <w:ilvl w:val="0"/>
                <w:numId w:val="1"/>
              </w:numPr>
              <w:spacing w:line="360" w:lineRule="exact"/>
              <w:rPr>
                <w:color w:val="auto"/>
                <w:highlight w:val="none"/>
                <w:u w:val="single"/>
              </w:rPr>
            </w:pPr>
            <w:r>
              <w:rPr>
                <w:rFonts w:hint="eastAsia" w:hAnsi="宋体"/>
                <w:color w:val="auto"/>
                <w:highlight w:val="none"/>
                <w:u w:val="single"/>
              </w:rPr>
              <w:t>投标文件应当对招标文件的实质性要求和条件作出满足性或更有利于招标人的响应，否则，投标人的投标将被否决。</w:t>
            </w:r>
          </w:p>
          <w:p>
            <w:pPr>
              <w:numPr>
                <w:ilvl w:val="0"/>
                <w:numId w:val="1"/>
              </w:numPr>
              <w:spacing w:line="360" w:lineRule="exact"/>
              <w:rPr>
                <w:color w:val="auto"/>
                <w:highlight w:val="none"/>
                <w:u w:val="single"/>
              </w:rPr>
            </w:pPr>
            <w:r>
              <w:rPr>
                <w:rFonts w:hint="eastAsia" w:hAnsi="宋体"/>
                <w:color w:val="auto"/>
                <w:highlight w:val="none"/>
                <w:u w:val="single"/>
              </w:rPr>
              <w:t>投标人有以下情形之一的，评标委员会应当否决其投标：</w:t>
            </w:r>
          </w:p>
          <w:p>
            <w:pPr>
              <w:spacing w:line="360" w:lineRule="exact"/>
              <w:ind w:left="317" w:leftChars="151"/>
              <w:rPr>
                <w:color w:val="auto"/>
                <w:highlight w:val="none"/>
                <w:u w:val="single"/>
              </w:rPr>
            </w:pPr>
            <w:r>
              <w:rPr>
                <w:rFonts w:hint="eastAsia" w:hAnsi="宋体"/>
                <w:color w:val="auto"/>
                <w:highlight w:val="none"/>
                <w:u w:val="single"/>
              </w:rPr>
              <w:t>（</w:t>
            </w:r>
            <w:r>
              <w:rPr>
                <w:rFonts w:hint="eastAsia"/>
                <w:color w:val="auto"/>
                <w:highlight w:val="none"/>
                <w:u w:val="single"/>
              </w:rPr>
              <w:t>1</w:t>
            </w:r>
            <w:r>
              <w:rPr>
                <w:rFonts w:hint="eastAsia" w:hAnsi="宋体"/>
                <w:color w:val="auto"/>
                <w:highlight w:val="none"/>
                <w:u w:val="single"/>
              </w:rPr>
              <w:t>）投标文件没有对招标文件的实质性要求和条件作出响应，或者对招标文件的偏差超出招标文件规定的偏差范围或最高项数；</w:t>
            </w:r>
          </w:p>
          <w:p>
            <w:pPr>
              <w:spacing w:line="360" w:lineRule="exact"/>
              <w:ind w:left="317" w:leftChars="151"/>
              <w:rPr>
                <w:color w:val="auto"/>
                <w:highlight w:val="none"/>
                <w:u w:val="single"/>
              </w:rPr>
            </w:pPr>
            <w:r>
              <w:rPr>
                <w:rFonts w:hint="eastAsia" w:hAnsi="宋体"/>
                <w:color w:val="auto"/>
                <w:highlight w:val="none"/>
                <w:u w:val="single"/>
              </w:rPr>
              <w:t>（</w:t>
            </w:r>
            <w:r>
              <w:rPr>
                <w:rFonts w:hint="eastAsia"/>
                <w:color w:val="auto"/>
                <w:highlight w:val="none"/>
                <w:u w:val="single"/>
              </w:rPr>
              <w:t>2</w:t>
            </w:r>
            <w:r>
              <w:rPr>
                <w:rFonts w:hint="eastAsia" w:hAnsi="宋体"/>
                <w:color w:val="auto"/>
                <w:highlight w:val="none"/>
                <w:u w:val="single"/>
              </w:rPr>
              <w:t>）有串通投标、弄虚作假、行贿等违法行为。</w:t>
            </w:r>
          </w:p>
          <w:p>
            <w:pPr>
              <w:spacing w:line="360" w:lineRule="exact"/>
              <w:ind w:left="317" w:leftChars="17" w:hanging="281" w:hangingChars="134"/>
              <w:rPr>
                <w:color w:val="auto"/>
                <w:highlight w:val="none"/>
                <w:u w:val="single"/>
              </w:rPr>
            </w:pPr>
            <w:r>
              <w:rPr>
                <w:rFonts w:hint="eastAsia"/>
                <w:color w:val="auto"/>
                <w:highlight w:val="none"/>
                <w:u w:val="single"/>
              </w:rPr>
              <w:t>4</w:t>
            </w:r>
            <w:r>
              <w:rPr>
                <w:rFonts w:hint="eastAsia" w:hAnsi="宋体"/>
                <w:color w:val="auto"/>
                <w:highlight w:val="none"/>
                <w:u w:val="single"/>
              </w:rPr>
              <w:t>、投标报价有算术错误及其他错误的，评标委员会按以下原则要求投标人对投标报价进行修正，并要求投标人书面澄清确认。投标人拒不澄清确认的，评标委员会应当否决其投标：</w:t>
            </w:r>
          </w:p>
          <w:p>
            <w:pPr>
              <w:spacing w:line="360" w:lineRule="exact"/>
              <w:ind w:left="317" w:leftChars="151"/>
              <w:rPr>
                <w:color w:val="auto"/>
                <w:highlight w:val="none"/>
                <w:u w:val="single"/>
              </w:rPr>
            </w:pPr>
            <w:r>
              <w:rPr>
                <w:rFonts w:hint="eastAsia" w:hAnsi="宋体"/>
                <w:color w:val="auto"/>
                <w:highlight w:val="none"/>
                <w:u w:val="single"/>
              </w:rPr>
              <w:t>（</w:t>
            </w:r>
            <w:r>
              <w:rPr>
                <w:rFonts w:hint="eastAsia"/>
                <w:color w:val="auto"/>
                <w:highlight w:val="none"/>
                <w:u w:val="single"/>
              </w:rPr>
              <w:t>1</w:t>
            </w:r>
            <w:r>
              <w:rPr>
                <w:rFonts w:hint="eastAsia" w:hAnsi="宋体"/>
                <w:color w:val="auto"/>
                <w:highlight w:val="none"/>
                <w:u w:val="single"/>
              </w:rPr>
              <w:t>）投标文件中的大写金额与小写金额不一致的，以大写金额为准；</w:t>
            </w:r>
          </w:p>
          <w:p>
            <w:pPr>
              <w:spacing w:line="360" w:lineRule="exact"/>
              <w:ind w:left="317" w:leftChars="151"/>
              <w:rPr>
                <w:color w:val="auto"/>
                <w:highlight w:val="none"/>
                <w:u w:val="single"/>
              </w:rPr>
            </w:pPr>
            <w:r>
              <w:rPr>
                <w:rFonts w:hint="eastAsia" w:hAnsi="宋体"/>
                <w:color w:val="auto"/>
                <w:highlight w:val="none"/>
                <w:u w:val="single"/>
              </w:rPr>
              <w:t>（</w:t>
            </w:r>
            <w:r>
              <w:rPr>
                <w:rFonts w:hint="eastAsia"/>
                <w:color w:val="auto"/>
                <w:highlight w:val="none"/>
                <w:u w:val="single"/>
              </w:rPr>
              <w:t>2</w:t>
            </w:r>
            <w:r>
              <w:rPr>
                <w:rFonts w:hint="eastAsia" w:hAnsi="宋体"/>
                <w:color w:val="auto"/>
                <w:highlight w:val="none"/>
                <w:u w:val="single"/>
              </w:rPr>
              <w:t>）总价金额与单价金额不一致的，以单价金额为准，但单价金额小数点有明显错误的除外。</w:t>
            </w:r>
          </w:p>
          <w:p>
            <w:pPr>
              <w:spacing w:line="360" w:lineRule="exact"/>
              <w:ind w:left="317" w:hanging="317" w:hangingChars="151"/>
              <w:rPr>
                <w:color w:val="auto"/>
                <w:highlight w:val="none"/>
                <w:u w:val="single"/>
              </w:rPr>
            </w:pPr>
            <w:r>
              <w:rPr>
                <w:rFonts w:hint="eastAsia"/>
                <w:color w:val="auto"/>
                <w:highlight w:val="none"/>
                <w:u w:val="single"/>
              </w:rPr>
              <w:t>5</w:t>
            </w:r>
            <w:r>
              <w:rPr>
                <w:rFonts w:hint="eastAsia" w:hAnsi="宋体"/>
                <w:color w:val="auto"/>
                <w:highlight w:val="none"/>
                <w:u w:val="singl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exact"/>
              <w:ind w:left="315" w:hanging="315" w:hangingChars="150"/>
              <w:rPr>
                <w:color w:val="auto"/>
                <w:highlight w:val="none"/>
                <w:u w:val="single"/>
              </w:rPr>
            </w:pPr>
            <w:r>
              <w:rPr>
                <w:rFonts w:hint="eastAsia"/>
                <w:color w:val="auto"/>
                <w:highlight w:val="none"/>
                <w:u w:val="single"/>
              </w:rPr>
              <w:t>6</w:t>
            </w:r>
            <w:r>
              <w:rPr>
                <w:rFonts w:hint="eastAsia" w:hAnsi="宋体"/>
                <w:color w:val="auto"/>
                <w:highlight w:val="none"/>
                <w:u w:val="single"/>
              </w:rPr>
              <w:t>、投标文件中投标报价高于最高投标限价的，其投标文件将被否决。</w:t>
            </w:r>
          </w:p>
          <w:p>
            <w:pPr>
              <w:spacing w:line="360" w:lineRule="exact"/>
              <w:ind w:left="315" w:hanging="315" w:hangingChars="150"/>
              <w:rPr>
                <w:color w:val="auto"/>
                <w:highlight w:val="none"/>
                <w:u w:val="single"/>
              </w:rPr>
            </w:pPr>
            <w:r>
              <w:rPr>
                <w:rFonts w:hint="eastAsia"/>
                <w:color w:val="auto"/>
                <w:highlight w:val="none"/>
                <w:u w:val="single"/>
              </w:rPr>
              <w:t>7</w:t>
            </w:r>
            <w:r>
              <w:rPr>
                <w:rFonts w:hint="eastAsia" w:hAnsi="宋体"/>
                <w:color w:val="auto"/>
                <w:highlight w:val="none"/>
                <w:u w:val="single"/>
              </w:rPr>
              <w:t>、按投标报价的算术校核原则及方法调整或修正投标文件的投标报价，调整后的投标报价对投标人起约束作用。如果投标人不接受修正后的报价，则取消其中标资格，并且其投标担保也将被没收。</w:t>
            </w:r>
          </w:p>
          <w:p>
            <w:pPr>
              <w:spacing w:line="360" w:lineRule="exact"/>
              <w:ind w:left="315" w:hanging="315" w:hangingChars="150"/>
              <w:rPr>
                <w:color w:val="auto"/>
                <w:highlight w:val="none"/>
                <w:u w:val="single"/>
              </w:rPr>
            </w:pPr>
            <w:r>
              <w:rPr>
                <w:rFonts w:hint="eastAsia"/>
                <w:color w:val="auto"/>
                <w:highlight w:val="none"/>
                <w:u w:val="single"/>
              </w:rPr>
              <w:t>8</w:t>
            </w:r>
            <w:r>
              <w:rPr>
                <w:rFonts w:hint="eastAsia" w:hAnsi="宋体"/>
                <w:color w:val="auto"/>
                <w:highlight w:val="none"/>
                <w:u w:val="single"/>
              </w:rPr>
              <w:t>、资审合格后，投标人的资格发生变化而不满足投标人合格条件，在发出中标通知书前，资格问题仍未解决的，招标人将取消其中标资格。</w:t>
            </w:r>
          </w:p>
          <w:p>
            <w:pPr>
              <w:spacing w:line="360" w:lineRule="exact"/>
              <w:ind w:left="317" w:leftChars="17" w:hanging="281" w:hangingChars="134"/>
              <w:rPr>
                <w:color w:val="auto"/>
                <w:highlight w:val="none"/>
                <w:u w:val="single"/>
              </w:rPr>
            </w:pPr>
            <w:r>
              <w:rPr>
                <w:rFonts w:hint="eastAsia"/>
                <w:color w:val="auto"/>
                <w:highlight w:val="none"/>
                <w:u w:val="single"/>
              </w:rPr>
              <w:t>9</w:t>
            </w:r>
            <w:r>
              <w:rPr>
                <w:rFonts w:hint="eastAsia" w:hAnsi="宋体"/>
                <w:color w:val="auto"/>
                <w:highlight w:val="none"/>
                <w:u w:val="single"/>
              </w:rPr>
              <w:t>、中标人未按本招标文件第二章投标人须知第</w:t>
            </w:r>
            <w:r>
              <w:rPr>
                <w:rFonts w:hint="eastAsia"/>
                <w:color w:val="auto"/>
                <w:highlight w:val="none"/>
                <w:u w:val="single"/>
              </w:rPr>
              <w:t>7.6.1</w:t>
            </w:r>
            <w:r>
              <w:rPr>
                <w:rFonts w:hint="eastAsia" w:hAnsi="宋体"/>
                <w:color w:val="auto"/>
                <w:highlight w:val="none"/>
                <w:u w:val="single"/>
              </w:rPr>
              <w:t>项规定提交履约担保，视为放弃中标，其投标担保不予退还，给招标人造成的损失超过投标担保数额的，中标人还应当对超过部分予以赔偿。</w:t>
            </w:r>
          </w:p>
          <w:p>
            <w:pPr>
              <w:spacing w:line="360" w:lineRule="exact"/>
              <w:ind w:left="317" w:leftChars="17" w:hanging="281" w:hangingChars="134"/>
              <w:rPr>
                <w:color w:val="auto"/>
                <w:highlight w:val="none"/>
                <w:u w:val="single"/>
              </w:rPr>
            </w:pPr>
            <w:r>
              <w:rPr>
                <w:rFonts w:hint="eastAsia"/>
                <w:color w:val="auto"/>
                <w:highlight w:val="none"/>
                <w:u w:val="single"/>
              </w:rPr>
              <w:t>10</w:t>
            </w:r>
            <w:r>
              <w:rPr>
                <w:rFonts w:hint="eastAsia" w:hAnsi="宋体"/>
                <w:color w:val="auto"/>
                <w:highlight w:val="none"/>
                <w:u w:val="single"/>
              </w:rPr>
              <w:t>、投标文件符合列于《评标办法前附表》</w:t>
            </w:r>
            <w:r>
              <w:rPr>
                <w:rFonts w:hint="eastAsia"/>
                <w:color w:val="auto"/>
                <w:highlight w:val="none"/>
                <w:u w:val="single"/>
              </w:rPr>
              <w:t>“</w:t>
            </w:r>
            <w:r>
              <w:rPr>
                <w:rFonts w:hint="eastAsia" w:hAnsi="宋体"/>
                <w:color w:val="auto"/>
                <w:highlight w:val="none"/>
                <w:u w:val="single"/>
              </w:rPr>
              <w:t>形式评审标准</w:t>
            </w:r>
            <w:r>
              <w:rPr>
                <w:rFonts w:hint="eastAsia"/>
                <w:color w:val="auto"/>
                <w:highlight w:val="none"/>
                <w:u w:val="single"/>
              </w:rPr>
              <w:t>”“</w:t>
            </w:r>
            <w:r>
              <w:rPr>
                <w:rFonts w:hint="eastAsia" w:hAnsi="宋体"/>
                <w:color w:val="auto"/>
                <w:highlight w:val="none"/>
                <w:u w:val="single"/>
              </w:rPr>
              <w:t>资格评审标准</w:t>
            </w:r>
            <w:r>
              <w:rPr>
                <w:rFonts w:hint="eastAsia"/>
                <w:color w:val="auto"/>
                <w:highlight w:val="none"/>
                <w:u w:val="single"/>
              </w:rPr>
              <w:t>”“</w:t>
            </w:r>
            <w:r>
              <w:rPr>
                <w:rFonts w:hint="eastAsia" w:hAnsi="宋体"/>
                <w:color w:val="auto"/>
                <w:highlight w:val="none"/>
                <w:u w:val="single"/>
              </w:rPr>
              <w:t>响应性评审标准</w:t>
            </w:r>
            <w:r>
              <w:rPr>
                <w:rFonts w:hint="eastAsia"/>
                <w:color w:val="auto"/>
                <w:highlight w:val="none"/>
                <w:u w:val="single"/>
              </w:rPr>
              <w:t>”</w:t>
            </w:r>
            <w:r>
              <w:rPr>
                <w:rFonts w:hint="eastAsia" w:hAnsi="宋体"/>
                <w:color w:val="auto"/>
                <w:highlight w:val="none"/>
                <w:u w:val="single"/>
              </w:rPr>
              <w:t>中所有情形的，为有效投标文件。任一情形不符合均为无效投标文件，经评标委员会认定后，其投标文件将被否决。</w:t>
            </w:r>
          </w:p>
        </w:tc>
      </w:tr>
      <w:tr>
        <w:tblPrEx>
          <w:tblCellMar>
            <w:top w:w="0" w:type="dxa"/>
            <w:left w:w="108" w:type="dxa"/>
            <w:bottom w:w="0" w:type="dxa"/>
            <w:right w:w="108" w:type="dxa"/>
          </w:tblCellMar>
        </w:tblPrEx>
        <w:trPr>
          <w:trHeight w:val="121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highlight w:val="none"/>
                <w:u w:val="single"/>
              </w:rPr>
            </w:pPr>
            <w:r>
              <w:rPr>
                <w:rFonts w:hint="eastAsia"/>
                <w:color w:val="auto"/>
                <w:szCs w:val="21"/>
                <w:highlight w:val="none"/>
                <w:u w:val="single"/>
              </w:rPr>
              <w:t>10.7</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ind w:right="174" w:rightChars="83"/>
              <w:jc w:val="center"/>
              <w:rPr>
                <w:color w:val="auto"/>
                <w:szCs w:val="21"/>
                <w:highlight w:val="none"/>
                <w:u w:val="single"/>
              </w:rPr>
            </w:pPr>
            <w:r>
              <w:rPr>
                <w:rFonts w:hint="eastAsia" w:hAnsi="宋体"/>
                <w:color w:val="auto"/>
                <w:szCs w:val="21"/>
                <w:highlight w:val="none"/>
                <w:u w:val="single"/>
              </w:rPr>
              <w:t>其他</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rPr>
                <w:b/>
                <w:color w:val="auto"/>
                <w:highlight w:val="none"/>
                <w:u w:val="single"/>
              </w:rPr>
            </w:pPr>
            <w:r>
              <w:rPr>
                <w:rFonts w:hint="eastAsia" w:hAnsi="宋体"/>
                <w:color w:val="auto"/>
                <w:highlight w:val="none"/>
                <w:u w:val="single"/>
              </w:rPr>
              <w:t>中标后，中标单位须按招标人要求提交与网上上传电子投标文件完全一致的纸质投标文件（一正两副）给招标单位。</w:t>
            </w:r>
          </w:p>
        </w:tc>
      </w:tr>
      <w:tr>
        <w:tblPrEx>
          <w:tblCellMar>
            <w:top w:w="0" w:type="dxa"/>
            <w:left w:w="108" w:type="dxa"/>
            <w:bottom w:w="0" w:type="dxa"/>
            <w:right w:w="108" w:type="dxa"/>
          </w:tblCellMar>
        </w:tblPrEx>
        <w:trPr>
          <w:trHeight w:val="121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highlight w:val="none"/>
                <w:u w:val="single"/>
              </w:rPr>
            </w:pPr>
            <w:r>
              <w:rPr>
                <w:color w:val="auto"/>
                <w:szCs w:val="21"/>
                <w:highlight w:val="none"/>
                <w:u w:val="single"/>
              </w:rPr>
              <w:t>10.8</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exact"/>
              <w:ind w:right="174" w:rightChars="83"/>
              <w:jc w:val="center"/>
              <w:rPr>
                <w:rFonts w:hAnsi="宋体"/>
                <w:color w:val="auto"/>
                <w:szCs w:val="21"/>
                <w:highlight w:val="none"/>
                <w:u w:val="single"/>
              </w:rPr>
            </w:pPr>
            <w:r>
              <w:rPr>
                <w:rFonts w:hint="eastAsia" w:hAnsi="宋体"/>
                <w:color w:val="auto"/>
                <w:szCs w:val="21"/>
                <w:highlight w:val="none"/>
                <w:u w:val="single"/>
              </w:rPr>
              <w:t>不平衡报价处理</w:t>
            </w:r>
          </w:p>
        </w:tc>
        <w:tc>
          <w:tcPr>
            <w:tcW w:w="6096" w:type="dxa"/>
            <w:tcBorders>
              <w:top w:val="single" w:color="auto" w:sz="4" w:space="0"/>
              <w:left w:val="single" w:color="auto" w:sz="4" w:space="0"/>
              <w:bottom w:val="single" w:color="auto" w:sz="4" w:space="0"/>
              <w:right w:val="single" w:color="auto" w:sz="4" w:space="0"/>
            </w:tcBorders>
            <w:vAlign w:val="center"/>
          </w:tcPr>
          <w:p>
            <w:pPr>
              <w:pStyle w:val="13"/>
              <w:numPr>
                <w:ilvl w:val="-1"/>
                <w:numId w:val="0"/>
              </w:numPr>
              <w:spacing w:line="360" w:lineRule="auto"/>
              <w:ind w:firstLine="0" w:firstLineChars="0"/>
              <w:rPr>
                <w:rFonts w:hint="eastAsia"/>
                <w:color w:val="auto"/>
                <w:highlight w:val="none"/>
              </w:rPr>
            </w:pPr>
            <w:r>
              <w:rPr>
                <w:rFonts w:hint="eastAsia"/>
                <w:b/>
                <w:bCs/>
                <w:color w:val="auto"/>
                <w:highlight w:val="none"/>
              </w:rPr>
              <w:t>注意事项：</w:t>
            </w:r>
            <w:r>
              <w:rPr>
                <w:rFonts w:hint="eastAsia"/>
                <w:color w:val="auto"/>
                <w:highlight w:val="none"/>
              </w:rPr>
              <w:t>如招标人发现投标人有不平衡报价情况，虽然不构成废标，但招标人在了解相关情况后，可能会作出不利于投标人的决定。如投标人出现不平衡报价，则在合同履行过程中将按照有利于招标人的原则进行修正，投标人应无条件服从。</w:t>
            </w:r>
          </w:p>
          <w:p>
            <w:pPr>
              <w:pStyle w:val="13"/>
              <w:numPr>
                <w:ilvl w:val="-1"/>
                <w:numId w:val="0"/>
              </w:numPr>
              <w:spacing w:line="360" w:lineRule="auto"/>
              <w:ind w:firstLine="0" w:firstLineChars="0"/>
              <w:rPr>
                <w:rFonts w:hint="eastAsia"/>
                <w:color w:val="auto"/>
                <w:highlight w:val="none"/>
              </w:rPr>
            </w:pPr>
            <w:r>
              <w:rPr>
                <w:rFonts w:hint="eastAsia"/>
                <w:color w:val="auto"/>
                <w:highlight w:val="none"/>
              </w:rPr>
              <w:t>1.不平衡报价的定义：如投标报价中工程量清单综合单价超出相关收费标准文件（同一检测项，相关收费标准文件中有多个价格的，取低值。），或投标报价中同类型检测项目工程量清单综合单价超出±20%浮动范围的，均视为不平衡报价。</w:t>
            </w:r>
          </w:p>
          <w:p>
            <w:pPr>
              <w:pStyle w:val="13"/>
              <w:numPr>
                <w:ilvl w:val="-1"/>
                <w:numId w:val="0"/>
              </w:numPr>
              <w:spacing w:line="360" w:lineRule="auto"/>
              <w:ind w:firstLine="0" w:firstLineChars="0"/>
              <w:rPr>
                <w:rFonts w:hint="eastAsia"/>
                <w:color w:val="auto"/>
                <w:highlight w:val="none"/>
              </w:rPr>
            </w:pPr>
            <w:r>
              <w:rPr>
                <w:rFonts w:hint="eastAsia"/>
                <w:color w:val="auto"/>
                <w:highlight w:val="none"/>
              </w:rPr>
              <w:t>2.注：同类型检测项目指相关收费标准文件（参照广东省物价局（粤价函【2004】428号，粤价函【2008】77号，粤价函【2012】1490号，粤价【2001】340号）及广东省建设工程质量安全检测和鉴定协会《关于印发&lt;广东省房屋建筑和市政工程质量安全检测收费指导价（第一批）&gt;和&lt;广东省既有房屋建筑安全性鉴定收费指导价&gt;的通知》（粤建检协【2015】8号）等相关文件），同一份文件中计费单位和单价一致的检测项目。</w:t>
            </w:r>
          </w:p>
          <w:p>
            <w:pPr>
              <w:pStyle w:val="13"/>
              <w:numPr>
                <w:ilvl w:val="-1"/>
                <w:numId w:val="0"/>
              </w:numPr>
              <w:spacing w:line="360" w:lineRule="auto"/>
              <w:ind w:firstLine="0" w:firstLineChars="0"/>
              <w:rPr>
                <w:rFonts w:hint="eastAsia"/>
                <w:color w:val="auto"/>
                <w:highlight w:val="none"/>
              </w:rPr>
            </w:pPr>
            <w:r>
              <w:rPr>
                <w:rFonts w:hint="eastAsia"/>
                <w:color w:val="auto"/>
                <w:highlight w:val="none"/>
              </w:rPr>
              <w:t>3. 出现不平衡报价的清单项，超出招标清单量以外部分，综合单价执行以下原则修正，并按修正后的综合单价作为结算价：</w:t>
            </w:r>
          </w:p>
          <w:p>
            <w:pPr>
              <w:pStyle w:val="13"/>
              <w:numPr>
                <w:ilvl w:val="-1"/>
                <w:numId w:val="0"/>
              </w:numPr>
              <w:spacing w:line="360" w:lineRule="auto"/>
              <w:ind w:firstLine="0" w:firstLineChars="0"/>
              <w:rPr>
                <w:rFonts w:hAnsi="宋体"/>
                <w:color w:val="auto"/>
                <w:szCs w:val="21"/>
                <w:highlight w:val="none"/>
                <w:u w:val="single"/>
              </w:rPr>
            </w:pPr>
            <w:r>
              <w:rPr>
                <w:rFonts w:hint="eastAsia"/>
                <w:color w:val="auto"/>
                <w:highlight w:val="none"/>
              </w:rPr>
              <w:t>修正后的综合单价=投标综合单价×（中标总价/招标控制总价）*100%。备注：如投标综合单价高于相关收费标准文件单价（同一检测项，相关收费标准文件中有多个价格的，取低值。），则计算基数按相关收费标准文件单价执行计算。</w:t>
            </w:r>
          </w:p>
        </w:tc>
      </w:tr>
    </w:tbl>
    <w:p>
      <w:pPr>
        <w:spacing w:line="200" w:lineRule="exact"/>
        <w:rPr>
          <w:color w:val="auto"/>
          <w:highlight w:val="none"/>
        </w:rPr>
      </w:pPr>
    </w:p>
    <w:p>
      <w:pPr>
        <w:pStyle w:val="5"/>
        <w:jc w:val="center"/>
        <w:rPr>
          <w:color w:val="auto"/>
          <w:highlight w:val="none"/>
        </w:rPr>
      </w:pPr>
      <w:r>
        <w:rPr>
          <w:color w:val="auto"/>
          <w:sz w:val="18"/>
          <w:highlight w:val="none"/>
        </w:rPr>
        <w:br w:type="page"/>
      </w:r>
      <w:bookmarkStart w:id="4" w:name="_Toc97798543"/>
      <w:bookmarkStart w:id="5" w:name="_Toc515205193"/>
      <w:bookmarkStart w:id="6" w:name="_Toc529196520"/>
      <w:r>
        <w:rPr>
          <w:color w:val="auto"/>
          <w:highlight w:val="none"/>
        </w:rPr>
        <w:t>1. 总则</w:t>
      </w:r>
      <w:bookmarkEnd w:id="4"/>
      <w:bookmarkEnd w:id="5"/>
      <w:bookmarkEnd w:id="6"/>
    </w:p>
    <w:p>
      <w:pPr>
        <w:pStyle w:val="5"/>
        <w:spacing w:before="120" w:after="120"/>
        <w:ind w:firstLine="137"/>
        <w:rPr>
          <w:color w:val="auto"/>
          <w:highlight w:val="none"/>
        </w:rPr>
      </w:pPr>
      <w:bookmarkStart w:id="7" w:name="_Toc529196521"/>
      <w:bookmarkStart w:id="8" w:name="_Toc97798544"/>
      <w:bookmarkStart w:id="9" w:name="_Toc515205194"/>
      <w:r>
        <w:rPr>
          <w:color w:val="auto"/>
          <w:highlight w:val="none"/>
        </w:rPr>
        <w:t>1.1 招标项目概况</w:t>
      </w:r>
      <w:bookmarkEnd w:id="7"/>
      <w:bookmarkEnd w:id="8"/>
      <w:bookmarkEnd w:id="9"/>
    </w:p>
    <w:p>
      <w:pPr>
        <w:spacing w:line="360" w:lineRule="auto"/>
        <w:ind w:firstLine="480" w:firstLineChars="200"/>
        <w:rPr>
          <w:color w:val="auto"/>
          <w:sz w:val="24"/>
          <w:highlight w:val="none"/>
        </w:rPr>
      </w:pPr>
      <w:r>
        <w:rPr>
          <w:color w:val="auto"/>
          <w:sz w:val="24"/>
          <w:highlight w:val="none"/>
        </w:rPr>
        <w:t>1.1.1根据《中华人民共和国招标投标法》、《中华人民共和国招标投标法实施条例》等有关法律、法规和规章的规定，本招标项目已具备招标条件，现对</w:t>
      </w:r>
      <w:r>
        <w:rPr>
          <w:rFonts w:hint="eastAsia"/>
          <w:b/>
          <w:bCs/>
          <w:color w:val="auto"/>
          <w:sz w:val="24"/>
          <w:highlight w:val="none"/>
          <w:u w:val="single"/>
        </w:rPr>
        <w:t>建筑节能、智能建筑、消防、附属结构检测服务等</w:t>
      </w:r>
      <w:r>
        <w:rPr>
          <w:color w:val="auto"/>
          <w:sz w:val="24"/>
          <w:highlight w:val="none"/>
        </w:rPr>
        <w:t>进行招标。</w:t>
      </w:r>
    </w:p>
    <w:p>
      <w:pPr>
        <w:spacing w:line="360" w:lineRule="auto"/>
        <w:ind w:firstLine="480" w:firstLineChars="200"/>
        <w:rPr>
          <w:color w:val="auto"/>
          <w:sz w:val="24"/>
          <w:highlight w:val="none"/>
        </w:rPr>
      </w:pPr>
      <w:r>
        <w:rPr>
          <w:color w:val="auto"/>
          <w:sz w:val="24"/>
          <w:highlight w:val="none"/>
        </w:rPr>
        <w:t>1.1.2 招标人：见投标人须知前附表。</w:t>
      </w:r>
    </w:p>
    <w:p>
      <w:pPr>
        <w:spacing w:line="360" w:lineRule="auto"/>
        <w:ind w:firstLine="480" w:firstLineChars="200"/>
        <w:rPr>
          <w:color w:val="auto"/>
          <w:sz w:val="24"/>
          <w:highlight w:val="none"/>
        </w:rPr>
      </w:pPr>
      <w:r>
        <w:rPr>
          <w:color w:val="auto"/>
          <w:sz w:val="24"/>
          <w:highlight w:val="none"/>
        </w:rPr>
        <w:t>1.1.3 招标代理机构：见投标人须知前附表。</w:t>
      </w:r>
    </w:p>
    <w:p>
      <w:pPr>
        <w:spacing w:line="360" w:lineRule="auto"/>
        <w:ind w:firstLine="480" w:firstLineChars="200"/>
        <w:rPr>
          <w:color w:val="auto"/>
          <w:sz w:val="24"/>
          <w:highlight w:val="none"/>
        </w:rPr>
      </w:pPr>
      <w:r>
        <w:rPr>
          <w:color w:val="auto"/>
          <w:sz w:val="24"/>
          <w:highlight w:val="none"/>
        </w:rPr>
        <w:t>1.1.4 招标项目名称：见投标人须知前附表。</w:t>
      </w:r>
    </w:p>
    <w:p>
      <w:pPr>
        <w:spacing w:line="360" w:lineRule="auto"/>
        <w:ind w:firstLine="480" w:firstLineChars="200"/>
        <w:rPr>
          <w:color w:val="auto"/>
          <w:sz w:val="24"/>
          <w:highlight w:val="none"/>
        </w:rPr>
      </w:pPr>
      <w:r>
        <w:rPr>
          <w:color w:val="auto"/>
          <w:sz w:val="24"/>
          <w:highlight w:val="none"/>
        </w:rPr>
        <w:t>1.1.5 项目建设地点：见投标人须知前附表。</w:t>
      </w:r>
    </w:p>
    <w:p>
      <w:pPr>
        <w:spacing w:line="360" w:lineRule="auto"/>
        <w:ind w:firstLine="480" w:firstLineChars="200"/>
        <w:rPr>
          <w:color w:val="auto"/>
          <w:sz w:val="24"/>
          <w:highlight w:val="none"/>
        </w:rPr>
      </w:pPr>
      <w:r>
        <w:rPr>
          <w:color w:val="auto"/>
          <w:sz w:val="24"/>
          <w:highlight w:val="none"/>
        </w:rPr>
        <w:t>1.1.6 项目建设规模：见投标人须知前附表。</w:t>
      </w:r>
    </w:p>
    <w:p>
      <w:pPr>
        <w:spacing w:line="360" w:lineRule="auto"/>
        <w:ind w:firstLine="480" w:firstLineChars="200"/>
        <w:rPr>
          <w:color w:val="auto"/>
          <w:sz w:val="24"/>
          <w:highlight w:val="none"/>
        </w:rPr>
      </w:pPr>
      <w:r>
        <w:rPr>
          <w:color w:val="auto"/>
          <w:sz w:val="24"/>
          <w:highlight w:val="none"/>
        </w:rPr>
        <w:t xml:space="preserve">1.1.7 </w:t>
      </w:r>
      <w:r>
        <w:rPr>
          <w:rFonts w:hint="eastAsia"/>
          <w:color w:val="auto"/>
          <w:sz w:val="24"/>
          <w:highlight w:val="none"/>
        </w:rPr>
        <w:t>工程项目施工预计开工日期和建设周期：见投标人须知前附表。</w:t>
      </w:r>
    </w:p>
    <w:p>
      <w:pPr>
        <w:spacing w:line="360" w:lineRule="auto"/>
        <w:ind w:firstLine="480" w:firstLineChars="200"/>
        <w:rPr>
          <w:color w:val="auto"/>
          <w:sz w:val="24"/>
          <w:highlight w:val="none"/>
        </w:rPr>
      </w:pPr>
      <w:r>
        <w:rPr>
          <w:color w:val="auto"/>
          <w:sz w:val="24"/>
          <w:highlight w:val="none"/>
        </w:rPr>
        <w:t xml:space="preserve">1.1.8 </w:t>
      </w:r>
      <w:r>
        <w:rPr>
          <w:rFonts w:hint="eastAsia"/>
          <w:color w:val="auto"/>
          <w:sz w:val="24"/>
          <w:highlight w:val="none"/>
        </w:rPr>
        <w:t>建筑安装工程费</w:t>
      </w:r>
      <w:r>
        <w:rPr>
          <w:color w:val="auto"/>
          <w:sz w:val="24"/>
          <w:highlight w:val="none"/>
        </w:rPr>
        <w:t>/</w:t>
      </w:r>
      <w:r>
        <w:rPr>
          <w:rFonts w:hint="eastAsia"/>
          <w:color w:val="auto"/>
          <w:sz w:val="24"/>
          <w:highlight w:val="none"/>
        </w:rPr>
        <w:t>投资估算：见投标人须知前附表。</w:t>
      </w:r>
    </w:p>
    <w:p>
      <w:pPr>
        <w:pStyle w:val="5"/>
        <w:ind w:firstLine="118"/>
        <w:rPr>
          <w:color w:val="auto"/>
          <w:highlight w:val="none"/>
        </w:rPr>
      </w:pPr>
      <w:bookmarkStart w:id="10" w:name="_Toc97798545"/>
      <w:bookmarkStart w:id="11" w:name="_Toc529196522"/>
      <w:bookmarkStart w:id="12" w:name="_Toc515205195"/>
      <w:r>
        <w:rPr>
          <w:color w:val="auto"/>
          <w:highlight w:val="none"/>
        </w:rPr>
        <w:t>1.2 招标项目的资金来源和落实情况</w:t>
      </w:r>
      <w:bookmarkEnd w:id="10"/>
      <w:bookmarkEnd w:id="11"/>
      <w:bookmarkEnd w:id="12"/>
    </w:p>
    <w:p>
      <w:pPr>
        <w:spacing w:line="360" w:lineRule="auto"/>
        <w:ind w:firstLine="480" w:firstLineChars="200"/>
        <w:rPr>
          <w:color w:val="auto"/>
          <w:sz w:val="24"/>
          <w:highlight w:val="none"/>
        </w:rPr>
      </w:pPr>
      <w:r>
        <w:rPr>
          <w:color w:val="auto"/>
          <w:sz w:val="24"/>
          <w:highlight w:val="none"/>
        </w:rPr>
        <w:t>1.2.1 资金来源及比例：见投标人须知前附表。</w:t>
      </w:r>
    </w:p>
    <w:p>
      <w:pPr>
        <w:spacing w:line="360" w:lineRule="auto"/>
        <w:ind w:firstLine="480" w:firstLineChars="200"/>
        <w:rPr>
          <w:color w:val="auto"/>
          <w:sz w:val="24"/>
          <w:highlight w:val="none"/>
        </w:rPr>
      </w:pPr>
      <w:r>
        <w:rPr>
          <w:color w:val="auto"/>
          <w:sz w:val="24"/>
          <w:highlight w:val="none"/>
        </w:rPr>
        <w:t>1.2.2 资金落实情况：见投标人须知前附表。</w:t>
      </w:r>
    </w:p>
    <w:p>
      <w:pPr>
        <w:pStyle w:val="5"/>
        <w:ind w:firstLine="118"/>
        <w:rPr>
          <w:color w:val="auto"/>
          <w:highlight w:val="none"/>
        </w:rPr>
      </w:pPr>
      <w:bookmarkStart w:id="13" w:name="_Toc515205196"/>
      <w:bookmarkStart w:id="14" w:name="_Toc97798546"/>
      <w:bookmarkStart w:id="15" w:name="_Toc529196523"/>
      <w:r>
        <w:rPr>
          <w:color w:val="auto"/>
          <w:highlight w:val="none"/>
        </w:rPr>
        <w:t>1.3招标范围、服务期限和质量标准</w:t>
      </w:r>
      <w:bookmarkEnd w:id="13"/>
      <w:bookmarkEnd w:id="14"/>
      <w:bookmarkEnd w:id="15"/>
    </w:p>
    <w:p>
      <w:pPr>
        <w:spacing w:line="360" w:lineRule="auto"/>
        <w:ind w:firstLine="480" w:firstLineChars="200"/>
        <w:rPr>
          <w:color w:val="auto"/>
          <w:sz w:val="24"/>
          <w:highlight w:val="none"/>
        </w:rPr>
      </w:pPr>
      <w:r>
        <w:rPr>
          <w:color w:val="auto"/>
          <w:sz w:val="24"/>
          <w:highlight w:val="none"/>
        </w:rPr>
        <w:t>1.3.1 招标范围：见投标人须知前附表。</w:t>
      </w:r>
    </w:p>
    <w:p>
      <w:pPr>
        <w:spacing w:line="360" w:lineRule="auto"/>
        <w:ind w:firstLine="480" w:firstLineChars="200"/>
        <w:rPr>
          <w:color w:val="auto"/>
          <w:sz w:val="24"/>
          <w:highlight w:val="none"/>
        </w:rPr>
      </w:pPr>
      <w:r>
        <w:rPr>
          <w:color w:val="auto"/>
          <w:sz w:val="24"/>
          <w:highlight w:val="none"/>
        </w:rPr>
        <w:t>1.3.2服务期限：见投标人须知前附表。</w:t>
      </w:r>
    </w:p>
    <w:p>
      <w:pPr>
        <w:spacing w:line="360" w:lineRule="auto"/>
        <w:ind w:firstLine="480" w:firstLineChars="200"/>
        <w:rPr>
          <w:color w:val="auto"/>
          <w:sz w:val="24"/>
          <w:highlight w:val="none"/>
        </w:rPr>
      </w:pPr>
      <w:r>
        <w:rPr>
          <w:color w:val="auto"/>
          <w:sz w:val="24"/>
          <w:highlight w:val="none"/>
        </w:rPr>
        <w:t>1.3.3 质量标准：见投标人须知前附表。</w:t>
      </w:r>
    </w:p>
    <w:p>
      <w:pPr>
        <w:pStyle w:val="5"/>
        <w:ind w:firstLine="118"/>
        <w:rPr>
          <w:color w:val="auto"/>
          <w:highlight w:val="none"/>
        </w:rPr>
      </w:pPr>
      <w:bookmarkStart w:id="16" w:name="_Toc529196524"/>
      <w:bookmarkStart w:id="17" w:name="_Toc515205197"/>
      <w:bookmarkStart w:id="18" w:name="_Toc97798547"/>
      <w:r>
        <w:rPr>
          <w:color w:val="auto"/>
          <w:highlight w:val="none"/>
        </w:rPr>
        <w:t>1.4投标人资格要求</w:t>
      </w:r>
      <w:bookmarkEnd w:id="16"/>
      <w:bookmarkEnd w:id="17"/>
      <w:bookmarkEnd w:id="18"/>
    </w:p>
    <w:p>
      <w:pPr>
        <w:spacing w:line="360" w:lineRule="auto"/>
        <w:ind w:firstLine="480" w:firstLineChars="200"/>
        <w:rPr>
          <w:color w:val="auto"/>
          <w:sz w:val="24"/>
          <w:highlight w:val="none"/>
        </w:rPr>
      </w:pPr>
      <w:r>
        <w:rPr>
          <w:color w:val="auto"/>
          <w:sz w:val="24"/>
          <w:highlight w:val="none"/>
        </w:rPr>
        <w:t>1.4.1 投标人应具备承担本招标项目资质条件、能力和信誉：</w:t>
      </w:r>
    </w:p>
    <w:p>
      <w:pPr>
        <w:spacing w:line="360" w:lineRule="auto"/>
        <w:ind w:firstLine="480" w:firstLineChars="200"/>
        <w:rPr>
          <w:color w:val="auto"/>
          <w:sz w:val="24"/>
          <w:highlight w:val="none"/>
        </w:rPr>
      </w:pPr>
      <w:r>
        <w:rPr>
          <w:rFonts w:hint="eastAsia"/>
          <w:color w:val="auto"/>
          <w:sz w:val="24"/>
          <w:highlight w:val="none"/>
        </w:rPr>
        <w:t>详见招标公告“3. 投标人资格要求”。</w:t>
      </w:r>
    </w:p>
    <w:p>
      <w:pPr>
        <w:spacing w:line="360" w:lineRule="auto"/>
        <w:ind w:firstLine="480" w:firstLineChars="200"/>
        <w:rPr>
          <w:color w:val="auto"/>
          <w:sz w:val="24"/>
          <w:highlight w:val="none"/>
        </w:rPr>
      </w:pPr>
      <w:r>
        <w:rPr>
          <w:color w:val="auto"/>
          <w:sz w:val="24"/>
          <w:highlight w:val="none"/>
        </w:rPr>
        <w:t>1.4.3 投标人不得存在下列情形之一：</w:t>
      </w:r>
    </w:p>
    <w:p>
      <w:pPr>
        <w:spacing w:line="360" w:lineRule="auto"/>
        <w:ind w:firstLine="480" w:firstLineChars="200"/>
        <w:rPr>
          <w:color w:val="auto"/>
          <w:sz w:val="24"/>
          <w:highlight w:val="none"/>
        </w:rPr>
      </w:pPr>
      <w:r>
        <w:rPr>
          <w:color w:val="auto"/>
          <w:sz w:val="24"/>
          <w:highlight w:val="none"/>
        </w:rPr>
        <w:t>（1）为招标人不具有独立法人资格的附属机构（单位）；</w:t>
      </w:r>
    </w:p>
    <w:p>
      <w:pPr>
        <w:spacing w:line="360" w:lineRule="auto"/>
        <w:ind w:firstLine="480" w:firstLineChars="200"/>
        <w:rPr>
          <w:color w:val="auto"/>
          <w:sz w:val="24"/>
          <w:highlight w:val="none"/>
        </w:rPr>
      </w:pPr>
      <w:r>
        <w:rPr>
          <w:color w:val="auto"/>
          <w:sz w:val="24"/>
          <w:highlight w:val="none"/>
        </w:rPr>
        <w:t>（2）与招标人存在利害关系且可能影响招标公正性；</w:t>
      </w:r>
    </w:p>
    <w:p>
      <w:pPr>
        <w:spacing w:line="360" w:lineRule="auto"/>
        <w:ind w:firstLine="480" w:firstLineChars="200"/>
        <w:rPr>
          <w:color w:val="auto"/>
          <w:sz w:val="24"/>
          <w:highlight w:val="none"/>
        </w:rPr>
      </w:pPr>
      <w:r>
        <w:rPr>
          <w:color w:val="auto"/>
          <w:sz w:val="24"/>
          <w:highlight w:val="none"/>
        </w:rPr>
        <w:t>（3）与本招标项目的其他投标人为同一个单位负责人；</w:t>
      </w:r>
    </w:p>
    <w:p>
      <w:pPr>
        <w:spacing w:line="360" w:lineRule="auto"/>
        <w:ind w:firstLine="480" w:firstLineChars="200"/>
        <w:rPr>
          <w:color w:val="auto"/>
          <w:sz w:val="24"/>
          <w:highlight w:val="none"/>
        </w:rPr>
      </w:pPr>
      <w:r>
        <w:rPr>
          <w:color w:val="auto"/>
          <w:sz w:val="24"/>
          <w:highlight w:val="none"/>
        </w:rPr>
        <w:t>（4）与本招标项目的其他投标人存在控股、管理关系；</w:t>
      </w:r>
    </w:p>
    <w:p>
      <w:pPr>
        <w:spacing w:line="360" w:lineRule="auto"/>
        <w:ind w:firstLine="480" w:firstLineChars="200"/>
        <w:rPr>
          <w:color w:val="auto"/>
          <w:sz w:val="24"/>
          <w:highlight w:val="none"/>
        </w:rPr>
      </w:pPr>
      <w:r>
        <w:rPr>
          <w:color w:val="auto"/>
          <w:sz w:val="24"/>
          <w:highlight w:val="none"/>
        </w:rPr>
        <w:t>（5）为本招标项目的代建人；</w:t>
      </w:r>
    </w:p>
    <w:p>
      <w:pPr>
        <w:spacing w:line="360" w:lineRule="auto"/>
        <w:ind w:firstLine="480" w:firstLineChars="200"/>
        <w:rPr>
          <w:color w:val="auto"/>
          <w:sz w:val="24"/>
          <w:highlight w:val="none"/>
        </w:rPr>
      </w:pPr>
      <w:r>
        <w:rPr>
          <w:color w:val="auto"/>
          <w:sz w:val="24"/>
          <w:highlight w:val="none"/>
        </w:rPr>
        <w:t>（6）为本招标项目的招标代理机构；</w:t>
      </w:r>
    </w:p>
    <w:p>
      <w:pPr>
        <w:spacing w:line="360" w:lineRule="auto"/>
        <w:ind w:firstLine="480" w:firstLineChars="200"/>
        <w:rPr>
          <w:color w:val="auto"/>
          <w:sz w:val="24"/>
          <w:highlight w:val="none"/>
        </w:rPr>
      </w:pPr>
      <w:r>
        <w:rPr>
          <w:color w:val="auto"/>
          <w:sz w:val="24"/>
          <w:highlight w:val="none"/>
        </w:rPr>
        <w:t>（7）与本招标项目的代建人或招标代理机构同为一个法定代表人；</w:t>
      </w:r>
    </w:p>
    <w:p>
      <w:pPr>
        <w:spacing w:line="360" w:lineRule="auto"/>
        <w:ind w:firstLine="480" w:firstLineChars="200"/>
        <w:rPr>
          <w:color w:val="auto"/>
          <w:sz w:val="24"/>
          <w:highlight w:val="none"/>
        </w:rPr>
      </w:pPr>
      <w:r>
        <w:rPr>
          <w:color w:val="auto"/>
          <w:sz w:val="24"/>
          <w:highlight w:val="none"/>
        </w:rPr>
        <w:t>（8）与本招标项目的代建人或招标代理机构存在控股或参股关系；</w:t>
      </w:r>
    </w:p>
    <w:p>
      <w:pPr>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与承担本招标项目监理业务的单位有隶属关系或其他利害关系；与</w:t>
      </w:r>
      <w:r>
        <w:rPr>
          <w:color w:val="auto"/>
          <w:sz w:val="24"/>
          <w:highlight w:val="none"/>
        </w:rPr>
        <w:t>本招标项目</w:t>
      </w:r>
      <w:r>
        <w:rPr>
          <w:rFonts w:hint="eastAsia"/>
          <w:color w:val="auto"/>
          <w:sz w:val="24"/>
          <w:highlight w:val="none"/>
        </w:rPr>
        <w:t>的施工承包人以</w:t>
      </w:r>
      <w:r>
        <w:rPr>
          <w:color w:val="auto"/>
          <w:sz w:val="24"/>
          <w:highlight w:val="none"/>
        </w:rPr>
        <w:t>及建筑材料、建筑构配件和设备供应商有隶属关系或者其他利害关系；</w:t>
      </w:r>
    </w:p>
    <w:p>
      <w:pPr>
        <w:spacing w:line="360" w:lineRule="auto"/>
        <w:ind w:firstLine="480" w:firstLineChars="200"/>
        <w:rPr>
          <w:color w:val="auto"/>
          <w:sz w:val="24"/>
          <w:highlight w:val="none"/>
        </w:rPr>
      </w:pPr>
      <w:r>
        <w:rPr>
          <w:color w:val="auto"/>
          <w:sz w:val="24"/>
          <w:highlight w:val="none"/>
        </w:rPr>
        <w:t>（10）被依法暂停或者取消投标资格；</w:t>
      </w:r>
    </w:p>
    <w:p>
      <w:pPr>
        <w:spacing w:line="360" w:lineRule="auto"/>
        <w:ind w:firstLine="480" w:firstLineChars="200"/>
        <w:rPr>
          <w:color w:val="auto"/>
          <w:sz w:val="24"/>
          <w:highlight w:val="none"/>
        </w:rPr>
      </w:pPr>
      <w:r>
        <w:rPr>
          <w:color w:val="auto"/>
          <w:sz w:val="24"/>
          <w:highlight w:val="none"/>
        </w:rPr>
        <w:t>（11）被责令停产停业、暂扣或者吊销许可证、暂扣或者吊销执照；</w:t>
      </w:r>
    </w:p>
    <w:p>
      <w:pPr>
        <w:spacing w:line="360" w:lineRule="auto"/>
        <w:ind w:firstLine="480" w:firstLineChars="200"/>
        <w:rPr>
          <w:color w:val="auto"/>
          <w:sz w:val="24"/>
          <w:highlight w:val="none"/>
        </w:rPr>
      </w:pPr>
      <w:r>
        <w:rPr>
          <w:color w:val="auto"/>
          <w:sz w:val="24"/>
          <w:highlight w:val="none"/>
        </w:rPr>
        <w:t>（12）进入清算程序，或被宣告破产，或其他丧失履约能力的情形；</w:t>
      </w:r>
    </w:p>
    <w:p>
      <w:pPr>
        <w:spacing w:line="360" w:lineRule="auto"/>
        <w:ind w:firstLine="480" w:firstLineChars="200"/>
        <w:rPr>
          <w:color w:val="auto"/>
          <w:sz w:val="24"/>
          <w:highlight w:val="none"/>
        </w:rPr>
      </w:pPr>
      <w:r>
        <w:rPr>
          <w:color w:val="auto"/>
          <w:sz w:val="24"/>
          <w:highlight w:val="none"/>
        </w:rPr>
        <w:t>（13）在最近三年内发生重大质量问题（以相关行业主管部门的行政处罚决定或司法机关出具的有关法律文书为准）；</w:t>
      </w:r>
    </w:p>
    <w:p>
      <w:pPr>
        <w:spacing w:line="360" w:lineRule="auto"/>
        <w:ind w:firstLine="480" w:firstLineChars="200"/>
        <w:rPr>
          <w:color w:val="auto"/>
          <w:sz w:val="24"/>
          <w:highlight w:val="none"/>
        </w:rPr>
      </w:pPr>
      <w:r>
        <w:rPr>
          <w:color w:val="auto"/>
          <w:sz w:val="24"/>
          <w:highlight w:val="none"/>
        </w:rPr>
        <w:t>（14）被工商行政管理机关在全国企业信用信息公示系统中列入严重违法失信企业名单；</w:t>
      </w:r>
    </w:p>
    <w:p>
      <w:pPr>
        <w:spacing w:line="360" w:lineRule="auto"/>
        <w:ind w:firstLine="480" w:firstLineChars="200"/>
        <w:rPr>
          <w:color w:val="auto"/>
          <w:sz w:val="24"/>
          <w:highlight w:val="none"/>
        </w:rPr>
      </w:pPr>
      <w:r>
        <w:rPr>
          <w:color w:val="auto"/>
          <w:sz w:val="24"/>
          <w:highlight w:val="none"/>
        </w:rPr>
        <w:t>（15）被最高人民法院在“信用中国”网站（www.creditchina.gov.cn）或各级信用信息共享平台中列入失信被执行人名单；</w:t>
      </w:r>
    </w:p>
    <w:p>
      <w:pPr>
        <w:spacing w:line="360" w:lineRule="auto"/>
        <w:ind w:firstLine="480" w:firstLineChars="200"/>
        <w:rPr>
          <w:color w:val="auto"/>
          <w:sz w:val="24"/>
          <w:highlight w:val="none"/>
        </w:rPr>
      </w:pPr>
      <w:r>
        <w:rPr>
          <w:color w:val="auto"/>
          <w:sz w:val="24"/>
          <w:highlight w:val="none"/>
        </w:rPr>
        <w:t>（16）在近三年内投标人或其法定代表人、拟委任的</w:t>
      </w:r>
      <w:r>
        <w:rPr>
          <w:rFonts w:hint="eastAsia"/>
          <w:color w:val="auto"/>
          <w:sz w:val="24"/>
          <w:highlight w:val="none"/>
        </w:rPr>
        <w:t>项目负责人</w:t>
      </w:r>
      <w:r>
        <w:rPr>
          <w:color w:val="auto"/>
          <w:sz w:val="24"/>
          <w:highlight w:val="none"/>
        </w:rPr>
        <w:t>有行贿犯罪行为的；</w:t>
      </w:r>
    </w:p>
    <w:p>
      <w:pPr>
        <w:spacing w:line="360" w:lineRule="auto"/>
        <w:ind w:firstLine="480" w:firstLineChars="200"/>
        <w:rPr>
          <w:color w:val="auto"/>
          <w:sz w:val="24"/>
          <w:highlight w:val="none"/>
        </w:rPr>
      </w:pPr>
      <w:r>
        <w:rPr>
          <w:color w:val="auto"/>
          <w:sz w:val="24"/>
          <w:highlight w:val="none"/>
        </w:rPr>
        <w:t>（17）法律法规或投标人须知前附表规定的其他情形。</w:t>
      </w:r>
    </w:p>
    <w:p>
      <w:pPr>
        <w:pStyle w:val="5"/>
        <w:ind w:firstLine="118"/>
        <w:rPr>
          <w:color w:val="auto"/>
          <w:highlight w:val="none"/>
        </w:rPr>
      </w:pPr>
      <w:bookmarkStart w:id="19" w:name="_Toc97798548"/>
      <w:bookmarkStart w:id="20" w:name="_Toc515205198"/>
      <w:bookmarkStart w:id="21" w:name="_Toc529196525"/>
      <w:r>
        <w:rPr>
          <w:color w:val="auto"/>
          <w:highlight w:val="none"/>
        </w:rPr>
        <w:t xml:space="preserve">1.5 </w:t>
      </w:r>
      <w:r>
        <w:rPr>
          <w:rFonts w:hint="eastAsia"/>
          <w:color w:val="auto"/>
          <w:highlight w:val="none"/>
        </w:rPr>
        <w:t>费用承担</w:t>
      </w:r>
      <w:bookmarkEnd w:id="19"/>
      <w:bookmarkEnd w:id="20"/>
      <w:bookmarkEnd w:id="21"/>
    </w:p>
    <w:p>
      <w:pPr>
        <w:spacing w:line="360" w:lineRule="auto"/>
        <w:ind w:firstLine="480" w:firstLineChars="200"/>
        <w:rPr>
          <w:color w:val="auto"/>
          <w:sz w:val="24"/>
          <w:highlight w:val="none"/>
        </w:rPr>
      </w:pPr>
      <w:r>
        <w:rPr>
          <w:color w:val="auto"/>
          <w:sz w:val="24"/>
          <w:highlight w:val="none"/>
        </w:rPr>
        <w:t>投标人准备和参加投标活动发生的费用自理。</w:t>
      </w:r>
    </w:p>
    <w:p>
      <w:pPr>
        <w:pStyle w:val="5"/>
        <w:ind w:firstLine="118"/>
        <w:rPr>
          <w:color w:val="auto"/>
          <w:highlight w:val="none"/>
        </w:rPr>
      </w:pPr>
      <w:bookmarkStart w:id="22" w:name="_Toc97798549"/>
      <w:bookmarkStart w:id="23" w:name="_Toc529196526"/>
      <w:bookmarkStart w:id="24" w:name="_Toc515205199"/>
      <w:r>
        <w:rPr>
          <w:color w:val="auto"/>
          <w:highlight w:val="none"/>
        </w:rPr>
        <w:t>1.6</w:t>
      </w:r>
      <w:r>
        <w:rPr>
          <w:rFonts w:hint="eastAsia"/>
          <w:color w:val="auto"/>
          <w:highlight w:val="none"/>
        </w:rPr>
        <w:t xml:space="preserve"> 保密</w:t>
      </w:r>
      <w:bookmarkEnd w:id="22"/>
      <w:bookmarkEnd w:id="23"/>
      <w:bookmarkEnd w:id="24"/>
    </w:p>
    <w:p>
      <w:pPr>
        <w:spacing w:line="360" w:lineRule="auto"/>
        <w:ind w:firstLine="480" w:firstLineChars="200"/>
        <w:rPr>
          <w:color w:val="auto"/>
          <w:sz w:val="24"/>
          <w:highlight w:val="none"/>
        </w:rPr>
      </w:pPr>
      <w:r>
        <w:rPr>
          <w:color w:val="auto"/>
          <w:sz w:val="24"/>
          <w:highlight w:val="none"/>
        </w:rPr>
        <w:t>参与招标投标活动的各方应对招标文件和投标文件中</w:t>
      </w:r>
      <w:bookmarkStart w:id="25" w:name="_Toc384308214"/>
      <w:bookmarkStart w:id="26" w:name="_Toc361508589"/>
      <w:bookmarkStart w:id="27" w:name="_Toc5326"/>
      <w:bookmarkStart w:id="28" w:name="_Toc369531519"/>
      <w:bookmarkStart w:id="29" w:name="_Toc352691477"/>
      <w:r>
        <w:rPr>
          <w:color w:val="auto"/>
          <w:sz w:val="24"/>
          <w:highlight w:val="none"/>
        </w:rPr>
        <w:t>的商业和技术等秘密保密</w:t>
      </w:r>
      <w:bookmarkEnd w:id="25"/>
      <w:bookmarkEnd w:id="26"/>
      <w:bookmarkEnd w:id="27"/>
      <w:bookmarkEnd w:id="28"/>
      <w:bookmarkEnd w:id="29"/>
      <w:r>
        <w:rPr>
          <w:color w:val="auto"/>
          <w:sz w:val="24"/>
          <w:highlight w:val="none"/>
        </w:rPr>
        <w:t>，否则应承担相应的法律责任。</w:t>
      </w:r>
    </w:p>
    <w:p>
      <w:pPr>
        <w:pStyle w:val="5"/>
        <w:ind w:firstLine="118"/>
        <w:rPr>
          <w:color w:val="auto"/>
          <w:highlight w:val="none"/>
        </w:rPr>
      </w:pPr>
      <w:bookmarkStart w:id="30" w:name="_Toc97798550"/>
      <w:bookmarkStart w:id="31" w:name="_Toc515205200"/>
      <w:bookmarkStart w:id="32" w:name="_Toc529196527"/>
      <w:r>
        <w:rPr>
          <w:color w:val="auto"/>
          <w:highlight w:val="none"/>
        </w:rPr>
        <w:t>1.7 语言文字</w:t>
      </w:r>
      <w:bookmarkEnd w:id="30"/>
      <w:bookmarkEnd w:id="31"/>
      <w:bookmarkEnd w:id="32"/>
    </w:p>
    <w:p>
      <w:pPr>
        <w:spacing w:line="360" w:lineRule="auto"/>
        <w:ind w:firstLine="480" w:firstLineChars="200"/>
        <w:rPr>
          <w:color w:val="auto"/>
          <w:sz w:val="24"/>
          <w:highlight w:val="none"/>
        </w:rPr>
      </w:pPr>
      <w:r>
        <w:rPr>
          <w:color w:val="auto"/>
          <w:sz w:val="24"/>
          <w:highlight w:val="none"/>
        </w:rPr>
        <w:t>招标投标文件使用的语言文字为中文。专用术语使用外文的，应附有中文注释。</w:t>
      </w:r>
    </w:p>
    <w:p>
      <w:pPr>
        <w:pStyle w:val="5"/>
        <w:ind w:firstLine="118"/>
        <w:rPr>
          <w:color w:val="auto"/>
          <w:highlight w:val="none"/>
        </w:rPr>
      </w:pPr>
      <w:bookmarkStart w:id="33" w:name="_Toc515205201"/>
      <w:bookmarkStart w:id="34" w:name="_Toc529196528"/>
      <w:bookmarkStart w:id="35" w:name="_Toc97798551"/>
      <w:r>
        <w:rPr>
          <w:color w:val="auto"/>
          <w:highlight w:val="none"/>
        </w:rPr>
        <w:t>1.8计量单位</w:t>
      </w:r>
      <w:bookmarkEnd w:id="33"/>
      <w:bookmarkEnd w:id="34"/>
      <w:bookmarkEnd w:id="35"/>
    </w:p>
    <w:p>
      <w:pPr>
        <w:spacing w:line="360" w:lineRule="auto"/>
        <w:ind w:firstLine="480" w:firstLineChars="200"/>
        <w:rPr>
          <w:color w:val="auto"/>
          <w:sz w:val="24"/>
          <w:highlight w:val="none"/>
        </w:rPr>
      </w:pPr>
      <w:r>
        <w:rPr>
          <w:color w:val="auto"/>
          <w:sz w:val="24"/>
          <w:highlight w:val="none"/>
        </w:rPr>
        <w:t>所有计量均采用中华人民共和国法定计量单位。</w:t>
      </w:r>
    </w:p>
    <w:p>
      <w:pPr>
        <w:pStyle w:val="5"/>
        <w:ind w:firstLine="118"/>
        <w:rPr>
          <w:color w:val="auto"/>
          <w:highlight w:val="none"/>
        </w:rPr>
      </w:pPr>
      <w:bookmarkStart w:id="36" w:name="_Toc247527563"/>
      <w:bookmarkStart w:id="37" w:name="_Toc97798552"/>
      <w:bookmarkStart w:id="38" w:name="_Toc482188480"/>
      <w:bookmarkStart w:id="39" w:name="_Toc529196529"/>
      <w:bookmarkStart w:id="40" w:name="_Toc152042315"/>
      <w:bookmarkStart w:id="41" w:name="_Toc361508594"/>
      <w:bookmarkStart w:id="42" w:name="_Toc370676289"/>
      <w:bookmarkStart w:id="43" w:name="_Toc384308219"/>
      <w:bookmarkStart w:id="44" w:name="_Toc247513962"/>
      <w:bookmarkStart w:id="45" w:name="_Toc144974507"/>
      <w:bookmarkStart w:id="46" w:name="_Toc391393967"/>
      <w:bookmarkStart w:id="47" w:name="_Toc515205202"/>
      <w:bookmarkStart w:id="48" w:name="_Toc152045539"/>
      <w:bookmarkStart w:id="49" w:name="_Toc300834959"/>
      <w:r>
        <w:rPr>
          <w:color w:val="auto"/>
          <w:highlight w:val="none"/>
        </w:rPr>
        <w:t>1.9</w:t>
      </w:r>
      <w:r>
        <w:rPr>
          <w:rFonts w:hint="eastAsia"/>
          <w:color w:val="auto"/>
          <w:highlight w:val="none"/>
        </w:rPr>
        <w:t xml:space="preserve"> 踏勘现场</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color w:val="auto"/>
          <w:sz w:val="24"/>
          <w:highlight w:val="none"/>
        </w:rPr>
      </w:pPr>
      <w:r>
        <w:rPr>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color w:val="auto"/>
          <w:sz w:val="24"/>
          <w:highlight w:val="none"/>
        </w:rPr>
      </w:pPr>
      <w:r>
        <w:rPr>
          <w:color w:val="auto"/>
          <w:sz w:val="24"/>
          <w:highlight w:val="none"/>
        </w:rPr>
        <w:t>1.9.2 投标人踏勘现场发生的费用自理。</w:t>
      </w:r>
    </w:p>
    <w:p>
      <w:pPr>
        <w:spacing w:line="360" w:lineRule="auto"/>
        <w:ind w:firstLine="480" w:firstLineChars="200"/>
        <w:rPr>
          <w:color w:val="auto"/>
          <w:sz w:val="24"/>
          <w:highlight w:val="none"/>
        </w:rPr>
      </w:pPr>
      <w:r>
        <w:rPr>
          <w:color w:val="auto"/>
          <w:sz w:val="24"/>
          <w:highlight w:val="none"/>
        </w:rPr>
        <w:t>1.9.3 除招标人的原因外，投标人自行负责在踏勘现场中所发生的人员伤亡和财产损失。</w:t>
      </w:r>
    </w:p>
    <w:p>
      <w:pPr>
        <w:spacing w:line="360" w:lineRule="auto"/>
        <w:ind w:firstLine="480" w:firstLineChars="200"/>
        <w:rPr>
          <w:color w:val="auto"/>
          <w:sz w:val="24"/>
          <w:highlight w:val="none"/>
        </w:rPr>
      </w:pPr>
      <w:r>
        <w:rPr>
          <w:color w:val="auto"/>
          <w:sz w:val="24"/>
          <w:highlight w:val="none"/>
        </w:rPr>
        <w:t>1.9.4 招标人在踏勘现场中介绍的工程场地和相关的周边环境情况，供投标人在编制投标文件时参考，招标人不对投标人据此作出的判断和决策负责。</w:t>
      </w:r>
    </w:p>
    <w:p>
      <w:pPr>
        <w:pStyle w:val="5"/>
        <w:ind w:firstLine="118"/>
        <w:rPr>
          <w:color w:val="auto"/>
          <w:highlight w:val="none"/>
        </w:rPr>
      </w:pPr>
      <w:bookmarkStart w:id="50" w:name="_Toc529196530"/>
      <w:bookmarkStart w:id="51" w:name="_Toc97798553"/>
      <w:bookmarkStart w:id="52" w:name="_Toc515205203"/>
      <w:r>
        <w:rPr>
          <w:color w:val="auto"/>
          <w:highlight w:val="none"/>
        </w:rPr>
        <w:t>1.10投标预备会</w:t>
      </w:r>
      <w:bookmarkEnd w:id="50"/>
      <w:bookmarkEnd w:id="51"/>
      <w:bookmarkEnd w:id="52"/>
    </w:p>
    <w:p>
      <w:pPr>
        <w:spacing w:line="360" w:lineRule="auto"/>
        <w:ind w:firstLine="480" w:firstLineChars="200"/>
        <w:rPr>
          <w:color w:val="auto"/>
          <w:sz w:val="24"/>
          <w:highlight w:val="none"/>
        </w:rPr>
      </w:pPr>
      <w:r>
        <w:rPr>
          <w:color w:val="auto"/>
          <w:sz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rPr>
          <w:color w:val="auto"/>
          <w:sz w:val="24"/>
          <w:highlight w:val="none"/>
        </w:rPr>
      </w:pPr>
      <w:r>
        <w:rPr>
          <w:color w:val="auto"/>
          <w:sz w:val="24"/>
          <w:highlight w:val="none"/>
        </w:rPr>
        <w:t>1.10.2 投标人应按投标人须知前附表规定的时间和形式将提出的问题送达招标人，以便招标人在会议期间澄清。</w:t>
      </w:r>
    </w:p>
    <w:p>
      <w:pPr>
        <w:spacing w:line="360" w:lineRule="auto"/>
        <w:ind w:firstLine="480" w:firstLineChars="200"/>
        <w:rPr>
          <w:color w:val="auto"/>
          <w:sz w:val="24"/>
          <w:highlight w:val="none"/>
        </w:rPr>
      </w:pPr>
      <w:r>
        <w:rPr>
          <w:color w:val="auto"/>
          <w:sz w:val="24"/>
          <w:highlight w:val="none"/>
        </w:rPr>
        <w:t>1.10.3 投标预备会后，招标人将对投标人所提问题的澄清，以投标人须知前附表规定的形式通知所有购买招标文件的投标人。该澄清内容为招标文件的组成部分。</w:t>
      </w:r>
    </w:p>
    <w:p>
      <w:pPr>
        <w:pStyle w:val="5"/>
        <w:ind w:firstLine="118"/>
        <w:rPr>
          <w:color w:val="auto"/>
          <w:highlight w:val="none"/>
        </w:rPr>
      </w:pPr>
      <w:bookmarkStart w:id="53" w:name="_Toc97798554"/>
      <w:bookmarkStart w:id="54" w:name="_Toc529196531"/>
      <w:bookmarkStart w:id="55" w:name="_Toc515205204"/>
      <w:r>
        <w:rPr>
          <w:color w:val="auto"/>
          <w:highlight w:val="none"/>
        </w:rPr>
        <w:t>1.11 分包</w:t>
      </w:r>
      <w:bookmarkEnd w:id="53"/>
      <w:bookmarkEnd w:id="54"/>
      <w:bookmarkEnd w:id="55"/>
    </w:p>
    <w:p>
      <w:pPr>
        <w:pStyle w:val="5"/>
        <w:ind w:firstLine="480" w:firstLineChars="200"/>
        <w:rPr>
          <w:b w:val="0"/>
          <w:bCs w:val="0"/>
          <w:color w:val="auto"/>
          <w:sz w:val="24"/>
          <w:szCs w:val="22"/>
          <w:highlight w:val="none"/>
        </w:rPr>
      </w:pPr>
      <w:bookmarkStart w:id="56" w:name="_Toc97798555"/>
      <w:bookmarkStart w:id="57" w:name="_Toc529196532"/>
      <w:bookmarkStart w:id="58" w:name="_Toc515205205"/>
      <w:r>
        <w:rPr>
          <w:b w:val="0"/>
          <w:bCs w:val="0"/>
          <w:color w:val="auto"/>
          <w:sz w:val="24"/>
          <w:szCs w:val="22"/>
          <w:highlight w:val="none"/>
        </w:rPr>
        <w:t>本项目除主要检测内容外，</w:t>
      </w:r>
      <w:bookmarkEnd w:id="56"/>
      <w:r>
        <w:rPr>
          <w:rFonts w:hint="eastAsia"/>
          <w:b w:val="0"/>
          <w:bCs w:val="0"/>
          <w:color w:val="auto"/>
          <w:sz w:val="24"/>
          <w:szCs w:val="22"/>
          <w:highlight w:val="none"/>
        </w:rPr>
        <w:t>如出现其他检测内容</w:t>
      </w:r>
      <w:r>
        <w:rPr>
          <w:b w:val="0"/>
          <w:bCs w:val="0"/>
          <w:color w:val="auto"/>
          <w:sz w:val="24"/>
          <w:szCs w:val="22"/>
          <w:highlight w:val="none"/>
        </w:rPr>
        <w:t>，</w:t>
      </w:r>
      <w:r>
        <w:rPr>
          <w:rFonts w:hint="eastAsia"/>
          <w:b w:val="0"/>
          <w:bCs w:val="0"/>
          <w:color w:val="auto"/>
          <w:sz w:val="24"/>
          <w:szCs w:val="22"/>
          <w:highlight w:val="none"/>
        </w:rPr>
        <w:t>且中标人检测资质不能涵盖，经</w:t>
      </w:r>
      <w:r>
        <w:rPr>
          <w:b w:val="0"/>
          <w:bCs w:val="0"/>
          <w:color w:val="auto"/>
          <w:sz w:val="24"/>
          <w:szCs w:val="22"/>
          <w:highlight w:val="none"/>
        </w:rPr>
        <w:t>报招标人批准后</w:t>
      </w:r>
      <w:r>
        <w:rPr>
          <w:rFonts w:hint="eastAsia"/>
          <w:b w:val="0"/>
          <w:bCs w:val="0"/>
          <w:color w:val="auto"/>
          <w:sz w:val="24"/>
          <w:szCs w:val="22"/>
          <w:highlight w:val="none"/>
        </w:rPr>
        <w:t>可依法进行分包，</w:t>
      </w:r>
      <w:r>
        <w:rPr>
          <w:b w:val="0"/>
          <w:bCs w:val="0"/>
          <w:color w:val="auto"/>
          <w:sz w:val="24"/>
          <w:szCs w:val="22"/>
          <w:highlight w:val="none"/>
        </w:rPr>
        <w:t>此部分工作产生的费用由中标人自行承担，已含于投标报价中</w:t>
      </w:r>
      <w:r>
        <w:rPr>
          <w:rFonts w:hint="eastAsia"/>
          <w:color w:val="auto"/>
          <w:highlight w:val="none"/>
        </w:rPr>
        <w:t>。</w:t>
      </w:r>
    </w:p>
    <w:p>
      <w:pPr>
        <w:pStyle w:val="5"/>
        <w:ind w:firstLine="118"/>
        <w:rPr>
          <w:color w:val="auto"/>
          <w:highlight w:val="none"/>
        </w:rPr>
      </w:pPr>
      <w:bookmarkStart w:id="59" w:name="_Toc97798556"/>
      <w:r>
        <w:rPr>
          <w:color w:val="auto"/>
          <w:highlight w:val="none"/>
        </w:rPr>
        <w:t>1.12响应和偏差</w:t>
      </w:r>
      <w:bookmarkEnd w:id="57"/>
      <w:bookmarkEnd w:id="58"/>
      <w:bookmarkEnd w:id="59"/>
    </w:p>
    <w:p>
      <w:pPr>
        <w:spacing w:line="360" w:lineRule="auto"/>
        <w:ind w:firstLine="480" w:firstLineChars="200"/>
        <w:rPr>
          <w:color w:val="auto"/>
          <w:sz w:val="24"/>
          <w:highlight w:val="none"/>
        </w:rPr>
      </w:pPr>
      <w:r>
        <w:rPr>
          <w:color w:val="auto"/>
          <w:sz w:val="24"/>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color w:val="auto"/>
          <w:sz w:val="24"/>
          <w:highlight w:val="none"/>
        </w:rPr>
      </w:pPr>
      <w:r>
        <w:rPr>
          <w:color w:val="auto"/>
          <w:sz w:val="24"/>
          <w:highlight w:val="none"/>
        </w:rPr>
        <w:t>1.12.2 投标人应根据招标文件的要求提供</w:t>
      </w:r>
      <w:r>
        <w:rPr>
          <w:rFonts w:hint="eastAsia"/>
          <w:color w:val="auto"/>
          <w:sz w:val="24"/>
          <w:highlight w:val="none"/>
        </w:rPr>
        <w:t>投标检测方案</w:t>
      </w:r>
      <w:r>
        <w:rPr>
          <w:color w:val="auto"/>
          <w:sz w:val="24"/>
          <w:highlight w:val="none"/>
        </w:rPr>
        <w:t>等内容以对招标文件作出响应。</w:t>
      </w:r>
    </w:p>
    <w:p>
      <w:pPr>
        <w:spacing w:line="360" w:lineRule="auto"/>
        <w:ind w:firstLine="480" w:firstLineChars="200"/>
        <w:rPr>
          <w:color w:val="auto"/>
          <w:sz w:val="24"/>
          <w:highlight w:val="none"/>
        </w:rPr>
      </w:pPr>
      <w:r>
        <w:rPr>
          <w:color w:val="auto"/>
          <w:sz w:val="24"/>
          <w:highlight w:val="none"/>
        </w:rPr>
        <w:t>1.12.3投标人须知前附表允许投标文件偏离招标文件某些要求的，偏差应当符合招标文件规定的偏差范围和幅度。</w:t>
      </w:r>
    </w:p>
    <w:p>
      <w:pPr>
        <w:pStyle w:val="5"/>
        <w:jc w:val="center"/>
        <w:rPr>
          <w:color w:val="auto"/>
          <w:highlight w:val="none"/>
        </w:rPr>
      </w:pPr>
      <w:bookmarkStart w:id="60" w:name="_Toc529196533"/>
      <w:bookmarkStart w:id="61" w:name="_Toc515205206"/>
      <w:bookmarkStart w:id="62" w:name="_Toc97798557"/>
      <w:r>
        <w:rPr>
          <w:color w:val="auto"/>
          <w:highlight w:val="none"/>
        </w:rPr>
        <w:t>2. 招标文件</w:t>
      </w:r>
      <w:bookmarkEnd w:id="60"/>
      <w:bookmarkEnd w:id="61"/>
      <w:bookmarkEnd w:id="62"/>
    </w:p>
    <w:p>
      <w:pPr>
        <w:pStyle w:val="5"/>
        <w:spacing w:before="120" w:after="120"/>
        <w:ind w:firstLine="137"/>
        <w:rPr>
          <w:color w:val="auto"/>
          <w:highlight w:val="none"/>
        </w:rPr>
      </w:pPr>
      <w:bookmarkStart w:id="63" w:name="_Toc97798558"/>
      <w:bookmarkStart w:id="64" w:name="_Toc529196534"/>
      <w:bookmarkStart w:id="65" w:name="_Toc515205207"/>
      <w:r>
        <w:rPr>
          <w:color w:val="auto"/>
          <w:highlight w:val="none"/>
        </w:rPr>
        <w:t>2.1 招标文件的组成</w:t>
      </w:r>
      <w:bookmarkEnd w:id="63"/>
      <w:bookmarkEnd w:id="64"/>
      <w:bookmarkEnd w:id="65"/>
    </w:p>
    <w:p>
      <w:pPr>
        <w:spacing w:line="360" w:lineRule="auto"/>
        <w:ind w:firstLine="410" w:firstLineChars="171"/>
        <w:rPr>
          <w:color w:val="auto"/>
          <w:sz w:val="24"/>
          <w:highlight w:val="none"/>
        </w:rPr>
      </w:pPr>
      <w:r>
        <w:rPr>
          <w:color w:val="auto"/>
          <w:sz w:val="24"/>
          <w:highlight w:val="none"/>
        </w:rPr>
        <w:t>本招标文件包括：</w:t>
      </w:r>
    </w:p>
    <w:p>
      <w:pPr>
        <w:spacing w:line="360" w:lineRule="auto"/>
        <w:ind w:firstLine="410" w:firstLineChars="171"/>
        <w:rPr>
          <w:color w:val="auto"/>
          <w:sz w:val="24"/>
          <w:highlight w:val="none"/>
        </w:rPr>
      </w:pPr>
      <w:r>
        <w:rPr>
          <w:color w:val="auto"/>
          <w:sz w:val="24"/>
          <w:highlight w:val="none"/>
        </w:rPr>
        <w:t>（1）招标公告（或投标邀请书）；</w:t>
      </w:r>
    </w:p>
    <w:p>
      <w:pPr>
        <w:spacing w:line="360" w:lineRule="auto"/>
        <w:ind w:firstLine="410" w:firstLineChars="171"/>
        <w:rPr>
          <w:color w:val="auto"/>
          <w:sz w:val="24"/>
          <w:highlight w:val="none"/>
        </w:rPr>
      </w:pPr>
      <w:r>
        <w:rPr>
          <w:color w:val="auto"/>
          <w:sz w:val="24"/>
          <w:highlight w:val="none"/>
        </w:rPr>
        <w:t>（2）投标人须知；</w:t>
      </w:r>
    </w:p>
    <w:p>
      <w:pPr>
        <w:spacing w:line="360" w:lineRule="auto"/>
        <w:ind w:firstLine="410" w:firstLineChars="171"/>
        <w:rPr>
          <w:color w:val="auto"/>
          <w:sz w:val="24"/>
          <w:highlight w:val="none"/>
        </w:rPr>
      </w:pPr>
      <w:r>
        <w:rPr>
          <w:color w:val="auto"/>
          <w:sz w:val="24"/>
          <w:highlight w:val="none"/>
        </w:rPr>
        <w:t>（3）评标办法；</w:t>
      </w:r>
    </w:p>
    <w:p>
      <w:pPr>
        <w:spacing w:line="360" w:lineRule="auto"/>
        <w:ind w:firstLine="410" w:firstLineChars="171"/>
        <w:rPr>
          <w:color w:val="auto"/>
          <w:sz w:val="24"/>
          <w:highlight w:val="none"/>
        </w:rPr>
      </w:pPr>
      <w:r>
        <w:rPr>
          <w:color w:val="auto"/>
          <w:sz w:val="24"/>
          <w:highlight w:val="none"/>
        </w:rPr>
        <w:t>（4）合同条款及格式；</w:t>
      </w:r>
    </w:p>
    <w:p>
      <w:pPr>
        <w:spacing w:line="360" w:lineRule="auto"/>
        <w:ind w:firstLine="410" w:firstLineChars="171"/>
        <w:rPr>
          <w:color w:val="auto"/>
          <w:sz w:val="24"/>
          <w:highlight w:val="none"/>
        </w:rPr>
      </w:pPr>
      <w:r>
        <w:rPr>
          <w:color w:val="auto"/>
          <w:sz w:val="24"/>
          <w:highlight w:val="none"/>
        </w:rPr>
        <w:t>（5）委托人要求；</w:t>
      </w:r>
    </w:p>
    <w:p>
      <w:pPr>
        <w:spacing w:line="360" w:lineRule="auto"/>
        <w:ind w:firstLine="410" w:firstLineChars="171"/>
        <w:rPr>
          <w:color w:val="auto"/>
          <w:sz w:val="24"/>
          <w:highlight w:val="none"/>
        </w:rPr>
      </w:pPr>
      <w:r>
        <w:rPr>
          <w:color w:val="auto"/>
          <w:sz w:val="24"/>
          <w:highlight w:val="none"/>
        </w:rPr>
        <w:t>（6）投标文件格式；</w:t>
      </w:r>
    </w:p>
    <w:p>
      <w:pPr>
        <w:spacing w:line="360" w:lineRule="auto"/>
        <w:ind w:firstLine="410" w:firstLineChars="171"/>
        <w:rPr>
          <w:color w:val="auto"/>
          <w:sz w:val="24"/>
          <w:highlight w:val="none"/>
        </w:rPr>
      </w:pPr>
      <w:r>
        <w:rPr>
          <w:rFonts w:hint="eastAsia"/>
          <w:color w:val="auto"/>
          <w:sz w:val="24"/>
          <w:highlight w:val="none"/>
        </w:rPr>
        <w:t>（7）检测工程量清单；</w:t>
      </w:r>
    </w:p>
    <w:p>
      <w:pPr>
        <w:spacing w:line="360" w:lineRule="auto"/>
        <w:ind w:firstLine="410" w:firstLineChars="171"/>
        <w:rPr>
          <w:color w:val="auto"/>
          <w:sz w:val="24"/>
          <w:highlight w:val="none"/>
        </w:rPr>
      </w:pPr>
      <w:r>
        <w:rPr>
          <w:color w:val="auto"/>
          <w:sz w:val="24"/>
          <w:highlight w:val="none"/>
        </w:rPr>
        <w:t>（</w:t>
      </w:r>
      <w:r>
        <w:rPr>
          <w:rFonts w:hint="eastAsia"/>
          <w:color w:val="auto"/>
          <w:sz w:val="24"/>
          <w:highlight w:val="none"/>
        </w:rPr>
        <w:t>8</w:t>
      </w:r>
      <w:r>
        <w:rPr>
          <w:color w:val="auto"/>
          <w:sz w:val="24"/>
          <w:highlight w:val="none"/>
        </w:rPr>
        <w:t>）投标人须知前附表规定的其他资料。</w:t>
      </w:r>
    </w:p>
    <w:p>
      <w:pPr>
        <w:spacing w:line="360" w:lineRule="auto"/>
        <w:ind w:firstLine="480" w:firstLineChars="200"/>
        <w:rPr>
          <w:color w:val="auto"/>
          <w:sz w:val="24"/>
          <w:highlight w:val="none"/>
        </w:rPr>
      </w:pPr>
      <w:r>
        <w:rPr>
          <w:color w:val="auto"/>
          <w:sz w:val="24"/>
          <w:highlight w:val="none"/>
        </w:rPr>
        <w:t>根据本章第1.10款、第2.2款和第2.3款对招标文件所作的澄清、修改，构成招标文件的组成部分。</w:t>
      </w:r>
    </w:p>
    <w:p>
      <w:pPr>
        <w:pStyle w:val="5"/>
        <w:spacing w:before="120" w:after="120"/>
        <w:ind w:firstLine="137"/>
        <w:rPr>
          <w:color w:val="auto"/>
          <w:highlight w:val="none"/>
        </w:rPr>
      </w:pPr>
      <w:bookmarkStart w:id="66" w:name="_Toc515205208"/>
      <w:bookmarkStart w:id="67" w:name="_Toc97798559"/>
      <w:bookmarkStart w:id="68" w:name="_Toc529196535"/>
      <w:r>
        <w:rPr>
          <w:color w:val="auto"/>
          <w:highlight w:val="none"/>
        </w:rPr>
        <w:t>2.2 招标文件的澄清</w:t>
      </w:r>
      <w:bookmarkEnd w:id="66"/>
      <w:bookmarkEnd w:id="67"/>
      <w:bookmarkEnd w:id="68"/>
    </w:p>
    <w:p>
      <w:pPr>
        <w:spacing w:line="360" w:lineRule="auto"/>
        <w:ind w:firstLine="410" w:firstLineChars="171"/>
        <w:rPr>
          <w:color w:val="auto"/>
          <w:sz w:val="24"/>
          <w:highlight w:val="none"/>
        </w:rPr>
      </w:pPr>
      <w:r>
        <w:rPr>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10" w:firstLineChars="171"/>
        <w:rPr>
          <w:color w:val="auto"/>
          <w:sz w:val="24"/>
          <w:highlight w:val="none"/>
        </w:rPr>
      </w:pPr>
      <w:r>
        <w:rPr>
          <w:color w:val="auto"/>
          <w:sz w:val="24"/>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10" w:firstLineChars="171"/>
        <w:rPr>
          <w:color w:val="auto"/>
          <w:sz w:val="24"/>
          <w:highlight w:val="none"/>
        </w:rPr>
      </w:pPr>
      <w:r>
        <w:rPr>
          <w:color w:val="auto"/>
          <w:sz w:val="24"/>
          <w:highlight w:val="none"/>
        </w:rPr>
        <w:t>2.2.3 投标人在收到澄清后，应按投标人须知前附表规定的时间和形式通知招标人，确认已收到该澄清。</w:t>
      </w:r>
    </w:p>
    <w:p>
      <w:pPr>
        <w:spacing w:line="360" w:lineRule="auto"/>
        <w:ind w:firstLine="410" w:firstLineChars="171"/>
        <w:rPr>
          <w:color w:val="auto"/>
          <w:sz w:val="24"/>
          <w:highlight w:val="none"/>
        </w:rPr>
      </w:pPr>
      <w:r>
        <w:rPr>
          <w:color w:val="auto"/>
          <w:sz w:val="24"/>
          <w:highlight w:val="none"/>
        </w:rPr>
        <w:t>2.2.4 除非招标人认为确有必要答复，否则，招标人有权拒绝回复投标人在</w:t>
      </w:r>
      <w:r>
        <w:rPr>
          <w:rFonts w:hint="eastAsia"/>
          <w:color w:val="auto"/>
          <w:sz w:val="24"/>
          <w:highlight w:val="none"/>
        </w:rPr>
        <w:t>本章第2.2.1项</w:t>
      </w:r>
      <w:r>
        <w:rPr>
          <w:color w:val="auto"/>
          <w:sz w:val="24"/>
          <w:highlight w:val="none"/>
        </w:rPr>
        <w:t>规定的时间后的任何澄清要求。</w:t>
      </w:r>
    </w:p>
    <w:p>
      <w:pPr>
        <w:pStyle w:val="5"/>
        <w:ind w:firstLine="137"/>
        <w:rPr>
          <w:color w:val="auto"/>
          <w:highlight w:val="none"/>
        </w:rPr>
      </w:pPr>
      <w:bookmarkStart w:id="69" w:name="_Toc97798560"/>
      <w:bookmarkStart w:id="70" w:name="_Toc529196536"/>
      <w:bookmarkStart w:id="71" w:name="_Toc515205209"/>
      <w:bookmarkStart w:id="72" w:name="_Toc352691479"/>
      <w:r>
        <w:rPr>
          <w:color w:val="auto"/>
          <w:highlight w:val="none"/>
        </w:rPr>
        <w:t>2.3 招标文件的修</w:t>
      </w:r>
      <w:bookmarkStart w:id="73" w:name="_Toc16514"/>
      <w:bookmarkStart w:id="74" w:name="_Toc369531521"/>
      <w:r>
        <w:rPr>
          <w:color w:val="auto"/>
          <w:highlight w:val="none"/>
        </w:rPr>
        <w:t>改</w:t>
      </w:r>
      <w:bookmarkEnd w:id="69"/>
      <w:bookmarkEnd w:id="70"/>
      <w:bookmarkEnd w:id="71"/>
    </w:p>
    <w:p>
      <w:pPr>
        <w:spacing w:line="360" w:lineRule="auto"/>
        <w:ind w:firstLine="410" w:firstLineChars="171"/>
        <w:rPr>
          <w:color w:val="auto"/>
          <w:sz w:val="24"/>
          <w:highlight w:val="none"/>
        </w:rPr>
      </w:pPr>
      <w:r>
        <w:rPr>
          <w:color w:val="auto"/>
          <w:sz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72"/>
    <w:bookmarkEnd w:id="73"/>
    <w:bookmarkEnd w:id="74"/>
    <w:p>
      <w:pPr>
        <w:spacing w:line="360" w:lineRule="auto"/>
        <w:ind w:firstLine="410" w:firstLineChars="171"/>
        <w:rPr>
          <w:color w:val="auto"/>
          <w:sz w:val="24"/>
          <w:highlight w:val="none"/>
        </w:rPr>
      </w:pPr>
      <w:r>
        <w:rPr>
          <w:color w:val="auto"/>
          <w:sz w:val="24"/>
          <w:highlight w:val="none"/>
        </w:rPr>
        <w:t>2.3.2 投标人收到修改内容</w:t>
      </w:r>
      <w:bookmarkStart w:id="75" w:name="_Toc152042314"/>
      <w:bookmarkStart w:id="76" w:name="_Toc247527562"/>
      <w:bookmarkStart w:id="77" w:name="_Toc369531524"/>
      <w:bookmarkStart w:id="78" w:name="_Toc384308218"/>
      <w:bookmarkStart w:id="79" w:name="_Toc300834958"/>
      <w:bookmarkStart w:id="80" w:name="_Toc144974506"/>
      <w:bookmarkStart w:id="81" w:name="_Toc352691482"/>
      <w:bookmarkStart w:id="82" w:name="_Toc24632"/>
      <w:bookmarkStart w:id="83" w:name="_Toc361508593"/>
      <w:bookmarkStart w:id="84" w:name="_Toc152045538"/>
      <w:bookmarkStart w:id="85" w:name="_Toc247513961"/>
      <w:r>
        <w:rPr>
          <w:color w:val="auto"/>
          <w:sz w:val="24"/>
          <w:highlight w:val="none"/>
        </w:rPr>
        <w:t>后，</w:t>
      </w:r>
      <w:bookmarkEnd w:id="75"/>
      <w:bookmarkEnd w:id="76"/>
      <w:bookmarkEnd w:id="77"/>
      <w:bookmarkEnd w:id="78"/>
      <w:bookmarkEnd w:id="79"/>
      <w:bookmarkEnd w:id="80"/>
      <w:bookmarkEnd w:id="81"/>
      <w:bookmarkEnd w:id="82"/>
      <w:bookmarkEnd w:id="83"/>
      <w:bookmarkEnd w:id="84"/>
      <w:bookmarkEnd w:id="85"/>
      <w:bookmarkStart w:id="86" w:name="_Toc369531526"/>
      <w:bookmarkStart w:id="87" w:name="_Toc16623"/>
      <w:bookmarkStart w:id="88" w:name="_Toc352691484"/>
      <w:bookmarkStart w:id="89" w:name="_Toc152045540"/>
      <w:bookmarkStart w:id="90" w:name="_Toc247513963"/>
      <w:bookmarkStart w:id="91" w:name="_Toc152042316"/>
      <w:bookmarkStart w:id="92" w:name="_Toc144974508"/>
      <w:bookmarkStart w:id="93" w:name="_Toc361508595"/>
      <w:bookmarkStart w:id="94" w:name="_Toc384308220"/>
      <w:bookmarkStart w:id="95" w:name="_Toc247527564"/>
      <w:bookmarkStart w:id="96" w:name="_Toc300834960"/>
      <w:r>
        <w:rPr>
          <w:color w:val="auto"/>
          <w:sz w:val="24"/>
          <w:highlight w:val="none"/>
        </w:rPr>
        <w:t>应按投标人须知前附表规定的时间和形式通知招标人，确认已收到该修改。</w:t>
      </w:r>
    </w:p>
    <w:p>
      <w:pPr>
        <w:pStyle w:val="5"/>
        <w:spacing w:before="120" w:after="120"/>
        <w:ind w:firstLine="137"/>
        <w:rPr>
          <w:color w:val="auto"/>
          <w:highlight w:val="none"/>
        </w:rPr>
      </w:pPr>
      <w:bookmarkStart w:id="97" w:name="_Toc529196537"/>
      <w:bookmarkStart w:id="98" w:name="_Toc97798561"/>
      <w:bookmarkStart w:id="99" w:name="_Toc515205210"/>
      <w:r>
        <w:rPr>
          <w:color w:val="auto"/>
          <w:highlight w:val="none"/>
        </w:rPr>
        <w:t>2.</w:t>
      </w:r>
      <w:bookmarkEnd w:id="86"/>
      <w:bookmarkEnd w:id="87"/>
      <w:bookmarkEnd w:id="88"/>
      <w:bookmarkEnd w:id="89"/>
      <w:bookmarkEnd w:id="90"/>
      <w:bookmarkEnd w:id="91"/>
      <w:bookmarkEnd w:id="92"/>
      <w:bookmarkEnd w:id="93"/>
      <w:bookmarkEnd w:id="94"/>
      <w:bookmarkEnd w:id="95"/>
      <w:bookmarkEnd w:id="96"/>
      <w:r>
        <w:rPr>
          <w:color w:val="auto"/>
          <w:highlight w:val="none"/>
        </w:rPr>
        <w:t>4 招标文件的异议</w:t>
      </w:r>
      <w:bookmarkEnd w:id="97"/>
      <w:bookmarkEnd w:id="98"/>
      <w:bookmarkEnd w:id="99"/>
    </w:p>
    <w:p>
      <w:pPr>
        <w:spacing w:line="360" w:lineRule="auto"/>
        <w:ind w:firstLine="410" w:firstLineChars="171"/>
        <w:rPr>
          <w:color w:val="auto"/>
          <w:sz w:val="24"/>
          <w:highlight w:val="none"/>
        </w:rPr>
      </w:pPr>
      <w:r>
        <w:rPr>
          <w:color w:val="auto"/>
          <w:sz w:val="24"/>
          <w:highlight w:val="none"/>
        </w:rPr>
        <w:t>投标人或者其他利害关系人对招标文件有异议的，应当在投标截止时间10日前以书面形式提出。招标人将在收到异议之日起3日内作出答复；作出答复前，将暂停招标投标活动。</w:t>
      </w:r>
    </w:p>
    <w:p>
      <w:pPr>
        <w:pStyle w:val="5"/>
        <w:jc w:val="center"/>
        <w:rPr>
          <w:color w:val="auto"/>
          <w:highlight w:val="none"/>
        </w:rPr>
      </w:pPr>
      <w:bookmarkStart w:id="100" w:name="_Toc97798562"/>
      <w:bookmarkStart w:id="101" w:name="_Toc515205211"/>
      <w:bookmarkStart w:id="102" w:name="_Toc529196538"/>
      <w:r>
        <w:rPr>
          <w:color w:val="auto"/>
          <w:highlight w:val="none"/>
        </w:rPr>
        <w:t>3. 投标文件</w:t>
      </w:r>
      <w:bookmarkEnd w:id="100"/>
      <w:bookmarkEnd w:id="101"/>
      <w:bookmarkEnd w:id="102"/>
    </w:p>
    <w:p>
      <w:pPr>
        <w:pStyle w:val="5"/>
        <w:spacing w:before="120" w:after="120"/>
        <w:ind w:firstLine="137"/>
        <w:rPr>
          <w:color w:val="auto"/>
          <w:highlight w:val="none"/>
        </w:rPr>
      </w:pPr>
      <w:bookmarkStart w:id="103" w:name="_Toc97798563"/>
      <w:bookmarkStart w:id="104" w:name="_Toc515205212"/>
      <w:bookmarkStart w:id="105" w:name="_Toc529196539"/>
      <w:r>
        <w:rPr>
          <w:color w:val="auto"/>
          <w:highlight w:val="none"/>
        </w:rPr>
        <w:t>3.1 投标文件的组成</w:t>
      </w:r>
      <w:bookmarkEnd w:id="103"/>
      <w:bookmarkEnd w:id="104"/>
      <w:bookmarkEnd w:id="105"/>
    </w:p>
    <w:p>
      <w:pPr>
        <w:spacing w:line="360" w:lineRule="auto"/>
        <w:rPr>
          <w:color w:val="auto"/>
          <w:sz w:val="24"/>
          <w:highlight w:val="none"/>
        </w:rPr>
      </w:pPr>
      <w:r>
        <w:rPr>
          <w:color w:val="auto"/>
          <w:sz w:val="24"/>
          <w:highlight w:val="none"/>
        </w:rPr>
        <w:t>　　3.1.1 投标文件应包括下列内容：</w:t>
      </w:r>
    </w:p>
    <w:p>
      <w:pPr>
        <w:spacing w:line="440" w:lineRule="exact"/>
        <w:ind w:firstLine="480" w:firstLineChars="200"/>
        <w:rPr>
          <w:rFonts w:cs="宋体"/>
          <w:color w:val="auto"/>
          <w:sz w:val="24"/>
          <w:szCs w:val="24"/>
          <w:highlight w:val="none"/>
          <w:u w:val="single"/>
        </w:rPr>
      </w:pPr>
      <w:r>
        <w:rPr>
          <w:rFonts w:hint="eastAsia" w:hAnsi="宋体" w:cs="宋体"/>
          <w:color w:val="auto"/>
          <w:sz w:val="24"/>
          <w:szCs w:val="24"/>
          <w:highlight w:val="none"/>
          <w:u w:val="single"/>
        </w:rPr>
        <w:t>（</w:t>
      </w:r>
      <w:r>
        <w:rPr>
          <w:rFonts w:hint="eastAsia" w:cs="宋体"/>
          <w:color w:val="auto"/>
          <w:sz w:val="24"/>
          <w:szCs w:val="24"/>
          <w:highlight w:val="none"/>
          <w:u w:val="single"/>
        </w:rPr>
        <w:t>1</w:t>
      </w:r>
      <w:r>
        <w:rPr>
          <w:rFonts w:hint="eastAsia" w:hAnsi="宋体" w:cs="宋体"/>
          <w:color w:val="auto"/>
          <w:sz w:val="24"/>
          <w:szCs w:val="24"/>
          <w:highlight w:val="none"/>
          <w:u w:val="single"/>
        </w:rPr>
        <w:t>）</w:t>
      </w:r>
      <w:r>
        <w:rPr>
          <w:rFonts w:hAnsi="宋体" w:cs="宋体"/>
          <w:color w:val="auto"/>
          <w:sz w:val="24"/>
          <w:szCs w:val="24"/>
          <w:highlight w:val="none"/>
          <w:u w:val="single"/>
        </w:rPr>
        <w:t>投标函及</w:t>
      </w:r>
      <w:r>
        <w:rPr>
          <w:rFonts w:hint="eastAsia" w:hAnsi="宋体" w:cs="宋体"/>
          <w:color w:val="auto"/>
          <w:sz w:val="24"/>
          <w:szCs w:val="24"/>
          <w:highlight w:val="none"/>
          <w:u w:val="single"/>
        </w:rPr>
        <w:t>投标函附录；</w:t>
      </w:r>
    </w:p>
    <w:p>
      <w:pPr>
        <w:spacing w:line="440" w:lineRule="exact"/>
        <w:ind w:firstLine="480" w:firstLineChars="200"/>
        <w:rPr>
          <w:rFonts w:cs="宋体"/>
          <w:color w:val="auto"/>
          <w:sz w:val="24"/>
          <w:szCs w:val="24"/>
          <w:highlight w:val="none"/>
          <w:u w:val="single"/>
        </w:rPr>
      </w:pPr>
      <w:r>
        <w:rPr>
          <w:rFonts w:hint="eastAsia" w:hAnsi="宋体" w:cs="宋体"/>
          <w:color w:val="auto"/>
          <w:sz w:val="24"/>
          <w:szCs w:val="24"/>
          <w:highlight w:val="none"/>
          <w:u w:val="single"/>
        </w:rPr>
        <w:t>（</w:t>
      </w:r>
      <w:r>
        <w:rPr>
          <w:rFonts w:hint="eastAsia" w:cs="宋体"/>
          <w:color w:val="auto"/>
          <w:sz w:val="24"/>
          <w:szCs w:val="24"/>
          <w:highlight w:val="none"/>
          <w:u w:val="single"/>
        </w:rPr>
        <w:t>2</w:t>
      </w:r>
      <w:r>
        <w:rPr>
          <w:rFonts w:hint="eastAsia" w:hAnsi="宋体" w:cs="宋体"/>
          <w:color w:val="auto"/>
          <w:sz w:val="24"/>
          <w:szCs w:val="24"/>
          <w:highlight w:val="none"/>
          <w:u w:val="single"/>
        </w:rPr>
        <w:t>）法定代表人身份证明或授权委托书；</w:t>
      </w:r>
    </w:p>
    <w:p>
      <w:pPr>
        <w:spacing w:line="440" w:lineRule="exact"/>
        <w:ind w:firstLine="480" w:firstLineChars="200"/>
        <w:rPr>
          <w:rFonts w:cs="宋体"/>
          <w:color w:val="auto"/>
          <w:sz w:val="24"/>
          <w:szCs w:val="24"/>
          <w:highlight w:val="none"/>
          <w:u w:val="single"/>
        </w:rPr>
      </w:pPr>
      <w:r>
        <w:rPr>
          <w:rFonts w:hint="eastAsia" w:hAnsi="宋体" w:cs="宋体"/>
          <w:color w:val="auto"/>
          <w:sz w:val="24"/>
          <w:szCs w:val="24"/>
          <w:highlight w:val="none"/>
          <w:u w:val="single"/>
        </w:rPr>
        <w:t>（</w:t>
      </w:r>
      <w:r>
        <w:rPr>
          <w:rFonts w:hint="eastAsia" w:cs="宋体"/>
          <w:color w:val="auto"/>
          <w:sz w:val="24"/>
          <w:szCs w:val="24"/>
          <w:highlight w:val="none"/>
          <w:u w:val="single"/>
        </w:rPr>
        <w:t>3</w:t>
      </w:r>
      <w:r>
        <w:rPr>
          <w:rFonts w:hint="eastAsia" w:hAnsi="宋体" w:cs="宋体"/>
          <w:color w:val="auto"/>
          <w:sz w:val="24"/>
          <w:szCs w:val="24"/>
          <w:highlight w:val="none"/>
          <w:u w:val="single"/>
        </w:rPr>
        <w:t>）投标保证金</w:t>
      </w:r>
    </w:p>
    <w:p>
      <w:pPr>
        <w:spacing w:line="440" w:lineRule="exact"/>
        <w:ind w:firstLine="480" w:firstLineChars="200"/>
        <w:rPr>
          <w:rFonts w:cs="宋体"/>
          <w:color w:val="auto"/>
          <w:sz w:val="24"/>
          <w:szCs w:val="24"/>
          <w:highlight w:val="none"/>
          <w:u w:val="single"/>
        </w:rPr>
      </w:pPr>
      <w:r>
        <w:rPr>
          <w:rFonts w:hint="eastAsia" w:hAnsi="宋体" w:cs="宋体"/>
          <w:color w:val="auto"/>
          <w:sz w:val="24"/>
          <w:szCs w:val="24"/>
          <w:highlight w:val="none"/>
          <w:u w:val="single"/>
        </w:rPr>
        <w:t>（</w:t>
      </w:r>
      <w:r>
        <w:rPr>
          <w:rFonts w:hint="eastAsia" w:cs="宋体"/>
          <w:color w:val="auto"/>
          <w:sz w:val="24"/>
          <w:szCs w:val="24"/>
          <w:highlight w:val="none"/>
          <w:u w:val="single"/>
        </w:rPr>
        <w:t>4</w:t>
      </w:r>
      <w:r>
        <w:rPr>
          <w:rFonts w:hint="eastAsia" w:hAnsi="宋体" w:cs="宋体"/>
          <w:color w:val="auto"/>
          <w:sz w:val="24"/>
          <w:szCs w:val="24"/>
          <w:highlight w:val="none"/>
          <w:u w:val="single"/>
        </w:rPr>
        <w:t>）投标报价书；</w:t>
      </w:r>
    </w:p>
    <w:p>
      <w:pPr>
        <w:spacing w:line="440" w:lineRule="exact"/>
        <w:ind w:firstLine="480" w:firstLineChars="200"/>
        <w:rPr>
          <w:rFonts w:cs="宋体"/>
          <w:color w:val="auto"/>
          <w:sz w:val="24"/>
          <w:szCs w:val="24"/>
          <w:highlight w:val="none"/>
          <w:u w:val="single"/>
        </w:rPr>
      </w:pPr>
      <w:r>
        <w:rPr>
          <w:rFonts w:hint="eastAsia" w:hAnsi="宋体" w:cs="宋体"/>
          <w:color w:val="auto"/>
          <w:sz w:val="24"/>
          <w:szCs w:val="24"/>
          <w:highlight w:val="none"/>
          <w:u w:val="single"/>
        </w:rPr>
        <w:t>（</w:t>
      </w:r>
      <w:r>
        <w:rPr>
          <w:rFonts w:hint="eastAsia" w:cs="宋体"/>
          <w:color w:val="auto"/>
          <w:sz w:val="24"/>
          <w:szCs w:val="24"/>
          <w:highlight w:val="none"/>
          <w:u w:val="single"/>
        </w:rPr>
        <w:t>5</w:t>
      </w:r>
      <w:r>
        <w:rPr>
          <w:rFonts w:hint="eastAsia" w:hAnsi="宋体" w:cs="宋体"/>
          <w:color w:val="auto"/>
          <w:sz w:val="24"/>
          <w:szCs w:val="24"/>
          <w:highlight w:val="none"/>
          <w:u w:val="single"/>
        </w:rPr>
        <w:t>）资格审查资料；</w:t>
      </w:r>
    </w:p>
    <w:p>
      <w:pPr>
        <w:spacing w:line="440" w:lineRule="exact"/>
        <w:ind w:firstLine="480" w:firstLineChars="200"/>
        <w:rPr>
          <w:rFonts w:cs="宋体"/>
          <w:color w:val="auto"/>
          <w:sz w:val="24"/>
          <w:szCs w:val="24"/>
          <w:highlight w:val="none"/>
          <w:u w:val="single"/>
        </w:rPr>
      </w:pPr>
      <w:r>
        <w:rPr>
          <w:rFonts w:hint="eastAsia" w:hAnsi="宋体" w:cs="宋体"/>
          <w:color w:val="auto"/>
          <w:sz w:val="24"/>
          <w:szCs w:val="24"/>
          <w:highlight w:val="none"/>
          <w:u w:val="single"/>
        </w:rPr>
        <w:t>（</w:t>
      </w:r>
      <w:r>
        <w:rPr>
          <w:rFonts w:hint="eastAsia" w:cs="宋体"/>
          <w:color w:val="auto"/>
          <w:sz w:val="24"/>
          <w:szCs w:val="24"/>
          <w:highlight w:val="none"/>
          <w:u w:val="single"/>
        </w:rPr>
        <w:t>6</w:t>
      </w:r>
      <w:r>
        <w:rPr>
          <w:rFonts w:hint="eastAsia" w:hAnsi="宋体" w:cs="宋体"/>
          <w:color w:val="auto"/>
          <w:sz w:val="24"/>
          <w:szCs w:val="24"/>
          <w:highlight w:val="none"/>
          <w:u w:val="single"/>
        </w:rPr>
        <w:t>）企业资信业绩证明资料；</w:t>
      </w:r>
    </w:p>
    <w:p>
      <w:pPr>
        <w:spacing w:line="440" w:lineRule="exact"/>
        <w:ind w:firstLine="480" w:firstLineChars="200"/>
        <w:rPr>
          <w:rFonts w:cs="宋体"/>
          <w:color w:val="auto"/>
          <w:sz w:val="24"/>
          <w:szCs w:val="24"/>
          <w:highlight w:val="none"/>
          <w:u w:val="single"/>
        </w:rPr>
      </w:pPr>
      <w:r>
        <w:rPr>
          <w:rFonts w:hint="eastAsia" w:hAnsi="宋体" w:cs="宋体"/>
          <w:color w:val="auto"/>
          <w:sz w:val="24"/>
          <w:szCs w:val="24"/>
          <w:highlight w:val="none"/>
          <w:u w:val="single"/>
        </w:rPr>
        <w:t>（</w:t>
      </w:r>
      <w:r>
        <w:rPr>
          <w:rFonts w:hint="eastAsia" w:cs="宋体"/>
          <w:color w:val="auto"/>
          <w:sz w:val="24"/>
          <w:szCs w:val="24"/>
          <w:highlight w:val="none"/>
          <w:u w:val="single"/>
        </w:rPr>
        <w:t>7</w:t>
      </w:r>
      <w:r>
        <w:rPr>
          <w:rFonts w:hint="eastAsia" w:hAnsi="宋体" w:cs="宋体"/>
          <w:color w:val="auto"/>
          <w:sz w:val="24"/>
          <w:szCs w:val="24"/>
          <w:highlight w:val="none"/>
          <w:u w:val="single"/>
        </w:rPr>
        <w:t>）检测方案；</w:t>
      </w:r>
    </w:p>
    <w:p>
      <w:pPr>
        <w:spacing w:line="440" w:lineRule="exact"/>
        <w:ind w:firstLine="480" w:firstLineChars="200"/>
        <w:rPr>
          <w:rFonts w:cs="宋体"/>
          <w:color w:val="auto"/>
          <w:sz w:val="24"/>
          <w:szCs w:val="24"/>
          <w:highlight w:val="none"/>
        </w:rPr>
      </w:pPr>
      <w:r>
        <w:rPr>
          <w:rFonts w:hint="eastAsia" w:hAnsi="宋体" w:cs="宋体"/>
          <w:color w:val="auto"/>
          <w:sz w:val="24"/>
          <w:szCs w:val="24"/>
          <w:highlight w:val="none"/>
          <w:u w:val="single"/>
        </w:rPr>
        <w:t>（</w:t>
      </w:r>
      <w:r>
        <w:rPr>
          <w:rFonts w:hint="eastAsia" w:cs="宋体"/>
          <w:color w:val="auto"/>
          <w:sz w:val="24"/>
          <w:szCs w:val="24"/>
          <w:highlight w:val="none"/>
          <w:u w:val="single"/>
        </w:rPr>
        <w:t>8</w:t>
      </w:r>
      <w:r>
        <w:rPr>
          <w:rFonts w:hint="eastAsia" w:hAnsi="宋体" w:cs="宋体"/>
          <w:color w:val="auto"/>
          <w:sz w:val="24"/>
          <w:szCs w:val="24"/>
          <w:highlight w:val="none"/>
          <w:u w:val="single"/>
        </w:rPr>
        <w:t>）其他资料（投标人认为有必要提交或根据投标人资格和评标办法要求提交的其他资料）。</w:t>
      </w:r>
    </w:p>
    <w:p>
      <w:pPr>
        <w:spacing w:line="440" w:lineRule="exact"/>
        <w:ind w:firstLine="480" w:firstLineChars="200"/>
        <w:rPr>
          <w:rFonts w:cs="宋体"/>
          <w:color w:val="auto"/>
          <w:sz w:val="24"/>
          <w:szCs w:val="24"/>
          <w:highlight w:val="none"/>
          <w:u w:val="single"/>
        </w:rPr>
      </w:pPr>
      <w:r>
        <w:rPr>
          <w:rFonts w:hint="eastAsia" w:hAnsi="宋体" w:cs="宋体"/>
          <w:color w:val="auto"/>
          <w:sz w:val="24"/>
          <w:szCs w:val="24"/>
          <w:highlight w:val="none"/>
        </w:rPr>
        <w:t>投标人在评标过程中作出的符合法律法规和招标文件规定的澄清确认，构成投标文件的组成部分。</w:t>
      </w:r>
    </w:p>
    <w:p>
      <w:pPr>
        <w:spacing w:line="360" w:lineRule="auto"/>
        <w:ind w:firstLine="410" w:firstLineChars="171"/>
        <w:rPr>
          <w:color w:val="auto"/>
          <w:sz w:val="24"/>
          <w:highlight w:val="none"/>
        </w:rPr>
      </w:pPr>
      <w:r>
        <w:rPr>
          <w:color w:val="auto"/>
          <w:sz w:val="24"/>
          <w:highlight w:val="none"/>
        </w:rPr>
        <w:t>3.1.2 投标人须知前附表规定不接受联合体投标的，或投标人没有组成联合体的，投标文件不包括本章第3.1.1所指的联合体协议书。</w:t>
      </w:r>
    </w:p>
    <w:p>
      <w:pPr>
        <w:spacing w:line="360" w:lineRule="auto"/>
        <w:ind w:firstLine="410" w:firstLineChars="171"/>
        <w:rPr>
          <w:color w:val="auto"/>
          <w:sz w:val="24"/>
          <w:highlight w:val="none"/>
        </w:rPr>
      </w:pPr>
      <w:r>
        <w:rPr>
          <w:color w:val="auto"/>
          <w:sz w:val="24"/>
          <w:highlight w:val="none"/>
        </w:rPr>
        <w:t>3.1.3 投标人须知前附表未要求提交投标保证金的，投标文件不包括本章第3.1.1（</w:t>
      </w:r>
      <w:r>
        <w:rPr>
          <w:rFonts w:hint="eastAsia"/>
          <w:color w:val="auto"/>
          <w:sz w:val="24"/>
          <w:highlight w:val="none"/>
        </w:rPr>
        <w:t>3</w:t>
      </w:r>
      <w:r>
        <w:rPr>
          <w:color w:val="auto"/>
          <w:sz w:val="24"/>
          <w:highlight w:val="none"/>
        </w:rPr>
        <w:t>）目所指的投标保证金。</w:t>
      </w:r>
    </w:p>
    <w:p>
      <w:pPr>
        <w:pStyle w:val="5"/>
        <w:ind w:firstLine="118"/>
        <w:rPr>
          <w:color w:val="auto"/>
          <w:highlight w:val="none"/>
        </w:rPr>
      </w:pPr>
      <w:bookmarkStart w:id="106" w:name="_Toc515205213"/>
      <w:bookmarkStart w:id="107" w:name="_Toc529196540"/>
      <w:bookmarkStart w:id="108" w:name="_Toc514876754"/>
      <w:bookmarkStart w:id="109" w:name="_Toc97798564"/>
      <w:r>
        <w:rPr>
          <w:color w:val="auto"/>
          <w:highlight w:val="none"/>
        </w:rPr>
        <w:t>3.2 投标报价</w:t>
      </w:r>
      <w:bookmarkEnd w:id="106"/>
      <w:bookmarkEnd w:id="107"/>
      <w:bookmarkEnd w:id="108"/>
      <w:bookmarkEnd w:id="109"/>
    </w:p>
    <w:p>
      <w:pPr>
        <w:pStyle w:val="140"/>
        <w:ind w:firstLine="480"/>
        <w:rPr>
          <w:color w:val="auto"/>
          <w:spacing w:val="0"/>
          <w:highlight w:val="none"/>
        </w:rPr>
      </w:pPr>
      <w:r>
        <w:rPr>
          <w:rFonts w:hint="eastAsia"/>
          <w:color w:val="auto"/>
          <w:spacing w:val="0"/>
          <w:highlight w:val="none"/>
        </w:rPr>
        <w:t xml:space="preserve">3.2.1 </w:t>
      </w:r>
      <w:r>
        <w:rPr>
          <w:color w:val="auto"/>
          <w:spacing w:val="0"/>
          <w:highlight w:val="none"/>
        </w:rPr>
        <w:t>投标报价应包括国家规定的增值税税金，除投标人须知前附表另有规定外，增值税税金按一般计税方法计算。投标人应按第</w:t>
      </w:r>
      <w:r>
        <w:rPr>
          <w:rFonts w:hint="eastAsia"/>
          <w:color w:val="auto"/>
          <w:spacing w:val="0"/>
          <w:highlight w:val="none"/>
        </w:rPr>
        <w:t>七</w:t>
      </w:r>
      <w:r>
        <w:rPr>
          <w:color w:val="auto"/>
          <w:spacing w:val="0"/>
          <w:highlight w:val="none"/>
        </w:rPr>
        <w:t>章“投标文件格式”的要求在投标函中进行报价并填写</w:t>
      </w:r>
      <w:r>
        <w:rPr>
          <w:rFonts w:hint="eastAsia"/>
          <w:color w:val="auto"/>
          <w:spacing w:val="0"/>
          <w:highlight w:val="none"/>
        </w:rPr>
        <w:t>投标报价书</w:t>
      </w:r>
      <w:r>
        <w:rPr>
          <w:color w:val="auto"/>
          <w:spacing w:val="0"/>
          <w:highlight w:val="none"/>
        </w:rPr>
        <w:t>。</w:t>
      </w:r>
    </w:p>
    <w:p>
      <w:pPr>
        <w:pStyle w:val="140"/>
        <w:ind w:firstLine="480"/>
        <w:rPr>
          <w:color w:val="auto"/>
          <w:spacing w:val="0"/>
          <w:highlight w:val="none"/>
        </w:rPr>
      </w:pPr>
      <w:r>
        <w:rPr>
          <w:rFonts w:hint="eastAsia"/>
          <w:color w:val="auto"/>
          <w:spacing w:val="0"/>
          <w:highlight w:val="none"/>
        </w:rPr>
        <w:t xml:space="preserve">3.2.2 </w:t>
      </w:r>
      <w:r>
        <w:rPr>
          <w:color w:val="auto"/>
          <w:spacing w:val="0"/>
          <w:highlight w:val="none"/>
        </w:rPr>
        <w:t>投标人应充分了解该项目的总体情况以及影响投标报价的其他要素</w:t>
      </w:r>
      <w:r>
        <w:rPr>
          <w:rFonts w:hint="eastAsia"/>
          <w:color w:val="auto"/>
          <w:spacing w:val="0"/>
          <w:highlight w:val="none"/>
        </w:rPr>
        <w:t>。</w:t>
      </w:r>
    </w:p>
    <w:p>
      <w:pPr>
        <w:pStyle w:val="140"/>
        <w:ind w:firstLine="480"/>
        <w:rPr>
          <w:color w:val="auto"/>
          <w:spacing w:val="0"/>
          <w:highlight w:val="none"/>
        </w:rPr>
      </w:pPr>
      <w:r>
        <w:rPr>
          <w:rFonts w:hint="eastAsia"/>
          <w:color w:val="auto"/>
          <w:spacing w:val="0"/>
          <w:highlight w:val="none"/>
        </w:rPr>
        <w:t>3.2.3</w:t>
      </w:r>
      <w:r>
        <w:rPr>
          <w:color w:val="auto"/>
          <w:spacing w:val="0"/>
          <w:highlight w:val="none"/>
        </w:rPr>
        <w:t>本项目的报价方式见投标人须知前附表。投标人在投标截止时间前修改投标函中的投标报价总额，应同时修改投标文件“</w:t>
      </w:r>
      <w:r>
        <w:rPr>
          <w:rFonts w:hint="eastAsia"/>
          <w:color w:val="auto"/>
          <w:spacing w:val="0"/>
          <w:highlight w:val="none"/>
        </w:rPr>
        <w:t>报价书</w:t>
      </w:r>
      <w:r>
        <w:rPr>
          <w:color w:val="auto"/>
          <w:spacing w:val="0"/>
          <w:highlight w:val="none"/>
        </w:rPr>
        <w:t>”中的相应报价。此修改须符合本章第 4.3 款的有关要求</w:t>
      </w:r>
      <w:r>
        <w:rPr>
          <w:rFonts w:hint="eastAsia"/>
          <w:color w:val="auto"/>
          <w:spacing w:val="0"/>
          <w:highlight w:val="none"/>
        </w:rPr>
        <w:t>。</w:t>
      </w:r>
    </w:p>
    <w:p>
      <w:pPr>
        <w:spacing w:line="360" w:lineRule="auto"/>
        <w:ind w:firstLine="480" w:firstLineChars="200"/>
        <w:rPr>
          <w:color w:val="auto"/>
          <w:sz w:val="24"/>
          <w:highlight w:val="none"/>
        </w:rPr>
      </w:pPr>
      <w:r>
        <w:rPr>
          <w:rFonts w:hint="eastAsia"/>
          <w:color w:val="auto"/>
          <w:sz w:val="24"/>
          <w:highlight w:val="none"/>
        </w:rPr>
        <w:t>3.2.4．</w:t>
      </w:r>
      <w:r>
        <w:rPr>
          <w:color w:val="auto"/>
          <w:sz w:val="24"/>
          <w:highlight w:val="none"/>
        </w:rPr>
        <w:t>招标人设有最高投标限价的，投标人的投标报价不得超过最高投标限价，最高投标限价在投标人须知前附表中载明。</w:t>
      </w:r>
    </w:p>
    <w:p>
      <w:pPr>
        <w:spacing w:line="360" w:lineRule="auto"/>
        <w:ind w:firstLine="480" w:firstLineChars="200"/>
        <w:rPr>
          <w:color w:val="auto"/>
          <w:sz w:val="24"/>
          <w:highlight w:val="none"/>
        </w:rPr>
      </w:pPr>
      <w:r>
        <w:rPr>
          <w:color w:val="auto"/>
          <w:sz w:val="24"/>
          <w:highlight w:val="none"/>
        </w:rPr>
        <w:t>3.2.5 投标报价的其他要求见投标人须知前附表</w:t>
      </w:r>
      <w:r>
        <w:rPr>
          <w:rFonts w:hint="eastAsia"/>
          <w:color w:val="auto"/>
          <w:sz w:val="24"/>
          <w:highlight w:val="none"/>
        </w:rPr>
        <w:t>3.2.5</w:t>
      </w:r>
      <w:r>
        <w:rPr>
          <w:color w:val="auto"/>
          <w:sz w:val="24"/>
          <w:highlight w:val="none"/>
        </w:rPr>
        <w:t>。</w:t>
      </w:r>
    </w:p>
    <w:p>
      <w:pPr>
        <w:pStyle w:val="5"/>
        <w:ind w:firstLine="118"/>
        <w:rPr>
          <w:color w:val="auto"/>
          <w:highlight w:val="none"/>
        </w:rPr>
      </w:pPr>
      <w:bookmarkStart w:id="110" w:name="_Toc529196541"/>
      <w:bookmarkStart w:id="111" w:name="_Toc515205214"/>
      <w:bookmarkStart w:id="112" w:name="_Toc97798565"/>
      <w:r>
        <w:rPr>
          <w:color w:val="auto"/>
          <w:highlight w:val="none"/>
        </w:rPr>
        <w:t>3.3 投标有效期</w:t>
      </w:r>
      <w:bookmarkEnd w:id="110"/>
      <w:bookmarkEnd w:id="111"/>
      <w:bookmarkEnd w:id="112"/>
    </w:p>
    <w:p>
      <w:pPr>
        <w:spacing w:line="360" w:lineRule="auto"/>
        <w:ind w:firstLine="480" w:firstLineChars="200"/>
        <w:rPr>
          <w:color w:val="auto"/>
          <w:sz w:val="24"/>
          <w:highlight w:val="none"/>
        </w:rPr>
      </w:pPr>
      <w:r>
        <w:rPr>
          <w:color w:val="auto"/>
          <w:sz w:val="24"/>
          <w:highlight w:val="none"/>
        </w:rPr>
        <w:t>3.3.1 除投标人须知前附表另有规定外，投标有效期为90天。</w:t>
      </w:r>
    </w:p>
    <w:p>
      <w:pPr>
        <w:spacing w:line="360" w:lineRule="auto"/>
        <w:ind w:firstLine="480" w:firstLineChars="200"/>
        <w:rPr>
          <w:color w:val="auto"/>
          <w:sz w:val="24"/>
          <w:highlight w:val="none"/>
        </w:rPr>
      </w:pPr>
      <w:r>
        <w:rPr>
          <w:color w:val="auto"/>
          <w:sz w:val="24"/>
          <w:highlight w:val="none"/>
        </w:rPr>
        <w:t>3.3.2 在投标有效期内，投标人撤销投标文件的，应承担招标文件和法律规定的责任。</w:t>
      </w:r>
    </w:p>
    <w:p>
      <w:pPr>
        <w:spacing w:line="360" w:lineRule="auto"/>
        <w:ind w:firstLine="480" w:firstLineChars="200"/>
        <w:rPr>
          <w:color w:val="auto"/>
          <w:sz w:val="24"/>
          <w:highlight w:val="none"/>
        </w:rPr>
      </w:pPr>
      <w:r>
        <w:rPr>
          <w:color w:val="auto"/>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before="120" w:after="120"/>
        <w:ind w:firstLine="137"/>
        <w:rPr>
          <w:color w:val="auto"/>
          <w:highlight w:val="none"/>
        </w:rPr>
      </w:pPr>
      <w:bookmarkStart w:id="113" w:name="_Toc529196542"/>
      <w:bookmarkStart w:id="114" w:name="_Toc97798566"/>
      <w:bookmarkStart w:id="115" w:name="_Toc515205215"/>
      <w:r>
        <w:rPr>
          <w:color w:val="auto"/>
          <w:highlight w:val="none"/>
        </w:rPr>
        <w:t>3.4 投标保证金</w:t>
      </w:r>
      <w:bookmarkEnd w:id="113"/>
      <w:bookmarkEnd w:id="114"/>
      <w:bookmarkEnd w:id="115"/>
    </w:p>
    <w:p>
      <w:pPr>
        <w:spacing w:line="360" w:lineRule="auto"/>
        <w:ind w:firstLine="480" w:firstLineChars="200"/>
        <w:rPr>
          <w:color w:val="auto"/>
          <w:sz w:val="24"/>
          <w:highlight w:val="none"/>
        </w:rPr>
      </w:pPr>
      <w:r>
        <w:rPr>
          <w:color w:val="auto"/>
          <w:sz w:val="24"/>
          <w:highlight w:val="none"/>
        </w:rPr>
        <w:t>3.4.1 投标人在递交投标文件的同时，应按投标人须知前附表规定的金额</w:t>
      </w:r>
      <w:bookmarkStart w:id="116" w:name="_Toc144974513"/>
      <w:bookmarkStart w:id="117" w:name="_Toc4592"/>
      <w:bookmarkStart w:id="118" w:name="_Toc152042321"/>
      <w:bookmarkStart w:id="119" w:name="_Toc361508601"/>
      <w:bookmarkStart w:id="120" w:name="_Toc384308226"/>
      <w:bookmarkStart w:id="121" w:name="_Toc352691489"/>
      <w:bookmarkStart w:id="122" w:name="_Toc369531532"/>
      <w:bookmarkStart w:id="123" w:name="_Toc300834966"/>
      <w:bookmarkStart w:id="124" w:name="_Toc247513969"/>
      <w:bookmarkStart w:id="125" w:name="_Toc247527570"/>
      <w:bookmarkStart w:id="126" w:name="_Toc152045545"/>
      <w:r>
        <w:rPr>
          <w:color w:val="auto"/>
          <w:sz w:val="24"/>
          <w:highlight w:val="none"/>
        </w:rPr>
        <w:t>、形式和第</w:t>
      </w:r>
      <w:r>
        <w:rPr>
          <w:rFonts w:hint="eastAsia"/>
          <w:color w:val="auto"/>
          <w:sz w:val="24"/>
          <w:highlight w:val="none"/>
        </w:rPr>
        <w:t>七</w:t>
      </w:r>
      <w:r>
        <w:rPr>
          <w:color w:val="auto"/>
          <w:sz w:val="24"/>
          <w:highlight w:val="none"/>
        </w:rPr>
        <w:t>章“投标文</w:t>
      </w:r>
      <w:bookmarkEnd w:id="116"/>
      <w:bookmarkEnd w:id="117"/>
      <w:bookmarkEnd w:id="118"/>
      <w:bookmarkEnd w:id="119"/>
      <w:bookmarkEnd w:id="120"/>
      <w:bookmarkEnd w:id="121"/>
      <w:bookmarkEnd w:id="122"/>
      <w:bookmarkEnd w:id="123"/>
      <w:bookmarkEnd w:id="124"/>
      <w:bookmarkEnd w:id="125"/>
      <w:bookmarkEnd w:id="126"/>
      <w:r>
        <w:rPr>
          <w:color w:val="auto"/>
          <w:sz w:val="24"/>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w:t>
      </w:r>
      <w:r>
        <w:rPr>
          <w:rFonts w:hint="eastAsia"/>
          <w:color w:val="auto"/>
          <w:sz w:val="24"/>
          <w:highlight w:val="none"/>
        </w:rPr>
        <w:t>主办方</w:t>
      </w:r>
      <w:r>
        <w:rPr>
          <w:color w:val="auto"/>
          <w:sz w:val="24"/>
          <w:highlight w:val="none"/>
        </w:rPr>
        <w:t>递交，并应符合投标人须知前附表的规定。</w:t>
      </w:r>
    </w:p>
    <w:p>
      <w:pPr>
        <w:spacing w:line="360" w:lineRule="auto"/>
        <w:ind w:firstLine="480" w:firstLineChars="200"/>
        <w:jc w:val="left"/>
        <w:rPr>
          <w:color w:val="auto"/>
          <w:sz w:val="24"/>
          <w:highlight w:val="none"/>
        </w:rPr>
      </w:pPr>
      <w:r>
        <w:rPr>
          <w:color w:val="auto"/>
          <w:sz w:val="24"/>
          <w:highlight w:val="none"/>
        </w:rPr>
        <w:t>3.4.2 投标人不按本章第3.4.1项</w:t>
      </w:r>
      <w:bookmarkStart w:id="127" w:name="_Toc361508602"/>
      <w:bookmarkStart w:id="128" w:name="_Toc369531533"/>
      <w:bookmarkStart w:id="129" w:name="_Toc352691490"/>
      <w:bookmarkStart w:id="130" w:name="_Toc29025"/>
      <w:bookmarkStart w:id="131" w:name="_Toc384308227"/>
      <w:r>
        <w:rPr>
          <w:color w:val="auto"/>
          <w:sz w:val="24"/>
          <w:highlight w:val="none"/>
        </w:rPr>
        <w:t>要求提交投标保证金的，</w:t>
      </w:r>
      <w:bookmarkEnd w:id="127"/>
      <w:bookmarkEnd w:id="128"/>
      <w:bookmarkEnd w:id="129"/>
      <w:bookmarkEnd w:id="130"/>
      <w:bookmarkEnd w:id="131"/>
      <w:r>
        <w:rPr>
          <w:color w:val="auto"/>
          <w:sz w:val="24"/>
          <w:highlight w:val="none"/>
        </w:rPr>
        <w:t>评标委员会将否决其投标。</w:t>
      </w:r>
    </w:p>
    <w:p>
      <w:pPr>
        <w:spacing w:line="360" w:lineRule="auto"/>
        <w:ind w:firstLine="480" w:firstLineChars="200"/>
        <w:rPr>
          <w:color w:val="auto"/>
          <w:sz w:val="24"/>
          <w:highlight w:val="none"/>
        </w:rPr>
      </w:pPr>
      <w:r>
        <w:rPr>
          <w:color w:val="auto"/>
          <w:sz w:val="24"/>
          <w:highlight w:val="none"/>
        </w:rPr>
        <w:t>3.4.3 招标人最迟将在与中标人</w:t>
      </w:r>
      <w:bookmarkStart w:id="132" w:name="_Toc152045546"/>
      <w:bookmarkStart w:id="133" w:name="_Toc361508603"/>
      <w:bookmarkStart w:id="134" w:name="_Toc247527571"/>
      <w:bookmarkStart w:id="135" w:name="_Toc247513970"/>
      <w:bookmarkStart w:id="136" w:name="_Toc352691491"/>
      <w:bookmarkStart w:id="137" w:name="_Toc384308228"/>
      <w:bookmarkStart w:id="138" w:name="_Toc300834967"/>
      <w:bookmarkStart w:id="139" w:name="_Toc152042322"/>
      <w:bookmarkStart w:id="140" w:name="_Toc369531534"/>
      <w:bookmarkStart w:id="141" w:name="_Toc14751"/>
      <w:bookmarkStart w:id="142" w:name="_Toc144974514"/>
      <w:r>
        <w:rPr>
          <w:color w:val="auto"/>
          <w:sz w:val="24"/>
          <w:highlight w:val="none"/>
        </w:rPr>
        <w:t>签订合同后5日</w:t>
      </w:r>
      <w:bookmarkEnd w:id="132"/>
      <w:bookmarkEnd w:id="133"/>
      <w:bookmarkEnd w:id="134"/>
      <w:bookmarkEnd w:id="135"/>
      <w:bookmarkEnd w:id="136"/>
      <w:bookmarkEnd w:id="137"/>
      <w:bookmarkEnd w:id="138"/>
      <w:bookmarkEnd w:id="139"/>
      <w:bookmarkEnd w:id="140"/>
      <w:bookmarkEnd w:id="141"/>
      <w:bookmarkEnd w:id="142"/>
      <w:r>
        <w:rPr>
          <w:color w:val="auto"/>
          <w:sz w:val="24"/>
          <w:highlight w:val="none"/>
        </w:rPr>
        <w:t>内</w:t>
      </w:r>
      <w:bookmarkStart w:id="143" w:name="_Toc369531535"/>
      <w:bookmarkStart w:id="144" w:name="_Toc300834968"/>
      <w:bookmarkStart w:id="145" w:name="_Toc384308229"/>
      <w:bookmarkStart w:id="146" w:name="_Toc361508604"/>
      <w:bookmarkStart w:id="147" w:name="_Toc247527572"/>
      <w:bookmarkStart w:id="148" w:name="_Toc152042323"/>
      <w:bookmarkStart w:id="149" w:name="_Toc352691492"/>
      <w:bookmarkStart w:id="150" w:name="_Toc144974515"/>
      <w:bookmarkStart w:id="151" w:name="_Toc247513971"/>
      <w:bookmarkStart w:id="152" w:name="_Toc17952"/>
      <w:bookmarkStart w:id="153" w:name="_Toc152045547"/>
      <w:r>
        <w:rPr>
          <w:color w:val="auto"/>
          <w:sz w:val="24"/>
          <w:highlight w:val="none"/>
        </w:rPr>
        <w:t>，向未中标的投标人和中</w:t>
      </w:r>
      <w:bookmarkEnd w:id="143"/>
      <w:bookmarkEnd w:id="144"/>
      <w:bookmarkEnd w:id="145"/>
      <w:bookmarkEnd w:id="146"/>
      <w:bookmarkEnd w:id="147"/>
      <w:bookmarkEnd w:id="148"/>
      <w:bookmarkEnd w:id="149"/>
      <w:bookmarkEnd w:id="150"/>
      <w:bookmarkEnd w:id="151"/>
      <w:bookmarkEnd w:id="152"/>
      <w:bookmarkEnd w:id="153"/>
      <w:r>
        <w:rPr>
          <w:color w:val="auto"/>
          <w:sz w:val="24"/>
          <w:highlight w:val="none"/>
        </w:rPr>
        <w:t>标人退还投标保证金。投标保证金以现金或者支票形式递交的，还应退还银行同期存款利息。</w:t>
      </w:r>
    </w:p>
    <w:p>
      <w:pPr>
        <w:spacing w:line="360" w:lineRule="auto"/>
        <w:ind w:firstLine="480" w:firstLineChars="200"/>
        <w:rPr>
          <w:color w:val="auto"/>
          <w:sz w:val="24"/>
          <w:highlight w:val="none"/>
        </w:rPr>
      </w:pPr>
      <w:r>
        <w:rPr>
          <w:color w:val="auto"/>
          <w:sz w:val="24"/>
          <w:highlight w:val="none"/>
        </w:rPr>
        <w:t>3.4.4 有下列情形之一的，投标保证金将不予退还：</w:t>
      </w:r>
    </w:p>
    <w:p>
      <w:pPr>
        <w:spacing w:line="360" w:lineRule="auto"/>
        <w:ind w:firstLine="360" w:firstLineChars="150"/>
        <w:rPr>
          <w:color w:val="auto"/>
          <w:sz w:val="24"/>
          <w:highlight w:val="none"/>
        </w:rPr>
      </w:pPr>
      <w:r>
        <w:rPr>
          <w:color w:val="auto"/>
          <w:sz w:val="24"/>
          <w:highlight w:val="none"/>
        </w:rPr>
        <w:t>（1）投标人在投标有效期内撤销投标文件</w:t>
      </w:r>
      <w:r>
        <w:rPr>
          <w:rFonts w:hint="eastAsia"/>
          <w:color w:val="auto"/>
          <w:sz w:val="24"/>
          <w:highlight w:val="none"/>
        </w:rPr>
        <w:t>或放弃中标资格的</w:t>
      </w:r>
      <w:r>
        <w:rPr>
          <w:color w:val="auto"/>
          <w:sz w:val="24"/>
          <w:highlight w:val="none"/>
        </w:rPr>
        <w:t>；</w:t>
      </w:r>
    </w:p>
    <w:p>
      <w:pPr>
        <w:spacing w:line="360" w:lineRule="auto"/>
        <w:ind w:firstLine="360" w:firstLineChars="150"/>
        <w:rPr>
          <w:color w:val="auto"/>
          <w:sz w:val="24"/>
          <w:highlight w:val="none"/>
        </w:rPr>
      </w:pPr>
      <w:r>
        <w:rPr>
          <w:color w:val="auto"/>
          <w:sz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360" w:firstLineChars="150"/>
        <w:rPr>
          <w:color w:val="auto"/>
          <w:sz w:val="24"/>
          <w:highlight w:val="none"/>
        </w:rPr>
      </w:pPr>
      <w:r>
        <w:rPr>
          <w:color w:val="auto"/>
          <w:sz w:val="24"/>
          <w:highlight w:val="none"/>
        </w:rPr>
        <w:t>（3）发生投标人须知前附表规定的其他可以不予退还投标保证金的情形。</w:t>
      </w:r>
    </w:p>
    <w:p>
      <w:pPr>
        <w:pStyle w:val="5"/>
        <w:spacing w:before="120" w:after="120"/>
        <w:ind w:firstLine="137"/>
        <w:rPr>
          <w:color w:val="auto"/>
          <w:highlight w:val="none"/>
        </w:rPr>
      </w:pPr>
      <w:bookmarkStart w:id="154" w:name="_Toc529196544"/>
      <w:bookmarkStart w:id="155" w:name="_Toc97798567"/>
      <w:bookmarkStart w:id="156" w:name="_Toc515205217"/>
      <w:r>
        <w:rPr>
          <w:color w:val="auto"/>
          <w:highlight w:val="none"/>
        </w:rPr>
        <w:t>3.5 资格审查资料</w:t>
      </w:r>
      <w:bookmarkEnd w:id="154"/>
      <w:bookmarkEnd w:id="155"/>
      <w:bookmarkEnd w:id="156"/>
      <w:bookmarkStart w:id="157" w:name="_Toc529196545"/>
      <w:bookmarkStart w:id="158" w:name="_Toc515205218"/>
    </w:p>
    <w:p>
      <w:pPr>
        <w:spacing w:line="360" w:lineRule="auto"/>
        <w:ind w:firstLine="480" w:firstLineChars="200"/>
        <w:rPr>
          <w:color w:val="auto"/>
          <w:sz w:val="24"/>
          <w:highlight w:val="none"/>
        </w:rPr>
      </w:pPr>
      <w:r>
        <w:rPr>
          <w:rFonts w:hint="eastAsia"/>
          <w:color w:val="auto"/>
          <w:sz w:val="24"/>
          <w:highlight w:val="none"/>
        </w:rPr>
        <w:t>3.5.1投标人基本情况表[后须附检测投标单位的营业执照或事业单位法人证书和组织机构代码证（按照“三证合一”或“五证合一”登记制度进行登记的，可仅提供营业执照或事业单位法人证书）、建设行政主管部门颁发的建设工程质量检测机构资质证书、CMA计量认证合格证书（或CMA检验检测机构资质认定证书）以及其他相关证明材料]；</w:t>
      </w:r>
    </w:p>
    <w:p>
      <w:pPr>
        <w:spacing w:line="360" w:lineRule="auto"/>
        <w:ind w:firstLine="480" w:firstLineChars="200"/>
        <w:rPr>
          <w:color w:val="auto"/>
          <w:sz w:val="24"/>
          <w:highlight w:val="none"/>
        </w:rPr>
      </w:pPr>
      <w:r>
        <w:rPr>
          <w:rFonts w:hint="eastAsia"/>
          <w:color w:val="auto"/>
          <w:sz w:val="24"/>
          <w:highlight w:val="none"/>
        </w:rPr>
        <w:t>3.5.2项目负责人职称证；</w:t>
      </w:r>
    </w:p>
    <w:p>
      <w:pPr>
        <w:spacing w:line="360" w:lineRule="auto"/>
        <w:ind w:firstLine="480" w:firstLineChars="200"/>
        <w:rPr>
          <w:color w:val="auto"/>
          <w:sz w:val="24"/>
          <w:highlight w:val="none"/>
        </w:rPr>
      </w:pPr>
      <w:r>
        <w:rPr>
          <w:rFonts w:hint="eastAsia"/>
          <w:color w:val="auto"/>
          <w:sz w:val="24"/>
          <w:highlight w:val="none"/>
        </w:rPr>
        <w:t>3.5.3 联合体协议（联合体投标人提供，格式按招标公告附件二）</w:t>
      </w:r>
    </w:p>
    <w:p>
      <w:pPr>
        <w:spacing w:line="360" w:lineRule="auto"/>
        <w:ind w:firstLine="480" w:firstLineChars="200"/>
        <w:rPr>
          <w:color w:val="auto"/>
          <w:sz w:val="24"/>
          <w:highlight w:val="none"/>
        </w:rPr>
      </w:pPr>
      <w:r>
        <w:rPr>
          <w:rFonts w:hint="eastAsia"/>
          <w:color w:val="auto"/>
          <w:sz w:val="24"/>
          <w:highlight w:val="none"/>
        </w:rPr>
        <w:t>3.5.4 联合体成员的授权函（联合体投标人提供，格式按招标公告附件三）</w:t>
      </w:r>
    </w:p>
    <w:p>
      <w:pPr>
        <w:spacing w:line="360" w:lineRule="auto"/>
        <w:ind w:firstLine="480" w:firstLineChars="200"/>
        <w:rPr>
          <w:color w:val="auto"/>
          <w:sz w:val="24"/>
          <w:highlight w:val="none"/>
        </w:rPr>
      </w:pPr>
      <w:r>
        <w:rPr>
          <w:rFonts w:hint="eastAsia"/>
          <w:color w:val="auto"/>
          <w:sz w:val="24"/>
          <w:highlight w:val="none"/>
        </w:rPr>
        <w:t>3.5.5投标人声明（按招标公告附件一提供）；</w:t>
      </w:r>
    </w:p>
    <w:p>
      <w:pPr>
        <w:spacing w:line="360" w:lineRule="auto"/>
        <w:ind w:firstLine="480" w:firstLineChars="200"/>
        <w:rPr>
          <w:color w:val="auto"/>
          <w:sz w:val="24"/>
          <w:highlight w:val="none"/>
        </w:rPr>
      </w:pPr>
      <w:r>
        <w:rPr>
          <w:rFonts w:hint="eastAsia"/>
          <w:color w:val="auto"/>
          <w:sz w:val="24"/>
          <w:highlight w:val="none"/>
        </w:rPr>
        <w:t>3.5.6投标人认为需提供的其他材料。</w:t>
      </w:r>
    </w:p>
    <w:p>
      <w:pPr>
        <w:pStyle w:val="5"/>
        <w:spacing w:before="120" w:after="120"/>
        <w:ind w:firstLine="137"/>
        <w:rPr>
          <w:color w:val="auto"/>
          <w:highlight w:val="none"/>
        </w:rPr>
      </w:pPr>
      <w:bookmarkStart w:id="159" w:name="_Toc97798568"/>
      <w:r>
        <w:rPr>
          <w:color w:val="auto"/>
          <w:highlight w:val="none"/>
        </w:rPr>
        <w:t>3.6 备选投标方案</w:t>
      </w:r>
      <w:bookmarkEnd w:id="157"/>
      <w:bookmarkEnd w:id="158"/>
      <w:bookmarkEnd w:id="159"/>
    </w:p>
    <w:p>
      <w:pPr>
        <w:spacing w:line="360" w:lineRule="auto"/>
        <w:ind w:firstLine="480" w:firstLineChars="200"/>
        <w:rPr>
          <w:color w:val="auto"/>
          <w:sz w:val="24"/>
          <w:highlight w:val="none"/>
        </w:rPr>
      </w:pPr>
      <w:r>
        <w:rPr>
          <w:color w:val="auto"/>
          <w:sz w:val="24"/>
          <w:highlight w:val="none"/>
        </w:rPr>
        <w:t>3.6.1 除投标人须知前附表规定允许外，投标人不得递交备选投标方案，否则其投标将被否决。</w:t>
      </w:r>
    </w:p>
    <w:p>
      <w:pPr>
        <w:spacing w:line="360" w:lineRule="auto"/>
        <w:ind w:firstLine="480" w:firstLineChars="200"/>
        <w:rPr>
          <w:color w:val="auto"/>
          <w:sz w:val="24"/>
          <w:highlight w:val="none"/>
        </w:rPr>
      </w:pPr>
      <w:r>
        <w:rPr>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color w:val="auto"/>
          <w:sz w:val="24"/>
          <w:highlight w:val="none"/>
        </w:rPr>
      </w:pPr>
      <w:r>
        <w:rPr>
          <w:color w:val="auto"/>
          <w:sz w:val="24"/>
          <w:highlight w:val="none"/>
        </w:rPr>
        <w:t>3.6.3 投标人提供两个或两个以上投标报价，或者在投标文件中提供一个报价，但同时提供两个或两个以上</w:t>
      </w:r>
      <w:bookmarkStart w:id="160" w:name="_Toc369531538"/>
      <w:bookmarkStart w:id="161" w:name="_Toc384308232"/>
      <w:bookmarkStart w:id="162" w:name="_Toc144974518"/>
      <w:bookmarkStart w:id="163" w:name="_Toc247513974"/>
      <w:bookmarkStart w:id="164" w:name="_Toc152045550"/>
      <w:bookmarkStart w:id="165" w:name="_Toc247527575"/>
      <w:bookmarkStart w:id="166" w:name="_Toc29902"/>
      <w:bookmarkStart w:id="167" w:name="_Toc300834971"/>
      <w:bookmarkStart w:id="168" w:name="_Toc152042326"/>
      <w:bookmarkStart w:id="169" w:name="_Toc361508607"/>
      <w:bookmarkStart w:id="170" w:name="_Toc352691495"/>
      <w:r>
        <w:rPr>
          <w:rFonts w:hint="eastAsia"/>
          <w:color w:val="auto"/>
          <w:sz w:val="24"/>
          <w:highlight w:val="none"/>
        </w:rPr>
        <w:t>服务</w:t>
      </w:r>
      <w:r>
        <w:rPr>
          <w:color w:val="auto"/>
          <w:sz w:val="24"/>
          <w:highlight w:val="none"/>
        </w:rPr>
        <w:t>方案的</w:t>
      </w:r>
      <w:bookmarkEnd w:id="160"/>
      <w:bookmarkEnd w:id="161"/>
      <w:bookmarkEnd w:id="162"/>
      <w:bookmarkEnd w:id="163"/>
      <w:bookmarkEnd w:id="164"/>
      <w:bookmarkEnd w:id="165"/>
      <w:bookmarkEnd w:id="166"/>
      <w:bookmarkEnd w:id="167"/>
      <w:bookmarkEnd w:id="168"/>
      <w:bookmarkEnd w:id="169"/>
      <w:bookmarkEnd w:id="170"/>
      <w:r>
        <w:rPr>
          <w:color w:val="auto"/>
          <w:sz w:val="24"/>
          <w:highlight w:val="none"/>
        </w:rPr>
        <w:t>，视为提供备选方案。</w:t>
      </w:r>
    </w:p>
    <w:p>
      <w:pPr>
        <w:pStyle w:val="5"/>
        <w:spacing w:before="120" w:after="120"/>
        <w:ind w:firstLine="137"/>
        <w:rPr>
          <w:color w:val="auto"/>
          <w:highlight w:val="none"/>
        </w:rPr>
      </w:pPr>
      <w:bookmarkStart w:id="171" w:name="_Toc529196546"/>
      <w:bookmarkStart w:id="172" w:name="_Toc97798569"/>
      <w:bookmarkStart w:id="173" w:name="_Toc515205219"/>
      <w:r>
        <w:rPr>
          <w:color w:val="auto"/>
          <w:highlight w:val="none"/>
        </w:rPr>
        <w:t>3.7 投标文件的编制</w:t>
      </w:r>
      <w:bookmarkEnd w:id="171"/>
      <w:bookmarkEnd w:id="172"/>
      <w:bookmarkEnd w:id="173"/>
    </w:p>
    <w:p>
      <w:pPr>
        <w:spacing w:line="360" w:lineRule="auto"/>
        <w:ind w:firstLine="480" w:firstLineChars="200"/>
        <w:rPr>
          <w:color w:val="auto"/>
          <w:sz w:val="24"/>
          <w:highlight w:val="none"/>
        </w:rPr>
      </w:pPr>
      <w:r>
        <w:rPr>
          <w:color w:val="auto"/>
          <w:sz w:val="24"/>
          <w:highlight w:val="none"/>
        </w:rPr>
        <w:t>3.7.1 投标文件应按第</w:t>
      </w:r>
      <w:r>
        <w:rPr>
          <w:rFonts w:hint="eastAsia"/>
          <w:color w:val="auto"/>
          <w:sz w:val="24"/>
          <w:highlight w:val="none"/>
        </w:rPr>
        <w:t>七</w:t>
      </w:r>
      <w:r>
        <w:rPr>
          <w:color w:val="auto"/>
          <w:sz w:val="24"/>
          <w:highlight w:val="none"/>
        </w:rPr>
        <w:t>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color w:val="auto"/>
          <w:sz w:val="24"/>
          <w:highlight w:val="none"/>
        </w:rPr>
      </w:pPr>
      <w:r>
        <w:rPr>
          <w:color w:val="auto"/>
          <w:sz w:val="24"/>
          <w:highlight w:val="none"/>
        </w:rPr>
        <w:t>3.7.2 投标文件应当对招标文件有关服务期限、投标有效期、委托人要求、招标范围等实质性内容作出响应。</w:t>
      </w:r>
    </w:p>
    <w:p>
      <w:pPr>
        <w:spacing w:line="360" w:lineRule="auto"/>
        <w:ind w:firstLine="480" w:firstLineChars="200"/>
        <w:rPr>
          <w:rFonts w:ascii="宋体" w:hAnsi="宋体" w:cs="宋体"/>
          <w:color w:val="auto"/>
          <w:sz w:val="24"/>
          <w:highlight w:val="none"/>
        </w:rPr>
      </w:pPr>
      <w:bookmarkStart w:id="174" w:name="_Toc514946914"/>
      <w:r>
        <w:rPr>
          <w:color w:val="auto"/>
          <w:sz w:val="24"/>
          <w:highlight w:val="none"/>
        </w:rPr>
        <w:t>3.7.3投标文件全部采用电子文档，除投标人须知前附表另有规定外，投标文件所附证书证件均为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74"/>
    </w:p>
    <w:p>
      <w:pPr>
        <w:spacing w:line="360" w:lineRule="auto"/>
        <w:ind w:firstLine="480" w:firstLineChars="200"/>
        <w:rPr>
          <w:color w:val="auto"/>
          <w:sz w:val="24"/>
          <w:highlight w:val="none"/>
        </w:rPr>
      </w:pPr>
    </w:p>
    <w:p>
      <w:pPr>
        <w:pStyle w:val="5"/>
        <w:jc w:val="center"/>
        <w:rPr>
          <w:color w:val="auto"/>
          <w:highlight w:val="none"/>
        </w:rPr>
      </w:pPr>
      <w:bookmarkStart w:id="175" w:name="_Toc97798570"/>
      <w:bookmarkStart w:id="176" w:name="_Toc529196547"/>
      <w:bookmarkStart w:id="177" w:name="_Toc515205220"/>
      <w:r>
        <w:rPr>
          <w:color w:val="auto"/>
          <w:highlight w:val="none"/>
        </w:rPr>
        <w:t>4. 投标</w:t>
      </w:r>
      <w:bookmarkEnd w:id="175"/>
      <w:bookmarkEnd w:id="176"/>
      <w:bookmarkEnd w:id="177"/>
    </w:p>
    <w:p>
      <w:pPr>
        <w:pStyle w:val="5"/>
        <w:spacing w:before="120" w:after="120"/>
        <w:ind w:firstLine="137"/>
        <w:rPr>
          <w:color w:val="auto"/>
          <w:highlight w:val="none"/>
        </w:rPr>
      </w:pPr>
      <w:bookmarkStart w:id="178" w:name="_Toc529196548"/>
      <w:bookmarkStart w:id="179" w:name="_Toc515205221"/>
      <w:bookmarkStart w:id="180" w:name="_Toc97798571"/>
      <w:r>
        <w:rPr>
          <w:color w:val="auto"/>
          <w:highlight w:val="none"/>
        </w:rPr>
        <w:t>4.1 投标文件的密封和标记</w:t>
      </w:r>
      <w:bookmarkEnd w:id="178"/>
      <w:bookmarkEnd w:id="179"/>
      <w:bookmarkEnd w:id="180"/>
    </w:p>
    <w:p>
      <w:pPr>
        <w:spacing w:line="360" w:lineRule="auto"/>
        <w:ind w:firstLine="480" w:firstLineChars="200"/>
        <w:rPr>
          <w:color w:val="auto"/>
          <w:sz w:val="24"/>
          <w:highlight w:val="none"/>
        </w:rPr>
      </w:pPr>
      <w:r>
        <w:rPr>
          <w:color w:val="auto"/>
          <w:sz w:val="24"/>
          <w:highlight w:val="none"/>
        </w:rPr>
        <w:t>4.1.1投标人应当按照招标文件和电子招标投标交易平台的要求加密投标文件，具体要求见投标人须知前附表。</w:t>
      </w:r>
    </w:p>
    <w:p>
      <w:pPr>
        <w:spacing w:line="360" w:lineRule="auto"/>
        <w:ind w:firstLine="480" w:firstLineChars="200"/>
        <w:rPr>
          <w:color w:val="auto"/>
          <w:sz w:val="24"/>
          <w:highlight w:val="none"/>
        </w:rPr>
      </w:pPr>
      <w:r>
        <w:rPr>
          <w:color w:val="auto"/>
          <w:sz w:val="24"/>
          <w:highlight w:val="none"/>
        </w:rPr>
        <w:t>4.1.2 投标文件封套上应写明的内容见投标人须知前附表。</w:t>
      </w:r>
    </w:p>
    <w:p>
      <w:pPr>
        <w:spacing w:line="360" w:lineRule="auto"/>
        <w:ind w:firstLine="480" w:firstLineChars="200"/>
        <w:rPr>
          <w:color w:val="auto"/>
          <w:sz w:val="24"/>
          <w:highlight w:val="none"/>
        </w:rPr>
      </w:pPr>
      <w:r>
        <w:rPr>
          <w:color w:val="auto"/>
          <w:sz w:val="24"/>
          <w:highlight w:val="none"/>
        </w:rPr>
        <w:t>4.1.3 未按本章第4.1.1项要求密封的投标文件，招标人将予以拒收。</w:t>
      </w:r>
    </w:p>
    <w:p>
      <w:pPr>
        <w:pStyle w:val="5"/>
        <w:ind w:firstLine="118"/>
        <w:rPr>
          <w:color w:val="auto"/>
          <w:highlight w:val="none"/>
        </w:rPr>
      </w:pPr>
      <w:bookmarkStart w:id="181" w:name="_Toc529196549"/>
      <w:bookmarkStart w:id="182" w:name="_Toc515205222"/>
      <w:bookmarkStart w:id="183" w:name="_Toc97798572"/>
      <w:r>
        <w:rPr>
          <w:color w:val="auto"/>
          <w:highlight w:val="none"/>
        </w:rPr>
        <w:t>4.2 投标文件的递交</w:t>
      </w:r>
      <w:bookmarkEnd w:id="181"/>
      <w:bookmarkEnd w:id="182"/>
      <w:bookmarkEnd w:id="183"/>
    </w:p>
    <w:p>
      <w:pPr>
        <w:spacing w:line="360" w:lineRule="auto"/>
        <w:ind w:firstLine="480" w:firstLineChars="200"/>
        <w:rPr>
          <w:color w:val="auto"/>
          <w:sz w:val="24"/>
          <w:highlight w:val="none"/>
        </w:rPr>
      </w:pPr>
      <w:r>
        <w:rPr>
          <w:color w:val="auto"/>
          <w:sz w:val="24"/>
          <w:highlight w:val="none"/>
        </w:rPr>
        <w:t>4.2.1 投标人应在投标人须知前附表规定的投标截止时间前递交投标文件。</w:t>
      </w:r>
    </w:p>
    <w:p>
      <w:pPr>
        <w:spacing w:line="360" w:lineRule="auto"/>
        <w:ind w:firstLine="480" w:firstLineChars="200"/>
        <w:rPr>
          <w:color w:val="auto"/>
          <w:sz w:val="24"/>
          <w:highlight w:val="none"/>
        </w:rPr>
      </w:pPr>
      <w:r>
        <w:rPr>
          <w:color w:val="auto"/>
          <w:sz w:val="24"/>
          <w:highlight w:val="none"/>
        </w:rPr>
        <w:t>4.2.2投标人通过下载招标文件的电子招标投标交易平台递交电子投标文件。</w:t>
      </w:r>
    </w:p>
    <w:p>
      <w:pPr>
        <w:spacing w:line="360" w:lineRule="auto"/>
        <w:ind w:firstLine="480" w:firstLineChars="200"/>
        <w:rPr>
          <w:color w:val="auto"/>
          <w:sz w:val="24"/>
          <w:highlight w:val="none"/>
        </w:rPr>
      </w:pPr>
      <w:r>
        <w:rPr>
          <w:color w:val="auto"/>
          <w:sz w:val="24"/>
          <w:highlight w:val="none"/>
        </w:rPr>
        <w:t>4.2.3 除投标人须知前附表另有规定外，投标人所递交的投标文件不予退还。</w:t>
      </w:r>
    </w:p>
    <w:p>
      <w:pPr>
        <w:spacing w:line="360" w:lineRule="auto"/>
        <w:ind w:firstLine="480" w:firstLineChars="200"/>
        <w:rPr>
          <w:color w:val="auto"/>
          <w:sz w:val="24"/>
          <w:highlight w:val="none"/>
        </w:rPr>
      </w:pPr>
      <w:r>
        <w:rPr>
          <w:color w:val="auto"/>
          <w:sz w:val="24"/>
          <w:highlight w:val="none"/>
        </w:rPr>
        <w:t>4.2.4投标人完成电子投标文件上传后，电子招标投标交易平台即时向投标人发出递交回执通知。递交时间以递交回执通知载明的传输完成时间为准。</w:t>
      </w:r>
    </w:p>
    <w:p>
      <w:pPr>
        <w:spacing w:line="360" w:lineRule="auto"/>
        <w:ind w:firstLine="480" w:firstLineChars="200"/>
        <w:jc w:val="left"/>
        <w:rPr>
          <w:color w:val="auto"/>
          <w:sz w:val="24"/>
          <w:highlight w:val="none"/>
        </w:rPr>
      </w:pPr>
      <w:r>
        <w:rPr>
          <w:color w:val="auto"/>
          <w:sz w:val="24"/>
          <w:highlight w:val="none"/>
        </w:rPr>
        <w:t>4.2.5逾期送达的投标文件，电子招标投标交易平台将予以拒收。</w:t>
      </w:r>
    </w:p>
    <w:p>
      <w:pPr>
        <w:pStyle w:val="5"/>
        <w:ind w:firstLine="118"/>
        <w:rPr>
          <w:color w:val="auto"/>
          <w:highlight w:val="none"/>
        </w:rPr>
      </w:pPr>
      <w:bookmarkStart w:id="184" w:name="_Toc97798573"/>
      <w:bookmarkStart w:id="185" w:name="_Toc515205223"/>
      <w:bookmarkStart w:id="186" w:name="_Toc529196550"/>
      <w:r>
        <w:rPr>
          <w:color w:val="auto"/>
          <w:highlight w:val="none"/>
        </w:rPr>
        <w:t>4.3 投标文件的修改与撤回</w:t>
      </w:r>
      <w:bookmarkEnd w:id="184"/>
      <w:bookmarkEnd w:id="185"/>
      <w:bookmarkEnd w:id="186"/>
    </w:p>
    <w:p>
      <w:pPr>
        <w:spacing w:line="360" w:lineRule="auto"/>
        <w:ind w:firstLine="480" w:firstLineChars="200"/>
        <w:rPr>
          <w:color w:val="auto"/>
          <w:sz w:val="24"/>
          <w:highlight w:val="none"/>
        </w:rPr>
      </w:pPr>
      <w:r>
        <w:rPr>
          <w:color w:val="auto"/>
          <w:sz w:val="24"/>
          <w:highlight w:val="none"/>
        </w:rPr>
        <w:t>4.3.1 在本章第4.2.1项规定的投标截止时间前，投标人可以修改或撤回已递交的投标文件，但应以书面形式通知招标人。</w:t>
      </w:r>
    </w:p>
    <w:p>
      <w:pPr>
        <w:spacing w:line="360" w:lineRule="auto"/>
        <w:ind w:firstLine="480" w:firstLineChars="200"/>
        <w:rPr>
          <w:color w:val="auto"/>
          <w:sz w:val="24"/>
          <w:highlight w:val="none"/>
        </w:rPr>
      </w:pPr>
      <w:r>
        <w:rPr>
          <w:color w:val="auto"/>
          <w:sz w:val="24"/>
          <w:highlight w:val="none"/>
        </w:rPr>
        <w:t>4.3.2投标人修改或撤回已递交投标文件的通知，应按照本章第3.7.3项的要求加盖电子印章。电子招标投标交易平台收到通知后，即时向投标人发出确认回执通知。</w:t>
      </w:r>
    </w:p>
    <w:p>
      <w:pPr>
        <w:spacing w:line="360" w:lineRule="auto"/>
        <w:ind w:firstLine="480" w:firstLineChars="200"/>
        <w:rPr>
          <w:color w:val="auto"/>
          <w:sz w:val="24"/>
          <w:highlight w:val="none"/>
        </w:rPr>
      </w:pPr>
      <w:r>
        <w:rPr>
          <w:color w:val="auto"/>
          <w:sz w:val="24"/>
          <w:highlight w:val="none"/>
        </w:rPr>
        <w:t>4.3.3 投标人撤回投标文件的，招标人自收到投标人书面撤回通知之日起5日内退还已收取的投标保证金。</w:t>
      </w:r>
    </w:p>
    <w:p>
      <w:pPr>
        <w:spacing w:line="360" w:lineRule="auto"/>
        <w:ind w:firstLine="480" w:firstLineChars="200"/>
        <w:rPr>
          <w:color w:val="auto"/>
          <w:sz w:val="24"/>
          <w:highlight w:val="none"/>
        </w:rPr>
      </w:pPr>
      <w:r>
        <w:rPr>
          <w:color w:val="auto"/>
          <w:sz w:val="24"/>
          <w:highlight w:val="none"/>
        </w:rPr>
        <w:t>4.3.</w:t>
      </w:r>
      <w:bookmarkStart w:id="187" w:name="_Toc352691497"/>
      <w:bookmarkStart w:id="188" w:name="_Toc152045553"/>
      <w:bookmarkStart w:id="189" w:name="_Toc384308235"/>
      <w:bookmarkStart w:id="190" w:name="_Toc152042329"/>
      <w:bookmarkStart w:id="191" w:name="_Toc19203"/>
      <w:bookmarkStart w:id="192" w:name="_Toc300834974"/>
      <w:bookmarkStart w:id="193" w:name="_Toc247513977"/>
      <w:bookmarkStart w:id="194" w:name="_Toc247527578"/>
      <w:bookmarkStart w:id="195" w:name="_Toc361508610"/>
      <w:bookmarkStart w:id="196" w:name="_Toc144974521"/>
      <w:bookmarkStart w:id="197" w:name="_Toc369531541"/>
      <w:r>
        <w:rPr>
          <w:color w:val="auto"/>
          <w:sz w:val="24"/>
          <w:highlight w:val="none"/>
        </w:rPr>
        <w:t>4 修改的内容为投标</w:t>
      </w:r>
      <w:bookmarkEnd w:id="187"/>
      <w:bookmarkEnd w:id="188"/>
      <w:bookmarkEnd w:id="189"/>
      <w:bookmarkEnd w:id="190"/>
      <w:bookmarkEnd w:id="191"/>
      <w:bookmarkEnd w:id="192"/>
      <w:bookmarkEnd w:id="193"/>
      <w:bookmarkEnd w:id="194"/>
      <w:bookmarkEnd w:id="195"/>
      <w:bookmarkEnd w:id="196"/>
      <w:bookmarkEnd w:id="197"/>
      <w:r>
        <w:rPr>
          <w:color w:val="auto"/>
          <w:sz w:val="24"/>
          <w:highlight w:val="none"/>
        </w:rPr>
        <w:t>文件的组成部分。修改的投标文件应按照本章第3条、第4条的规定进行编制、密封、标记和递交，并标明“修改”字样。</w:t>
      </w:r>
    </w:p>
    <w:p>
      <w:pPr>
        <w:pStyle w:val="5"/>
        <w:jc w:val="center"/>
        <w:rPr>
          <w:color w:val="auto"/>
          <w:highlight w:val="none"/>
        </w:rPr>
      </w:pPr>
      <w:bookmarkStart w:id="198" w:name="_Toc515205224"/>
      <w:bookmarkStart w:id="199" w:name="_Toc97798574"/>
      <w:bookmarkStart w:id="200" w:name="_Toc529196551"/>
      <w:r>
        <w:rPr>
          <w:color w:val="auto"/>
          <w:highlight w:val="none"/>
        </w:rPr>
        <w:t>5. 开标</w:t>
      </w:r>
      <w:bookmarkEnd w:id="198"/>
      <w:bookmarkEnd w:id="199"/>
      <w:bookmarkEnd w:id="200"/>
    </w:p>
    <w:p>
      <w:pPr>
        <w:pStyle w:val="5"/>
        <w:ind w:firstLine="137"/>
        <w:rPr>
          <w:color w:val="auto"/>
          <w:highlight w:val="none"/>
        </w:rPr>
      </w:pPr>
      <w:bookmarkStart w:id="201" w:name="_Toc529196553"/>
      <w:bookmarkStart w:id="202" w:name="_Toc97798575"/>
      <w:bookmarkStart w:id="203" w:name="_Toc515205226"/>
      <w:r>
        <w:rPr>
          <w:color w:val="auto"/>
          <w:highlight w:val="none"/>
        </w:rPr>
        <w:t>5.1 开标时间和地点</w:t>
      </w:r>
      <w:bookmarkEnd w:id="201"/>
      <w:bookmarkEnd w:id="202"/>
      <w:bookmarkEnd w:id="203"/>
    </w:p>
    <w:p>
      <w:pPr>
        <w:spacing w:line="360" w:lineRule="auto"/>
        <w:ind w:firstLine="480" w:firstLineChars="200"/>
        <w:rPr>
          <w:color w:val="auto"/>
          <w:sz w:val="24"/>
          <w:highlight w:val="none"/>
        </w:rPr>
      </w:pPr>
      <w:r>
        <w:rPr>
          <w:color w:val="auto"/>
          <w:sz w:val="24"/>
          <w:highlight w:val="none"/>
        </w:rPr>
        <w:t>招标人在本章第4.2.1项规定的投标截止时间（开标时间）,通过电子招标投标交易平台公开开标，</w:t>
      </w:r>
      <w:r>
        <w:rPr>
          <w:rFonts w:hint="eastAsia"/>
          <w:color w:val="auto"/>
          <w:sz w:val="24"/>
          <w:highlight w:val="none"/>
        </w:rPr>
        <w:t>开标时，投标人代表有权出席开标会，也可以自主决定不参加开标会。</w:t>
      </w:r>
    </w:p>
    <w:p>
      <w:pPr>
        <w:pStyle w:val="5"/>
        <w:spacing w:before="120" w:after="120"/>
        <w:ind w:firstLine="137"/>
        <w:rPr>
          <w:color w:val="auto"/>
          <w:highlight w:val="none"/>
        </w:rPr>
      </w:pPr>
      <w:bookmarkStart w:id="204" w:name="_Toc515205227"/>
      <w:bookmarkStart w:id="205" w:name="_Toc97798576"/>
      <w:bookmarkStart w:id="206" w:name="_Toc529196554"/>
      <w:r>
        <w:rPr>
          <w:color w:val="auto"/>
          <w:highlight w:val="none"/>
        </w:rPr>
        <w:t>5.2 开标程序</w:t>
      </w:r>
      <w:bookmarkEnd w:id="204"/>
      <w:bookmarkEnd w:id="205"/>
      <w:bookmarkEnd w:id="206"/>
    </w:p>
    <w:p>
      <w:pPr>
        <w:spacing w:line="360" w:lineRule="auto"/>
        <w:ind w:firstLine="480" w:firstLineChars="200"/>
        <w:rPr>
          <w:color w:val="auto"/>
          <w:sz w:val="24"/>
          <w:highlight w:val="none"/>
        </w:rPr>
      </w:pPr>
      <w:r>
        <w:rPr>
          <w:rFonts w:hint="eastAsia"/>
          <w:color w:val="auto"/>
          <w:sz w:val="24"/>
          <w:highlight w:val="none"/>
        </w:rPr>
        <w:t>5</w:t>
      </w:r>
      <w:r>
        <w:rPr>
          <w:color w:val="auto"/>
          <w:sz w:val="24"/>
          <w:highlight w:val="none"/>
        </w:rPr>
        <w:t>.2.1主持人按下列程序进行开标：</w:t>
      </w:r>
    </w:p>
    <w:p>
      <w:pPr>
        <w:spacing w:line="360" w:lineRule="auto"/>
        <w:ind w:firstLine="480" w:firstLineChars="200"/>
        <w:rPr>
          <w:color w:val="auto"/>
          <w:sz w:val="24"/>
          <w:highlight w:val="none"/>
        </w:rPr>
      </w:pPr>
      <w:r>
        <w:rPr>
          <w:color w:val="auto"/>
          <w:sz w:val="24"/>
          <w:highlight w:val="none"/>
        </w:rPr>
        <w:t>（1）宣布开标纪律；</w:t>
      </w:r>
    </w:p>
    <w:p>
      <w:pPr>
        <w:spacing w:line="360" w:lineRule="auto"/>
        <w:ind w:firstLine="480" w:firstLineChars="200"/>
        <w:rPr>
          <w:color w:val="auto"/>
          <w:sz w:val="24"/>
          <w:highlight w:val="none"/>
        </w:rPr>
      </w:pPr>
      <w:r>
        <w:rPr>
          <w:color w:val="auto"/>
          <w:sz w:val="24"/>
          <w:highlight w:val="none"/>
        </w:rPr>
        <w:t>（2）公布在投标截止时间前递交投标文件的投标人名称；</w:t>
      </w:r>
    </w:p>
    <w:p>
      <w:pPr>
        <w:spacing w:line="360" w:lineRule="auto"/>
        <w:ind w:firstLine="480" w:firstLineChars="200"/>
        <w:rPr>
          <w:color w:val="auto"/>
          <w:sz w:val="24"/>
          <w:highlight w:val="none"/>
        </w:rPr>
      </w:pPr>
      <w:r>
        <w:rPr>
          <w:color w:val="auto"/>
          <w:sz w:val="24"/>
          <w:highlight w:val="none"/>
        </w:rPr>
        <w:t>（3）宣布</w:t>
      </w:r>
      <w:bookmarkStart w:id="207" w:name="_Toc152045554"/>
      <w:bookmarkStart w:id="208" w:name="_Toc384308236"/>
      <w:bookmarkStart w:id="209" w:name="_Toc247527579"/>
      <w:bookmarkStart w:id="210" w:name="_Toc300834975"/>
      <w:bookmarkStart w:id="211" w:name="_Toc247513978"/>
      <w:bookmarkStart w:id="212" w:name="_Toc22119"/>
      <w:bookmarkStart w:id="213" w:name="_Toc144974522"/>
      <w:bookmarkStart w:id="214" w:name="_Toc369531542"/>
      <w:bookmarkStart w:id="215" w:name="_Toc352691498"/>
      <w:bookmarkStart w:id="216" w:name="_Toc361508611"/>
      <w:bookmarkStart w:id="217" w:name="_Toc152042330"/>
      <w:r>
        <w:rPr>
          <w:color w:val="auto"/>
          <w:sz w:val="24"/>
          <w:highlight w:val="none"/>
        </w:rPr>
        <w:t>开标人、唱标人、记录人</w:t>
      </w:r>
      <w:bookmarkEnd w:id="207"/>
      <w:bookmarkEnd w:id="208"/>
      <w:bookmarkEnd w:id="209"/>
      <w:bookmarkEnd w:id="210"/>
      <w:bookmarkEnd w:id="211"/>
      <w:bookmarkEnd w:id="212"/>
      <w:bookmarkEnd w:id="213"/>
      <w:bookmarkEnd w:id="214"/>
      <w:bookmarkEnd w:id="215"/>
      <w:bookmarkEnd w:id="216"/>
      <w:bookmarkEnd w:id="217"/>
      <w:r>
        <w:rPr>
          <w:color w:val="auto"/>
          <w:sz w:val="24"/>
          <w:highlight w:val="none"/>
        </w:rPr>
        <w:t>、监标人等有关人员姓名；</w:t>
      </w:r>
    </w:p>
    <w:p>
      <w:pPr>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投标人通过电子招标投标交易平台对已递交的电子投标文件进行解密，公布招标项目名称、投标人名称、投标保证金的递交情况、投标报价、</w:t>
      </w:r>
      <w:r>
        <w:rPr>
          <w:rFonts w:hint="eastAsia"/>
          <w:color w:val="auto"/>
          <w:sz w:val="24"/>
          <w:highlight w:val="none"/>
        </w:rPr>
        <w:t>检测</w:t>
      </w:r>
      <w:r>
        <w:rPr>
          <w:color w:val="auto"/>
          <w:sz w:val="24"/>
          <w:highlight w:val="none"/>
        </w:rPr>
        <w:t>服务期限及其他内容，并记录在案；</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投标人代表、招标人代表、监标人、记录人等有关人员使用本人的电子印章在开标记录上签字确认；</w:t>
      </w:r>
      <w:r>
        <w:rPr>
          <w:rFonts w:hint="eastAsia"/>
          <w:color w:val="auto"/>
          <w:sz w:val="24"/>
          <w:highlight w:val="none"/>
        </w:rPr>
        <w:t>若有关人员不签字的，不影响开标程序；</w:t>
      </w:r>
    </w:p>
    <w:p>
      <w:pPr>
        <w:spacing w:line="360" w:lineRule="auto"/>
        <w:ind w:firstLine="480" w:firstLineChars="200"/>
        <w:rPr>
          <w:color w:val="auto"/>
          <w:sz w:val="24"/>
          <w:highlight w:val="none"/>
        </w:rPr>
      </w:pPr>
      <w:r>
        <w:rPr>
          <w:color w:val="auto"/>
          <w:sz w:val="24"/>
          <w:highlight w:val="none"/>
        </w:rPr>
        <w:t>（6）开标结束。</w:t>
      </w:r>
    </w:p>
    <w:p>
      <w:pPr>
        <w:pStyle w:val="5"/>
        <w:spacing w:before="120" w:after="120"/>
        <w:ind w:firstLine="137"/>
        <w:rPr>
          <w:color w:val="auto"/>
          <w:highlight w:val="none"/>
        </w:rPr>
      </w:pPr>
      <w:bookmarkStart w:id="218" w:name="_Toc97798577"/>
      <w:bookmarkStart w:id="219" w:name="_Toc515205228"/>
      <w:bookmarkStart w:id="220" w:name="_Toc529196555"/>
      <w:r>
        <w:rPr>
          <w:color w:val="auto"/>
          <w:highlight w:val="none"/>
        </w:rPr>
        <w:t>5.3 开标异议</w:t>
      </w:r>
      <w:bookmarkEnd w:id="218"/>
      <w:bookmarkEnd w:id="219"/>
      <w:bookmarkEnd w:id="220"/>
    </w:p>
    <w:p>
      <w:pPr>
        <w:spacing w:line="360" w:lineRule="auto"/>
        <w:ind w:firstLine="410" w:firstLineChars="171"/>
        <w:rPr>
          <w:color w:val="auto"/>
          <w:sz w:val="24"/>
          <w:highlight w:val="none"/>
        </w:rPr>
      </w:pPr>
      <w:r>
        <w:rPr>
          <w:color w:val="auto"/>
          <w:sz w:val="24"/>
          <w:highlight w:val="none"/>
        </w:rPr>
        <w:t>投标人对开标有异议的，应当在开标现场提出，</w:t>
      </w:r>
      <w:r>
        <w:rPr>
          <w:rFonts w:hint="eastAsia"/>
          <w:color w:val="auto"/>
          <w:sz w:val="24"/>
          <w:highlight w:val="none"/>
        </w:rPr>
        <w:t>并出示本人身份证，</w:t>
      </w:r>
      <w:r>
        <w:rPr>
          <w:color w:val="auto"/>
          <w:sz w:val="24"/>
          <w:highlight w:val="none"/>
        </w:rPr>
        <w:t>招标人当场作出答复，并制作记录。</w:t>
      </w:r>
    </w:p>
    <w:p>
      <w:pPr>
        <w:pStyle w:val="5"/>
        <w:jc w:val="center"/>
        <w:rPr>
          <w:color w:val="auto"/>
          <w:highlight w:val="none"/>
        </w:rPr>
      </w:pPr>
      <w:bookmarkStart w:id="221" w:name="_Toc97798578"/>
      <w:bookmarkStart w:id="222" w:name="_Toc515205229"/>
      <w:bookmarkStart w:id="223" w:name="_Toc529196556"/>
      <w:r>
        <w:rPr>
          <w:color w:val="auto"/>
          <w:highlight w:val="none"/>
        </w:rPr>
        <w:t>6. 评标</w:t>
      </w:r>
      <w:bookmarkEnd w:id="221"/>
      <w:bookmarkEnd w:id="222"/>
      <w:bookmarkEnd w:id="223"/>
    </w:p>
    <w:p>
      <w:pPr>
        <w:pStyle w:val="5"/>
        <w:ind w:firstLine="137"/>
        <w:rPr>
          <w:color w:val="auto"/>
          <w:highlight w:val="none"/>
        </w:rPr>
      </w:pPr>
      <w:bookmarkStart w:id="224" w:name="_Toc529196557"/>
      <w:bookmarkStart w:id="225" w:name="_Toc97798579"/>
      <w:bookmarkStart w:id="226" w:name="_Toc515205230"/>
      <w:r>
        <w:rPr>
          <w:color w:val="auto"/>
          <w:highlight w:val="none"/>
        </w:rPr>
        <w:t>6.1 评标委员会</w:t>
      </w:r>
      <w:bookmarkEnd w:id="224"/>
      <w:bookmarkEnd w:id="225"/>
      <w:bookmarkEnd w:id="226"/>
    </w:p>
    <w:p>
      <w:pPr>
        <w:spacing w:line="360" w:lineRule="auto"/>
        <w:ind w:firstLine="480" w:firstLineChars="200"/>
        <w:rPr>
          <w:color w:val="auto"/>
          <w:sz w:val="24"/>
          <w:highlight w:val="none"/>
        </w:rPr>
      </w:pPr>
      <w:r>
        <w:rPr>
          <w:color w:val="auto"/>
          <w:sz w:val="24"/>
          <w:highlight w:val="none"/>
        </w:rPr>
        <w:t>6.1.1 评标由招标人依法组建的评标委员会负责。评标委员会成员人数以及技术、经济等方面专家的确定方式见投标人须知前附表。</w:t>
      </w:r>
    </w:p>
    <w:p>
      <w:pPr>
        <w:spacing w:line="360" w:lineRule="auto"/>
        <w:ind w:firstLine="480" w:firstLineChars="200"/>
        <w:rPr>
          <w:color w:val="auto"/>
          <w:sz w:val="24"/>
          <w:highlight w:val="none"/>
        </w:rPr>
      </w:pPr>
      <w:r>
        <w:rPr>
          <w:color w:val="auto"/>
          <w:sz w:val="24"/>
          <w:highlight w:val="none"/>
        </w:rPr>
        <w:t>6.1.2 评标委员会成员有下列情形之一的，应当回避：</w:t>
      </w:r>
    </w:p>
    <w:p>
      <w:pPr>
        <w:spacing w:line="360" w:lineRule="auto"/>
        <w:ind w:firstLine="820" w:firstLineChars="342"/>
        <w:rPr>
          <w:color w:val="auto"/>
          <w:sz w:val="24"/>
          <w:highlight w:val="none"/>
        </w:rPr>
      </w:pPr>
      <w:r>
        <w:rPr>
          <w:color w:val="auto"/>
          <w:sz w:val="24"/>
          <w:highlight w:val="none"/>
        </w:rPr>
        <w:t>（1）投标人或投标人主要负责人的近亲属；</w:t>
      </w:r>
    </w:p>
    <w:p>
      <w:pPr>
        <w:spacing w:line="360" w:lineRule="auto"/>
        <w:ind w:firstLine="820" w:firstLineChars="342"/>
        <w:rPr>
          <w:color w:val="auto"/>
          <w:sz w:val="24"/>
          <w:highlight w:val="none"/>
        </w:rPr>
      </w:pPr>
      <w:r>
        <w:rPr>
          <w:color w:val="auto"/>
          <w:sz w:val="24"/>
          <w:highlight w:val="none"/>
        </w:rPr>
        <w:t>（2）项目主管部门或者行政监督部门的人员；</w:t>
      </w:r>
    </w:p>
    <w:p>
      <w:pPr>
        <w:spacing w:line="360" w:lineRule="auto"/>
        <w:ind w:firstLine="820" w:firstLineChars="342"/>
        <w:rPr>
          <w:color w:val="auto"/>
          <w:sz w:val="24"/>
          <w:highlight w:val="none"/>
        </w:rPr>
      </w:pPr>
      <w:r>
        <w:rPr>
          <w:color w:val="auto"/>
          <w:sz w:val="24"/>
          <w:highlight w:val="none"/>
        </w:rPr>
        <w:t>（3）与投标人有经济利益关系，可能影响对投标公正评审的；</w:t>
      </w:r>
    </w:p>
    <w:p>
      <w:pPr>
        <w:spacing w:line="360" w:lineRule="auto"/>
        <w:ind w:firstLine="820" w:firstLineChars="342"/>
        <w:rPr>
          <w:color w:val="auto"/>
          <w:sz w:val="24"/>
          <w:highlight w:val="none"/>
        </w:rPr>
      </w:pPr>
      <w:r>
        <w:rPr>
          <w:color w:val="auto"/>
          <w:sz w:val="24"/>
          <w:highlight w:val="none"/>
        </w:rPr>
        <w:t>（4）曾因在招标、评</w:t>
      </w:r>
      <w:bookmarkStart w:id="227" w:name="_Toc247527580"/>
      <w:bookmarkStart w:id="228" w:name="_Toc247513979"/>
      <w:bookmarkStart w:id="229" w:name="_Toc6230"/>
      <w:bookmarkStart w:id="230" w:name="_Toc152045555"/>
      <w:bookmarkStart w:id="231" w:name="_Toc300834976"/>
      <w:bookmarkStart w:id="232" w:name="_Toc152042331"/>
      <w:bookmarkStart w:id="233" w:name="_Toc144974523"/>
      <w:bookmarkStart w:id="234" w:name="_Toc369531543"/>
      <w:bookmarkStart w:id="235" w:name="_Toc352691499"/>
      <w:bookmarkStart w:id="236" w:name="_Toc384308237"/>
      <w:bookmarkStart w:id="237" w:name="_Toc361508612"/>
      <w:r>
        <w:rPr>
          <w:color w:val="auto"/>
          <w:sz w:val="24"/>
          <w:highlight w:val="none"/>
        </w:rPr>
        <w:t>标以及其他</w:t>
      </w:r>
      <w:bookmarkEnd w:id="227"/>
      <w:bookmarkEnd w:id="228"/>
      <w:bookmarkEnd w:id="229"/>
      <w:bookmarkEnd w:id="230"/>
      <w:bookmarkEnd w:id="231"/>
      <w:bookmarkEnd w:id="232"/>
      <w:bookmarkEnd w:id="233"/>
      <w:bookmarkEnd w:id="234"/>
      <w:bookmarkEnd w:id="235"/>
      <w:bookmarkEnd w:id="236"/>
      <w:bookmarkEnd w:id="237"/>
      <w:r>
        <w:rPr>
          <w:color w:val="auto"/>
          <w:sz w:val="24"/>
          <w:highlight w:val="none"/>
        </w:rPr>
        <w:t>与</w:t>
      </w:r>
      <w:bookmarkStart w:id="238" w:name="_Toc247513980"/>
      <w:bookmarkStart w:id="239" w:name="_Toc144974524"/>
      <w:bookmarkStart w:id="240" w:name="_Toc384308238"/>
      <w:bookmarkStart w:id="241" w:name="_Toc152045556"/>
      <w:bookmarkStart w:id="242" w:name="_Toc361508613"/>
      <w:bookmarkStart w:id="243" w:name="_Toc17703"/>
      <w:bookmarkStart w:id="244" w:name="_Toc300834977"/>
      <w:bookmarkStart w:id="245" w:name="_Toc369531544"/>
      <w:bookmarkStart w:id="246" w:name="_Toc247527581"/>
      <w:bookmarkStart w:id="247" w:name="_Toc352691500"/>
      <w:bookmarkStart w:id="248" w:name="_Toc152042332"/>
      <w:r>
        <w:rPr>
          <w:color w:val="auto"/>
          <w:sz w:val="24"/>
          <w:highlight w:val="none"/>
        </w:rPr>
        <w:t>招标投标有关活动中从事违法行</w:t>
      </w:r>
      <w:bookmarkEnd w:id="238"/>
      <w:bookmarkEnd w:id="239"/>
      <w:bookmarkEnd w:id="240"/>
      <w:bookmarkEnd w:id="241"/>
      <w:bookmarkEnd w:id="242"/>
      <w:bookmarkEnd w:id="243"/>
      <w:bookmarkEnd w:id="244"/>
      <w:bookmarkEnd w:id="245"/>
      <w:bookmarkEnd w:id="246"/>
      <w:bookmarkEnd w:id="247"/>
      <w:bookmarkEnd w:id="248"/>
      <w:r>
        <w:rPr>
          <w:color w:val="auto"/>
          <w:sz w:val="24"/>
          <w:highlight w:val="none"/>
        </w:rPr>
        <w:t>为而受过行政处罚或刑事处罚的；</w:t>
      </w:r>
    </w:p>
    <w:p>
      <w:pPr>
        <w:spacing w:line="360" w:lineRule="auto"/>
        <w:ind w:firstLine="820" w:firstLineChars="342"/>
        <w:rPr>
          <w:color w:val="auto"/>
          <w:sz w:val="24"/>
          <w:highlight w:val="none"/>
        </w:rPr>
      </w:pPr>
      <w:r>
        <w:rPr>
          <w:color w:val="auto"/>
          <w:sz w:val="24"/>
          <w:highlight w:val="none"/>
        </w:rPr>
        <w:t>（5）与投标人有其他利害关系。</w:t>
      </w:r>
    </w:p>
    <w:p>
      <w:pPr>
        <w:spacing w:line="360" w:lineRule="auto"/>
        <w:ind w:firstLine="480" w:firstLineChars="200"/>
        <w:rPr>
          <w:color w:val="auto"/>
          <w:sz w:val="24"/>
          <w:highlight w:val="none"/>
        </w:rPr>
      </w:pPr>
      <w:r>
        <w:rPr>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ind w:firstLine="137"/>
        <w:rPr>
          <w:color w:val="auto"/>
          <w:highlight w:val="none"/>
        </w:rPr>
      </w:pPr>
      <w:bookmarkStart w:id="249" w:name="_Toc529196558"/>
      <w:bookmarkStart w:id="250" w:name="_Toc515205231"/>
      <w:bookmarkStart w:id="251" w:name="_Toc97798580"/>
      <w:r>
        <w:rPr>
          <w:color w:val="auto"/>
          <w:highlight w:val="none"/>
        </w:rPr>
        <w:t>6.2 评标原则</w:t>
      </w:r>
      <w:bookmarkEnd w:id="249"/>
      <w:bookmarkEnd w:id="250"/>
      <w:bookmarkEnd w:id="251"/>
    </w:p>
    <w:p>
      <w:pPr>
        <w:spacing w:line="360" w:lineRule="auto"/>
        <w:ind w:firstLine="480" w:firstLineChars="200"/>
        <w:rPr>
          <w:color w:val="auto"/>
          <w:sz w:val="24"/>
          <w:highlight w:val="none"/>
        </w:rPr>
      </w:pPr>
      <w:r>
        <w:rPr>
          <w:color w:val="auto"/>
          <w:sz w:val="24"/>
          <w:highlight w:val="none"/>
        </w:rPr>
        <w:t>评标活动遵循公平、公正、科学和择优的原</w:t>
      </w:r>
      <w:bookmarkStart w:id="252" w:name="_Toc152042333"/>
      <w:bookmarkStart w:id="253" w:name="_Toc18949"/>
      <w:bookmarkStart w:id="254" w:name="_Toc384308239"/>
      <w:bookmarkStart w:id="255" w:name="_Toc369531545"/>
      <w:bookmarkStart w:id="256" w:name="_Toc361508614"/>
      <w:bookmarkStart w:id="257" w:name="_Toc247527582"/>
      <w:bookmarkStart w:id="258" w:name="_Toc144974525"/>
      <w:bookmarkStart w:id="259" w:name="_Toc152045557"/>
      <w:bookmarkStart w:id="260" w:name="_Toc352691501"/>
      <w:bookmarkStart w:id="261" w:name="_Toc247513981"/>
      <w:bookmarkStart w:id="262" w:name="_Toc300834978"/>
      <w:r>
        <w:rPr>
          <w:color w:val="auto"/>
          <w:sz w:val="24"/>
          <w:highlight w:val="none"/>
        </w:rPr>
        <w:t>则。</w:t>
      </w:r>
    </w:p>
    <w:p>
      <w:pPr>
        <w:pStyle w:val="5"/>
        <w:ind w:firstLine="137"/>
        <w:rPr>
          <w:color w:val="auto"/>
          <w:highlight w:val="none"/>
        </w:rPr>
      </w:pPr>
      <w:bookmarkStart w:id="263" w:name="_Toc97798581"/>
      <w:bookmarkStart w:id="264" w:name="_Toc515205232"/>
      <w:bookmarkStart w:id="265" w:name="_Toc529196559"/>
      <w:r>
        <w:rPr>
          <w:color w:val="auto"/>
          <w:highlight w:val="none"/>
        </w:rPr>
        <w:t>6.3 评标</w:t>
      </w:r>
      <w:bookmarkEnd w:id="263"/>
      <w:bookmarkEnd w:id="264"/>
      <w:bookmarkEnd w:id="265"/>
    </w:p>
    <w:p>
      <w:pPr>
        <w:spacing w:line="360" w:lineRule="auto"/>
        <w:ind w:firstLine="480" w:firstLineChars="200"/>
        <w:rPr>
          <w:color w:val="auto"/>
          <w:sz w:val="24"/>
          <w:highlight w:val="none"/>
        </w:rPr>
      </w:pPr>
      <w:r>
        <w:rPr>
          <w:color w:val="auto"/>
          <w:sz w:val="24"/>
          <w:highlight w:val="none"/>
        </w:rPr>
        <w:t>6</w:t>
      </w:r>
      <w:bookmarkEnd w:id="252"/>
      <w:bookmarkEnd w:id="253"/>
      <w:bookmarkEnd w:id="254"/>
      <w:bookmarkEnd w:id="255"/>
      <w:bookmarkEnd w:id="256"/>
      <w:bookmarkEnd w:id="257"/>
      <w:bookmarkEnd w:id="258"/>
      <w:bookmarkEnd w:id="259"/>
      <w:bookmarkEnd w:id="260"/>
      <w:bookmarkEnd w:id="261"/>
      <w:bookmarkEnd w:id="262"/>
      <w:r>
        <w:rPr>
          <w:color w:val="auto"/>
          <w:sz w:val="24"/>
          <w:highlight w:val="none"/>
        </w:rPr>
        <w:t>.3.1评标委员会按照第三章“评标办法”规定的方法、评审因素、标准和程序对投标文件进行评审。第三章“评标办法”没有规定的方法、评审因素和标准，不作为评标依据。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color w:val="auto"/>
          <w:sz w:val="24"/>
          <w:highlight w:val="none"/>
        </w:rPr>
      </w:pPr>
      <w:r>
        <w:rPr>
          <w:color w:val="auto"/>
          <w:sz w:val="24"/>
          <w:highlight w:val="none"/>
        </w:rPr>
        <w:t>6.3.2评标完成后，评标委员会应当向招标人提交书面评标报告和中标候选人名单。评标委员会推荐中标</w:t>
      </w:r>
      <w:bookmarkStart w:id="266" w:name="_Toc152042334"/>
      <w:bookmarkStart w:id="267" w:name="_Toc369531546"/>
      <w:bookmarkStart w:id="268" w:name="_Toc352691502"/>
      <w:bookmarkStart w:id="269" w:name="_Toc300834979"/>
      <w:bookmarkStart w:id="270" w:name="_Toc361508615"/>
      <w:bookmarkStart w:id="271" w:name="_Toc247513982"/>
      <w:bookmarkStart w:id="272" w:name="_Toc247527583"/>
      <w:bookmarkStart w:id="273" w:name="_Toc144974526"/>
      <w:bookmarkStart w:id="274" w:name="_Toc12259"/>
      <w:bookmarkStart w:id="275" w:name="_Toc384308240"/>
      <w:bookmarkStart w:id="276" w:name="_Toc152045558"/>
      <w:r>
        <w:rPr>
          <w:color w:val="auto"/>
          <w:sz w:val="24"/>
          <w:highlight w:val="none"/>
        </w:rPr>
        <w:t>候选人的人数见投标人须知前附</w:t>
      </w:r>
      <w:bookmarkEnd w:id="266"/>
      <w:bookmarkEnd w:id="267"/>
      <w:bookmarkEnd w:id="268"/>
      <w:bookmarkEnd w:id="269"/>
      <w:bookmarkEnd w:id="270"/>
      <w:bookmarkEnd w:id="271"/>
      <w:bookmarkEnd w:id="272"/>
      <w:bookmarkEnd w:id="273"/>
      <w:bookmarkEnd w:id="274"/>
      <w:bookmarkEnd w:id="275"/>
      <w:bookmarkEnd w:id="276"/>
      <w:r>
        <w:rPr>
          <w:color w:val="auto"/>
          <w:sz w:val="24"/>
          <w:highlight w:val="none"/>
        </w:rPr>
        <w:t>表。</w:t>
      </w:r>
    </w:p>
    <w:p>
      <w:pPr>
        <w:pStyle w:val="5"/>
        <w:jc w:val="center"/>
        <w:rPr>
          <w:color w:val="auto"/>
          <w:highlight w:val="none"/>
        </w:rPr>
      </w:pPr>
      <w:bookmarkStart w:id="277" w:name="_Toc515205233"/>
      <w:bookmarkStart w:id="278" w:name="_Toc97798582"/>
      <w:bookmarkStart w:id="279" w:name="_Toc529196560"/>
      <w:r>
        <w:rPr>
          <w:color w:val="auto"/>
          <w:highlight w:val="none"/>
        </w:rPr>
        <w:t>7. 合同授予</w:t>
      </w:r>
      <w:bookmarkEnd w:id="277"/>
      <w:bookmarkEnd w:id="278"/>
      <w:bookmarkEnd w:id="279"/>
    </w:p>
    <w:p>
      <w:pPr>
        <w:pStyle w:val="5"/>
        <w:ind w:firstLine="137"/>
        <w:rPr>
          <w:color w:val="auto"/>
          <w:highlight w:val="none"/>
        </w:rPr>
      </w:pPr>
      <w:bookmarkStart w:id="280" w:name="_Toc515205234"/>
      <w:bookmarkStart w:id="281" w:name="_Toc97798583"/>
      <w:bookmarkStart w:id="282" w:name="_Toc529196561"/>
      <w:r>
        <w:rPr>
          <w:color w:val="auto"/>
          <w:highlight w:val="none"/>
        </w:rPr>
        <w:t>7.1 中标候选人公示</w:t>
      </w:r>
      <w:bookmarkEnd w:id="280"/>
      <w:bookmarkEnd w:id="281"/>
      <w:bookmarkEnd w:id="282"/>
    </w:p>
    <w:p>
      <w:pPr>
        <w:spacing w:line="360" w:lineRule="auto"/>
        <w:ind w:firstLine="480" w:firstLineChars="200"/>
        <w:rPr>
          <w:color w:val="auto"/>
          <w:sz w:val="24"/>
          <w:highlight w:val="none"/>
        </w:rPr>
      </w:pPr>
      <w:r>
        <w:rPr>
          <w:color w:val="auto"/>
          <w:sz w:val="24"/>
          <w:highlight w:val="none"/>
        </w:rPr>
        <w:t>招标人在收到评标报告之日起3日内，按照投标人须知前附表规定的公示媒介和期限公示中标候选人，公示期不得少于3天。</w:t>
      </w:r>
    </w:p>
    <w:p>
      <w:pPr>
        <w:pStyle w:val="5"/>
        <w:ind w:firstLine="137"/>
        <w:rPr>
          <w:color w:val="auto"/>
          <w:highlight w:val="none"/>
        </w:rPr>
      </w:pPr>
      <w:bookmarkStart w:id="283" w:name="_Toc97798584"/>
      <w:bookmarkStart w:id="284" w:name="_Toc515205235"/>
      <w:bookmarkStart w:id="285" w:name="_Toc529196562"/>
      <w:r>
        <w:rPr>
          <w:color w:val="auto"/>
          <w:highlight w:val="none"/>
        </w:rPr>
        <w:t>7.2 评标结果异议</w:t>
      </w:r>
      <w:bookmarkEnd w:id="283"/>
      <w:bookmarkEnd w:id="284"/>
      <w:bookmarkEnd w:id="285"/>
    </w:p>
    <w:p>
      <w:pPr>
        <w:spacing w:line="360" w:lineRule="auto"/>
        <w:ind w:firstLine="480" w:firstLineChars="200"/>
        <w:rPr>
          <w:color w:val="auto"/>
          <w:sz w:val="24"/>
          <w:highlight w:val="none"/>
        </w:rPr>
      </w:pPr>
      <w:r>
        <w:rPr>
          <w:color w:val="auto"/>
          <w:sz w:val="24"/>
          <w:highlight w:val="none"/>
        </w:rPr>
        <w:t>投标人或者其他利</w:t>
      </w:r>
      <w:bookmarkStart w:id="286" w:name="_Toc247513985"/>
      <w:bookmarkStart w:id="287" w:name="_Toc247527586"/>
      <w:bookmarkStart w:id="288" w:name="_Toc352691505"/>
      <w:bookmarkStart w:id="289" w:name="_Toc369531549"/>
      <w:bookmarkStart w:id="290" w:name="_Toc361508618"/>
      <w:bookmarkStart w:id="291" w:name="_Toc30095"/>
      <w:bookmarkStart w:id="292" w:name="_Toc384308243"/>
      <w:bookmarkStart w:id="293" w:name="_Toc152045561"/>
      <w:bookmarkStart w:id="294" w:name="_Toc144974529"/>
      <w:bookmarkStart w:id="295" w:name="_Toc152042337"/>
      <w:bookmarkStart w:id="296" w:name="_Toc300834982"/>
      <w:r>
        <w:rPr>
          <w:color w:val="auto"/>
          <w:sz w:val="24"/>
          <w:highlight w:val="none"/>
        </w:rPr>
        <w:t>害关系人对评标结</w:t>
      </w:r>
      <w:bookmarkEnd w:id="286"/>
      <w:bookmarkEnd w:id="287"/>
      <w:bookmarkEnd w:id="288"/>
      <w:bookmarkEnd w:id="289"/>
      <w:bookmarkEnd w:id="290"/>
      <w:bookmarkEnd w:id="291"/>
      <w:bookmarkEnd w:id="292"/>
      <w:bookmarkEnd w:id="293"/>
      <w:bookmarkEnd w:id="294"/>
      <w:bookmarkEnd w:id="295"/>
      <w:bookmarkEnd w:id="296"/>
      <w:r>
        <w:rPr>
          <w:color w:val="auto"/>
          <w:sz w:val="24"/>
          <w:highlight w:val="none"/>
        </w:rPr>
        <w:t>果有异议的，应当在中标候选人公示期间提出。招标人将在收到异议之日起3日内作出答复；作出答复前，将暂停招标投标活动。</w:t>
      </w:r>
    </w:p>
    <w:p>
      <w:pPr>
        <w:pStyle w:val="5"/>
        <w:ind w:firstLine="137"/>
        <w:rPr>
          <w:color w:val="auto"/>
          <w:highlight w:val="none"/>
        </w:rPr>
      </w:pPr>
      <w:bookmarkStart w:id="297" w:name="_Toc515205236"/>
      <w:bookmarkStart w:id="298" w:name="_Toc97798585"/>
      <w:bookmarkStart w:id="299" w:name="_Toc529196563"/>
      <w:r>
        <w:rPr>
          <w:color w:val="auto"/>
          <w:highlight w:val="none"/>
        </w:rPr>
        <w:t>7.3 中标候选人履约能力审查</w:t>
      </w:r>
      <w:bookmarkEnd w:id="297"/>
      <w:bookmarkEnd w:id="298"/>
      <w:bookmarkEnd w:id="299"/>
    </w:p>
    <w:p>
      <w:pPr>
        <w:spacing w:line="360" w:lineRule="auto"/>
        <w:ind w:firstLine="480" w:firstLineChars="200"/>
        <w:rPr>
          <w:color w:val="auto"/>
          <w:sz w:val="24"/>
          <w:highlight w:val="none"/>
        </w:rPr>
      </w:pPr>
      <w:r>
        <w:rPr>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ind w:firstLine="137"/>
        <w:rPr>
          <w:color w:val="auto"/>
          <w:highlight w:val="none"/>
        </w:rPr>
      </w:pPr>
      <w:bookmarkStart w:id="300" w:name="_Toc529196564"/>
      <w:bookmarkStart w:id="301" w:name="_Toc515205237"/>
      <w:bookmarkStart w:id="302" w:name="_Toc97798586"/>
      <w:r>
        <w:rPr>
          <w:color w:val="auto"/>
          <w:highlight w:val="none"/>
        </w:rPr>
        <w:t>7.4 定标</w:t>
      </w:r>
      <w:bookmarkEnd w:id="300"/>
      <w:bookmarkEnd w:id="301"/>
      <w:bookmarkEnd w:id="302"/>
    </w:p>
    <w:p>
      <w:pPr>
        <w:spacing w:line="360" w:lineRule="auto"/>
        <w:ind w:firstLine="480" w:firstLineChars="200"/>
        <w:rPr>
          <w:color w:val="auto"/>
          <w:sz w:val="24"/>
          <w:highlight w:val="none"/>
        </w:rPr>
      </w:pPr>
      <w:r>
        <w:rPr>
          <w:color w:val="auto"/>
          <w:sz w:val="24"/>
          <w:highlight w:val="none"/>
        </w:rPr>
        <w:t>按照投标人须知前附表的规定，招标人或招标人授权的评标委员会依法确定中标人。</w:t>
      </w:r>
    </w:p>
    <w:p>
      <w:pPr>
        <w:pStyle w:val="5"/>
        <w:ind w:firstLine="137"/>
        <w:rPr>
          <w:color w:val="auto"/>
          <w:highlight w:val="none"/>
        </w:rPr>
      </w:pPr>
      <w:bookmarkStart w:id="303" w:name="_Toc515205238"/>
      <w:bookmarkStart w:id="304" w:name="_Toc529196565"/>
      <w:bookmarkStart w:id="305" w:name="_Toc97798587"/>
      <w:r>
        <w:rPr>
          <w:color w:val="auto"/>
          <w:highlight w:val="none"/>
        </w:rPr>
        <w:t>7.5 中标通知</w:t>
      </w:r>
      <w:bookmarkEnd w:id="303"/>
      <w:bookmarkEnd w:id="304"/>
      <w:bookmarkEnd w:id="305"/>
    </w:p>
    <w:p>
      <w:pPr>
        <w:spacing w:line="360" w:lineRule="auto"/>
        <w:ind w:firstLine="480" w:firstLineChars="200"/>
        <w:rPr>
          <w:color w:val="auto"/>
          <w:sz w:val="24"/>
          <w:highlight w:val="none"/>
        </w:rPr>
      </w:pPr>
      <w:r>
        <w:rPr>
          <w:color w:val="auto"/>
          <w:sz w:val="24"/>
          <w:highlight w:val="none"/>
        </w:rPr>
        <w:t>在本章第3.3款规定的投标有效期内，招标人以书面形式向中标人发出中标</w:t>
      </w:r>
      <w:bookmarkStart w:id="306" w:name="_Toc361508619"/>
      <w:bookmarkStart w:id="307" w:name="_Toc300834983"/>
      <w:bookmarkStart w:id="308" w:name="_Toc384308244"/>
      <w:bookmarkStart w:id="309" w:name="_Toc369531550"/>
      <w:bookmarkStart w:id="310" w:name="_Toc5668"/>
      <w:bookmarkStart w:id="311" w:name="_Toc352691506"/>
      <w:r>
        <w:rPr>
          <w:color w:val="auto"/>
          <w:sz w:val="24"/>
          <w:highlight w:val="none"/>
        </w:rPr>
        <w:t>通知书，同时将中</w:t>
      </w:r>
      <w:bookmarkEnd w:id="306"/>
      <w:bookmarkEnd w:id="307"/>
      <w:bookmarkEnd w:id="308"/>
      <w:bookmarkEnd w:id="309"/>
      <w:bookmarkEnd w:id="310"/>
      <w:bookmarkEnd w:id="311"/>
      <w:r>
        <w:rPr>
          <w:color w:val="auto"/>
          <w:sz w:val="24"/>
          <w:highlight w:val="none"/>
        </w:rPr>
        <w:t>标结果通知未中标的投标人。</w:t>
      </w:r>
    </w:p>
    <w:p>
      <w:pPr>
        <w:pStyle w:val="5"/>
        <w:ind w:firstLine="137"/>
        <w:rPr>
          <w:color w:val="auto"/>
          <w:highlight w:val="none"/>
        </w:rPr>
      </w:pPr>
      <w:bookmarkStart w:id="312" w:name="_Toc97798588"/>
      <w:bookmarkStart w:id="313" w:name="_Toc515205239"/>
      <w:bookmarkStart w:id="314" w:name="_Toc529196566"/>
      <w:r>
        <w:rPr>
          <w:color w:val="auto"/>
          <w:highlight w:val="none"/>
        </w:rPr>
        <w:t>7.6 履约保证金</w:t>
      </w:r>
      <w:bookmarkEnd w:id="312"/>
      <w:bookmarkEnd w:id="313"/>
      <w:bookmarkEnd w:id="314"/>
    </w:p>
    <w:p>
      <w:pPr>
        <w:spacing w:line="360" w:lineRule="auto"/>
        <w:ind w:firstLine="480" w:firstLineChars="200"/>
        <w:rPr>
          <w:color w:val="auto"/>
          <w:sz w:val="24"/>
          <w:highlight w:val="none"/>
        </w:rPr>
      </w:pPr>
      <w:r>
        <w:rPr>
          <w:color w:val="auto"/>
          <w:sz w:val="24"/>
          <w:highlight w:val="none"/>
        </w:rPr>
        <w:t xml:space="preserve">7.6.1 </w:t>
      </w:r>
      <w:r>
        <w:rPr>
          <w:rFonts w:hint="eastAsia"/>
          <w:color w:val="auto"/>
          <w:sz w:val="24"/>
          <w:highlight w:val="none"/>
        </w:rPr>
        <w:t>在签订合同前，</w:t>
      </w:r>
      <w:r>
        <w:rPr>
          <w:color w:val="auto"/>
          <w:sz w:val="24"/>
          <w:highlight w:val="none"/>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olor w:val="auto"/>
          <w:sz w:val="24"/>
          <w:highlight w:val="none"/>
        </w:rPr>
        <w:t>主办方</w:t>
      </w:r>
      <w:r>
        <w:rPr>
          <w:color w:val="auto"/>
          <w:sz w:val="24"/>
          <w:highlight w:val="none"/>
        </w:rPr>
        <w:t>的名义提交。</w:t>
      </w:r>
    </w:p>
    <w:p>
      <w:pPr>
        <w:spacing w:line="360" w:lineRule="auto"/>
        <w:ind w:firstLine="480" w:firstLineChars="200"/>
        <w:rPr>
          <w:color w:val="auto"/>
          <w:sz w:val="24"/>
          <w:highlight w:val="none"/>
        </w:rPr>
      </w:pPr>
      <w:r>
        <w:rPr>
          <w:color w:val="auto"/>
          <w:sz w:val="24"/>
          <w:highlight w:val="none"/>
        </w:rPr>
        <w:t>7.6.2 中标人不能按本章第7.6.1项要求提交履约保证金的，视为放弃中标，其投标保证金不予退还，给招标人造成的损失超过投标保证金数额的，中标人还应当对超过部分予以赔偿。</w:t>
      </w:r>
    </w:p>
    <w:p>
      <w:pPr>
        <w:pStyle w:val="5"/>
        <w:ind w:firstLine="137"/>
        <w:rPr>
          <w:color w:val="auto"/>
          <w:highlight w:val="none"/>
        </w:rPr>
      </w:pPr>
      <w:bookmarkStart w:id="315" w:name="_Toc97798589"/>
      <w:bookmarkStart w:id="316" w:name="_Toc529196567"/>
      <w:bookmarkStart w:id="317" w:name="_Toc515205240"/>
      <w:r>
        <w:rPr>
          <w:color w:val="auto"/>
          <w:highlight w:val="none"/>
        </w:rPr>
        <w:t>7.7 签订合同</w:t>
      </w:r>
      <w:bookmarkEnd w:id="315"/>
      <w:bookmarkEnd w:id="316"/>
      <w:bookmarkEnd w:id="317"/>
    </w:p>
    <w:p>
      <w:pPr>
        <w:spacing w:line="360" w:lineRule="auto"/>
        <w:ind w:firstLine="480" w:firstLineChars="200"/>
        <w:rPr>
          <w:color w:val="auto"/>
          <w:sz w:val="24"/>
          <w:highlight w:val="none"/>
        </w:rPr>
      </w:pPr>
      <w:r>
        <w:rPr>
          <w:color w:val="auto"/>
          <w:sz w:val="24"/>
          <w:highlight w:val="none"/>
        </w:rPr>
        <w:t>7.7.1 招标人和中标人应当在中标通知书发出之日起30日内，根据招标文件和中标人的投标文件订立书面合同。中标人无正当理由</w:t>
      </w:r>
      <w:r>
        <w:rPr>
          <w:rFonts w:hint="eastAsia"/>
          <w:color w:val="auto"/>
          <w:sz w:val="24"/>
          <w:highlight w:val="none"/>
        </w:rPr>
        <w:t>拒签</w:t>
      </w:r>
      <w:r>
        <w:rPr>
          <w:color w:val="auto"/>
          <w:sz w:val="24"/>
          <w:highlight w:val="none"/>
        </w:rPr>
        <w:t>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rPr>
          <w:color w:val="auto"/>
          <w:sz w:val="24"/>
          <w:highlight w:val="none"/>
        </w:rPr>
      </w:pPr>
      <w:r>
        <w:rPr>
          <w:color w:val="auto"/>
          <w:sz w:val="24"/>
          <w:highlight w:val="none"/>
        </w:rPr>
        <w:t>7.7.2 发出中标通知书后，招标人无正当理由拒签合同，或者在签订合同时</w:t>
      </w:r>
      <w:r>
        <w:rPr>
          <w:rFonts w:hint="eastAsia"/>
          <w:color w:val="auto"/>
          <w:sz w:val="24"/>
          <w:highlight w:val="none"/>
        </w:rPr>
        <w:t>向中标人</w:t>
      </w:r>
      <w:r>
        <w:rPr>
          <w:color w:val="auto"/>
          <w:sz w:val="24"/>
          <w:highlight w:val="none"/>
        </w:rPr>
        <w:t>提出附加条件的，招标人向中标人退还投标保证金；给中标人造成损失的，还应当赔偿损失。</w:t>
      </w:r>
    </w:p>
    <w:p>
      <w:pPr>
        <w:spacing w:line="360" w:lineRule="auto"/>
        <w:ind w:firstLine="480" w:firstLineChars="200"/>
        <w:rPr>
          <w:color w:val="auto"/>
          <w:sz w:val="24"/>
          <w:highlight w:val="none"/>
        </w:rPr>
      </w:pPr>
      <w:r>
        <w:rPr>
          <w:color w:val="auto"/>
          <w:sz w:val="24"/>
          <w:highlight w:val="none"/>
        </w:rPr>
        <w:t>7.7.3联合体中标的，联合体各方应当共同与招标人签订合同，就中标项目向招标人承担连带责任。</w:t>
      </w:r>
    </w:p>
    <w:p>
      <w:pPr>
        <w:pStyle w:val="5"/>
        <w:jc w:val="center"/>
        <w:rPr>
          <w:color w:val="auto"/>
          <w:highlight w:val="none"/>
        </w:rPr>
      </w:pPr>
      <w:bookmarkStart w:id="318" w:name="_Toc361508627"/>
      <w:bookmarkStart w:id="319" w:name="_Toc384308252"/>
      <w:bookmarkStart w:id="320" w:name="_Toc24067"/>
      <w:bookmarkStart w:id="321" w:name="_Toc97798590"/>
      <w:bookmarkStart w:id="322" w:name="_Toc515205241"/>
      <w:bookmarkStart w:id="323" w:name="_Toc529196568"/>
      <w:bookmarkStart w:id="324" w:name="_Toc247513992"/>
      <w:bookmarkStart w:id="325" w:name="_Toc144974536"/>
      <w:bookmarkStart w:id="326" w:name="_Toc300834991"/>
      <w:bookmarkStart w:id="327" w:name="_Toc152045568"/>
      <w:bookmarkStart w:id="328" w:name="_Toc152042344"/>
      <w:bookmarkStart w:id="329" w:name="_Toc247527593"/>
      <w:r>
        <w:rPr>
          <w:color w:val="auto"/>
          <w:highlight w:val="none"/>
        </w:rPr>
        <w:t>8.</w:t>
      </w:r>
      <w:bookmarkEnd w:id="318"/>
      <w:bookmarkEnd w:id="319"/>
      <w:bookmarkEnd w:id="320"/>
      <w:r>
        <w:rPr>
          <w:color w:val="auto"/>
          <w:highlight w:val="none"/>
        </w:rPr>
        <w:t>纪律和监督</w:t>
      </w:r>
      <w:bookmarkEnd w:id="321"/>
      <w:bookmarkEnd w:id="322"/>
      <w:bookmarkEnd w:id="323"/>
    </w:p>
    <w:p>
      <w:pPr>
        <w:pStyle w:val="5"/>
        <w:ind w:firstLine="137"/>
        <w:rPr>
          <w:color w:val="auto"/>
          <w:highlight w:val="none"/>
        </w:rPr>
      </w:pPr>
      <w:bookmarkStart w:id="330" w:name="_Toc97798591"/>
      <w:bookmarkStart w:id="331" w:name="_Toc515205242"/>
      <w:bookmarkStart w:id="332" w:name="_Toc529196569"/>
      <w:r>
        <w:rPr>
          <w:color w:val="auto"/>
          <w:highlight w:val="none"/>
        </w:rPr>
        <w:t>8.1 对招标人的纪律要求</w:t>
      </w:r>
      <w:bookmarkEnd w:id="330"/>
      <w:bookmarkEnd w:id="331"/>
      <w:bookmarkEnd w:id="332"/>
    </w:p>
    <w:p>
      <w:pPr>
        <w:spacing w:line="360" w:lineRule="auto"/>
        <w:ind w:firstLine="480" w:firstLineChars="200"/>
        <w:rPr>
          <w:color w:val="auto"/>
          <w:sz w:val="24"/>
          <w:highlight w:val="none"/>
        </w:rPr>
      </w:pPr>
      <w:r>
        <w:rPr>
          <w:color w:val="auto"/>
          <w:sz w:val="24"/>
          <w:highlight w:val="none"/>
        </w:rPr>
        <w:t>招标人不得泄露招标投标活动中应当保密的情况和资料，不得与投标人串通损害国家利益、社会公共利益或者他人合法权益。</w:t>
      </w:r>
    </w:p>
    <w:p>
      <w:pPr>
        <w:pStyle w:val="5"/>
        <w:ind w:firstLine="137"/>
        <w:rPr>
          <w:color w:val="auto"/>
          <w:highlight w:val="none"/>
        </w:rPr>
      </w:pPr>
      <w:bookmarkStart w:id="333" w:name="_Toc515205243"/>
      <w:bookmarkStart w:id="334" w:name="_Toc97798592"/>
      <w:bookmarkStart w:id="335" w:name="_Toc529196570"/>
      <w:r>
        <w:rPr>
          <w:color w:val="auto"/>
          <w:highlight w:val="none"/>
        </w:rPr>
        <w:t>8.2 对投标人的纪律要求</w:t>
      </w:r>
      <w:bookmarkEnd w:id="333"/>
      <w:bookmarkEnd w:id="334"/>
      <w:bookmarkEnd w:id="335"/>
    </w:p>
    <w:p>
      <w:pPr>
        <w:spacing w:line="360" w:lineRule="auto"/>
        <w:ind w:firstLine="480" w:firstLineChars="200"/>
        <w:rPr>
          <w:color w:val="auto"/>
          <w:sz w:val="24"/>
          <w:highlight w:val="none"/>
        </w:rPr>
      </w:pPr>
      <w:r>
        <w:rPr>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ind w:firstLine="137"/>
        <w:rPr>
          <w:color w:val="auto"/>
          <w:highlight w:val="none"/>
        </w:rPr>
      </w:pPr>
      <w:bookmarkStart w:id="336" w:name="_Toc529196571"/>
      <w:bookmarkStart w:id="337" w:name="_Toc515205244"/>
      <w:bookmarkStart w:id="338" w:name="_Toc97798593"/>
      <w:r>
        <w:rPr>
          <w:color w:val="auto"/>
          <w:highlight w:val="none"/>
        </w:rPr>
        <w:t>8.3 对评标委员会成员的纪律要求</w:t>
      </w:r>
      <w:bookmarkEnd w:id="336"/>
      <w:bookmarkEnd w:id="337"/>
      <w:bookmarkEnd w:id="338"/>
    </w:p>
    <w:p>
      <w:pPr>
        <w:spacing w:line="360" w:lineRule="auto"/>
        <w:ind w:firstLine="480" w:firstLineChars="200"/>
        <w:rPr>
          <w:color w:val="auto"/>
          <w:sz w:val="24"/>
          <w:highlight w:val="none"/>
        </w:rPr>
      </w:pPr>
      <w:r>
        <w:rPr>
          <w:color w:val="auto"/>
          <w:sz w:val="24"/>
          <w:highlight w:val="none"/>
        </w:rPr>
        <w:t>评标委员会成员不得收受他人的财物或者其他好处，不得向他人透露对投标文件的评审</w:t>
      </w:r>
      <w:bookmarkStart w:id="339" w:name="_Toc13644"/>
      <w:bookmarkStart w:id="340" w:name="_Toc361508628"/>
      <w:bookmarkStart w:id="341" w:name="_Toc352691515"/>
      <w:bookmarkStart w:id="342" w:name="_Toc369531559"/>
      <w:bookmarkStart w:id="343" w:name="_Toc384308253"/>
      <w:r>
        <w:rPr>
          <w:color w:val="auto"/>
          <w:sz w:val="24"/>
          <w:highlight w:val="none"/>
        </w:rPr>
        <w:t>和比较、中标候选人</w:t>
      </w:r>
      <w:bookmarkEnd w:id="324"/>
      <w:bookmarkEnd w:id="325"/>
      <w:bookmarkEnd w:id="326"/>
      <w:bookmarkEnd w:id="327"/>
      <w:bookmarkEnd w:id="328"/>
      <w:bookmarkEnd w:id="329"/>
      <w:bookmarkEnd w:id="339"/>
      <w:bookmarkEnd w:id="340"/>
      <w:bookmarkEnd w:id="341"/>
      <w:bookmarkEnd w:id="342"/>
      <w:bookmarkEnd w:id="343"/>
      <w:r>
        <w:rPr>
          <w:color w:val="auto"/>
          <w:sz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ind w:firstLine="137"/>
        <w:rPr>
          <w:color w:val="auto"/>
          <w:highlight w:val="none"/>
        </w:rPr>
      </w:pPr>
      <w:bookmarkStart w:id="344" w:name="_Toc515205245"/>
      <w:bookmarkStart w:id="345" w:name="_Toc97798594"/>
      <w:bookmarkStart w:id="346" w:name="_Toc529196572"/>
      <w:r>
        <w:rPr>
          <w:color w:val="auto"/>
          <w:highlight w:val="none"/>
        </w:rPr>
        <w:t>8.4 对与评标活动有关的工作人员的纪律要求</w:t>
      </w:r>
      <w:bookmarkEnd w:id="344"/>
      <w:bookmarkEnd w:id="345"/>
      <w:bookmarkEnd w:id="346"/>
    </w:p>
    <w:p>
      <w:pPr>
        <w:spacing w:line="360" w:lineRule="auto"/>
        <w:ind w:firstLine="480" w:firstLineChars="200"/>
        <w:rPr>
          <w:color w:val="auto"/>
          <w:sz w:val="24"/>
          <w:highlight w:val="none"/>
        </w:rPr>
      </w:pPr>
      <w:r>
        <w:rPr>
          <w:color w:val="auto"/>
          <w:sz w:val="24"/>
          <w:highlight w:val="none"/>
        </w:rPr>
        <w:t>与评标活动有关的工作人员不得收受他人的财物或者其他好处，不得向他人透露对投标文件</w:t>
      </w:r>
      <w:bookmarkStart w:id="347" w:name="_Toc352691516"/>
      <w:bookmarkStart w:id="348" w:name="_Toc144974537"/>
      <w:bookmarkStart w:id="349" w:name="_Toc19429"/>
      <w:bookmarkStart w:id="350" w:name="_Toc361508629"/>
      <w:bookmarkStart w:id="351" w:name="_Toc152042345"/>
      <w:bookmarkStart w:id="352" w:name="_Toc152045569"/>
      <w:bookmarkStart w:id="353" w:name="_Toc369531560"/>
      <w:bookmarkStart w:id="354" w:name="_Toc247513993"/>
      <w:bookmarkStart w:id="355" w:name="_Toc247527594"/>
      <w:bookmarkStart w:id="356" w:name="_Toc384308254"/>
      <w:bookmarkStart w:id="357" w:name="_Toc300834992"/>
      <w:r>
        <w:rPr>
          <w:color w:val="auto"/>
          <w:sz w:val="24"/>
          <w:highlight w:val="none"/>
        </w:rPr>
        <w:t>的评审和比较、中标</w:t>
      </w:r>
      <w:bookmarkEnd w:id="347"/>
      <w:bookmarkEnd w:id="348"/>
      <w:bookmarkEnd w:id="349"/>
      <w:bookmarkEnd w:id="350"/>
      <w:bookmarkEnd w:id="351"/>
      <w:bookmarkEnd w:id="352"/>
      <w:bookmarkEnd w:id="353"/>
      <w:bookmarkEnd w:id="354"/>
      <w:bookmarkEnd w:id="355"/>
      <w:bookmarkEnd w:id="356"/>
      <w:bookmarkEnd w:id="357"/>
      <w:r>
        <w:rPr>
          <w:color w:val="auto"/>
          <w:sz w:val="24"/>
          <w:highlight w:val="none"/>
        </w:rPr>
        <w:t>候选人的推荐情况以及评标有关的其他情况。在评标活动中，与评标活动有关的工作人员不得擅离职守，影响评标程序正常进行。</w:t>
      </w:r>
    </w:p>
    <w:p>
      <w:pPr>
        <w:pStyle w:val="5"/>
        <w:ind w:firstLine="137"/>
        <w:rPr>
          <w:color w:val="auto"/>
          <w:highlight w:val="none"/>
        </w:rPr>
      </w:pPr>
      <w:bookmarkStart w:id="358" w:name="_Toc529196573"/>
      <w:bookmarkStart w:id="359" w:name="_Toc97798595"/>
      <w:bookmarkStart w:id="360" w:name="_Toc515205246"/>
      <w:r>
        <w:rPr>
          <w:color w:val="auto"/>
          <w:highlight w:val="none"/>
        </w:rPr>
        <w:t>8.5 投诉</w:t>
      </w:r>
      <w:bookmarkEnd w:id="358"/>
      <w:bookmarkEnd w:id="359"/>
      <w:bookmarkEnd w:id="360"/>
    </w:p>
    <w:p>
      <w:pPr>
        <w:spacing w:line="360" w:lineRule="auto"/>
        <w:ind w:firstLine="480" w:firstLineChars="200"/>
        <w:rPr>
          <w:color w:val="auto"/>
          <w:sz w:val="24"/>
          <w:highlight w:val="none"/>
        </w:rPr>
      </w:pPr>
      <w:r>
        <w:rPr>
          <w:color w:val="auto"/>
          <w:sz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80" w:firstLineChars="200"/>
        <w:rPr>
          <w:color w:val="auto"/>
          <w:sz w:val="24"/>
          <w:highlight w:val="none"/>
        </w:rPr>
      </w:pPr>
      <w:r>
        <w:rPr>
          <w:color w:val="auto"/>
          <w:sz w:val="24"/>
          <w:highlight w:val="none"/>
        </w:rPr>
        <w:t>8.5.2 投标人或者其他利害关系人对招标文件、开标和评标结果提出投诉的，应当按照投标人须知第2.4款、第5.3款和第7.2款的规定先向招标人提出异议。异议答复期间</w:t>
      </w:r>
      <w:bookmarkStart w:id="361" w:name="_Toc144974538"/>
      <w:bookmarkStart w:id="362" w:name="_Toc152045570"/>
      <w:bookmarkStart w:id="363" w:name="_Toc247513994"/>
      <w:bookmarkStart w:id="364" w:name="_Toc247527595"/>
      <w:bookmarkStart w:id="365" w:name="_Toc300834993"/>
      <w:bookmarkStart w:id="366" w:name="_Toc152042346"/>
      <w:bookmarkStart w:id="367" w:name="_Toc352691517"/>
      <w:bookmarkStart w:id="368" w:name="_Toc369531561"/>
      <w:bookmarkStart w:id="369" w:name="_Toc384308255"/>
      <w:bookmarkStart w:id="370" w:name="_Toc12776"/>
      <w:bookmarkStart w:id="371" w:name="_Toc361508630"/>
      <w:r>
        <w:rPr>
          <w:color w:val="auto"/>
          <w:sz w:val="24"/>
          <w:highlight w:val="none"/>
        </w:rPr>
        <w:t>不计算在第8.5.</w:t>
      </w:r>
      <w:bookmarkEnd w:id="361"/>
      <w:bookmarkEnd w:id="362"/>
      <w:bookmarkEnd w:id="363"/>
      <w:bookmarkEnd w:id="364"/>
      <w:bookmarkEnd w:id="365"/>
      <w:bookmarkEnd w:id="366"/>
      <w:bookmarkEnd w:id="367"/>
      <w:bookmarkEnd w:id="368"/>
      <w:bookmarkEnd w:id="369"/>
      <w:bookmarkEnd w:id="370"/>
      <w:bookmarkEnd w:id="371"/>
      <w:r>
        <w:rPr>
          <w:color w:val="auto"/>
          <w:sz w:val="24"/>
          <w:highlight w:val="none"/>
        </w:rPr>
        <w:t>1项规定的期限内。</w:t>
      </w:r>
    </w:p>
    <w:p>
      <w:pPr>
        <w:pStyle w:val="5"/>
        <w:jc w:val="center"/>
        <w:rPr>
          <w:color w:val="auto"/>
          <w:highlight w:val="none"/>
        </w:rPr>
      </w:pPr>
      <w:bookmarkStart w:id="372" w:name="_Toc97798596"/>
      <w:bookmarkStart w:id="373" w:name="_Toc477134992"/>
      <w:bookmarkStart w:id="374" w:name="_Toc515205247"/>
      <w:bookmarkStart w:id="375" w:name="_Toc529196574"/>
      <w:r>
        <w:rPr>
          <w:color w:val="auto"/>
          <w:highlight w:val="none"/>
        </w:rPr>
        <w:t>9. 是否采用电子招标投标</w:t>
      </w:r>
      <w:bookmarkEnd w:id="372"/>
      <w:bookmarkEnd w:id="373"/>
      <w:bookmarkEnd w:id="374"/>
      <w:bookmarkEnd w:id="375"/>
    </w:p>
    <w:p>
      <w:pPr>
        <w:spacing w:line="360" w:lineRule="auto"/>
        <w:ind w:firstLine="480" w:firstLineChars="200"/>
        <w:rPr>
          <w:color w:val="auto"/>
          <w:sz w:val="24"/>
          <w:highlight w:val="none"/>
        </w:rPr>
      </w:pPr>
      <w:r>
        <w:rPr>
          <w:color w:val="auto"/>
          <w:sz w:val="24"/>
          <w:highlight w:val="none"/>
        </w:rPr>
        <w:t>本招标项目是否采用电子招标投标方式，见投标人须知前附表。</w:t>
      </w:r>
    </w:p>
    <w:p>
      <w:pPr>
        <w:pStyle w:val="5"/>
        <w:jc w:val="center"/>
        <w:rPr>
          <w:color w:val="auto"/>
          <w:highlight w:val="none"/>
        </w:rPr>
      </w:pPr>
      <w:bookmarkStart w:id="376" w:name="_Toc97798597"/>
      <w:bookmarkStart w:id="377" w:name="_Toc529196575"/>
      <w:bookmarkStart w:id="378" w:name="_Toc515205248"/>
      <w:r>
        <w:rPr>
          <w:color w:val="auto"/>
          <w:highlight w:val="none"/>
        </w:rPr>
        <w:t>10. 需要补充的其他内容</w:t>
      </w:r>
      <w:bookmarkEnd w:id="376"/>
      <w:bookmarkEnd w:id="377"/>
      <w:bookmarkEnd w:id="378"/>
    </w:p>
    <w:p>
      <w:pPr>
        <w:ind w:firstLine="360" w:firstLineChars="150"/>
        <w:rPr>
          <w:b/>
          <w:bCs/>
          <w:color w:val="auto"/>
          <w:sz w:val="28"/>
          <w:szCs w:val="20"/>
          <w:highlight w:val="none"/>
        </w:rPr>
      </w:pPr>
      <w:r>
        <w:rPr>
          <w:rFonts w:hint="eastAsia"/>
          <w:color w:val="auto"/>
          <w:sz w:val="24"/>
          <w:highlight w:val="none"/>
        </w:rPr>
        <w:t>需要补充的其他内容：</w:t>
      </w:r>
      <w:r>
        <w:rPr>
          <w:color w:val="auto"/>
          <w:sz w:val="24"/>
          <w:highlight w:val="none"/>
        </w:rPr>
        <w:t>见投标人须知前附表。</w:t>
      </w:r>
      <w:r>
        <w:rPr>
          <w:b/>
          <w:bCs/>
          <w:color w:val="auto"/>
          <w:sz w:val="28"/>
          <w:szCs w:val="20"/>
          <w:highlight w:val="none"/>
        </w:rPr>
        <w:br w:type="page"/>
      </w:r>
      <w:bookmarkStart w:id="379" w:name="_Toc530728900"/>
      <w:r>
        <w:rPr>
          <w:b/>
          <w:bCs/>
          <w:color w:val="auto"/>
          <w:sz w:val="28"/>
          <w:szCs w:val="20"/>
          <w:highlight w:val="none"/>
        </w:rPr>
        <w:t>附件一：开标记录表</w:t>
      </w:r>
      <w:bookmarkEnd w:id="379"/>
    </w:p>
    <w:p>
      <w:pPr>
        <w:spacing w:line="440" w:lineRule="exact"/>
        <w:jc w:val="center"/>
        <w:rPr>
          <w:color w:val="auto"/>
          <w:sz w:val="28"/>
          <w:highlight w:val="none"/>
        </w:rPr>
      </w:pPr>
      <w:r>
        <w:rPr>
          <w:color w:val="auto"/>
          <w:sz w:val="28"/>
          <w:highlight w:val="none"/>
        </w:rPr>
        <w:t>开标记录表</w:t>
      </w:r>
    </w:p>
    <w:p>
      <w:pPr>
        <w:wordWrap w:val="0"/>
        <w:spacing w:beforeLines="50" w:afterLines="50" w:line="400" w:lineRule="exact"/>
        <w:ind w:right="420"/>
        <w:jc w:val="right"/>
        <w:rPr>
          <w:color w:val="auto"/>
          <w:highlight w:val="none"/>
        </w:rPr>
      </w:pPr>
      <w:r>
        <w:rPr>
          <w:color w:val="auto"/>
          <w:highlight w:val="none"/>
        </w:rPr>
        <w:t>开标时间：年月日时分</w:t>
      </w:r>
    </w:p>
    <w:p>
      <w:pPr>
        <w:spacing w:beforeLines="50" w:afterLines="50" w:line="400" w:lineRule="exact"/>
        <w:ind w:right="420"/>
        <w:rPr>
          <w:color w:val="auto"/>
          <w:highlight w:val="none"/>
        </w:rPr>
      </w:pPr>
      <w:r>
        <w:rPr>
          <w:rFonts w:hint="eastAsia"/>
          <w:color w:val="auto"/>
          <w:highlight w:val="none"/>
        </w:rPr>
        <w:t>项目</w:t>
      </w:r>
      <w:r>
        <w:rPr>
          <w:color w:val="auto"/>
          <w:highlight w:val="none"/>
        </w:rPr>
        <w:t>名称：</w:t>
      </w:r>
    </w:p>
    <w:tbl>
      <w:tblPr>
        <w:tblStyle w:val="42"/>
        <w:tblW w:w="9725" w:type="dxa"/>
        <w:tblInd w:w="-459" w:type="dxa"/>
        <w:tblLayout w:type="fixed"/>
        <w:tblCellMar>
          <w:top w:w="0" w:type="dxa"/>
          <w:left w:w="108" w:type="dxa"/>
          <w:bottom w:w="0" w:type="dxa"/>
          <w:right w:w="108" w:type="dxa"/>
        </w:tblCellMar>
      </w:tblPr>
      <w:tblGrid>
        <w:gridCol w:w="510"/>
        <w:gridCol w:w="622"/>
        <w:gridCol w:w="735"/>
        <w:gridCol w:w="848"/>
        <w:gridCol w:w="869"/>
        <w:gridCol w:w="961"/>
        <w:gridCol w:w="961"/>
        <w:gridCol w:w="1188"/>
        <w:gridCol w:w="1188"/>
        <w:gridCol w:w="851"/>
        <w:gridCol w:w="992"/>
      </w:tblGrid>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color w:val="auto"/>
                <w:sz w:val="18"/>
                <w:highlight w:val="none"/>
              </w:rPr>
              <w:t>序号</w:t>
            </w:r>
          </w:p>
        </w:tc>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color w:val="auto"/>
                <w:sz w:val="18"/>
                <w:highlight w:val="none"/>
              </w:rPr>
              <w:t>投标人</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color w:val="auto"/>
                <w:sz w:val="18"/>
                <w:highlight w:val="none"/>
              </w:rPr>
              <w:t>密封情况</w:t>
            </w:r>
          </w:p>
        </w:tc>
        <w:tc>
          <w:tcPr>
            <w:tcW w:w="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color w:val="auto"/>
                <w:sz w:val="18"/>
                <w:highlight w:val="none"/>
              </w:rPr>
              <w:t>投标保证金</w:t>
            </w: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color w:val="auto"/>
                <w:sz w:val="18"/>
                <w:highlight w:val="none"/>
              </w:rPr>
              <w:t>投标报价</w:t>
            </w:r>
          </w:p>
          <w:p>
            <w:pPr>
              <w:spacing w:line="360" w:lineRule="auto"/>
              <w:jc w:val="center"/>
              <w:rPr>
                <w:color w:val="auto"/>
                <w:sz w:val="18"/>
                <w:highlight w:val="none"/>
              </w:rPr>
            </w:pPr>
            <w:r>
              <w:rPr>
                <w:color w:val="auto"/>
                <w:sz w:val="18"/>
                <w:highlight w:val="none"/>
              </w:rPr>
              <w:t>（元）</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rFonts w:hint="eastAsia"/>
                <w:color w:val="auto"/>
                <w:sz w:val="18"/>
                <w:highlight w:val="none"/>
              </w:rPr>
              <w:t>项目负责人</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color w:val="auto"/>
                <w:sz w:val="18"/>
                <w:highlight w:val="none"/>
              </w:rPr>
              <w:t>服务期限</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rFonts w:hint="eastAsia"/>
                <w:color w:val="auto"/>
                <w:sz w:val="18"/>
                <w:highlight w:val="none"/>
              </w:rPr>
              <w:t>投标文件递交情况</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rFonts w:hint="eastAsia"/>
                <w:color w:val="auto"/>
                <w:sz w:val="18"/>
                <w:highlight w:val="none"/>
              </w:rPr>
              <w:t>投标文件解密情况</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color w:val="auto"/>
                <w:sz w:val="18"/>
                <w:highlight w:val="none"/>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18"/>
                <w:highlight w:val="none"/>
              </w:rPr>
            </w:pPr>
            <w:r>
              <w:rPr>
                <w:color w:val="auto"/>
                <w:sz w:val="18"/>
                <w:highlight w:val="none"/>
              </w:rPr>
              <w:t>投标人代表签名</w:t>
            </w:r>
          </w:p>
        </w:tc>
      </w:tr>
      <w:tr>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blPrEx>
          <w:tblCellMar>
            <w:top w:w="0" w:type="dxa"/>
            <w:left w:w="108" w:type="dxa"/>
            <w:bottom w:w="0" w:type="dxa"/>
            <w:right w:w="108" w:type="dxa"/>
          </w:tblCellMar>
        </w:tblPrEx>
        <w:trPr>
          <w:trHeight w:val="502" w:hRule="atLeast"/>
        </w:trPr>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r>
        <w:tblPrEx>
          <w:tblCellMar>
            <w:top w:w="0" w:type="dxa"/>
            <w:left w:w="108" w:type="dxa"/>
            <w:bottom w:w="0" w:type="dxa"/>
            <w:right w:w="108" w:type="dxa"/>
          </w:tblCellMar>
        </w:tblPrEx>
        <w:tc>
          <w:tcPr>
            <w:tcW w:w="186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r>
              <w:rPr>
                <w:color w:val="auto"/>
                <w:highlight w:val="none"/>
              </w:rPr>
              <w:t>最高投标限价：</w:t>
            </w:r>
          </w:p>
        </w:tc>
        <w:tc>
          <w:tcPr>
            <w:tcW w:w="7858"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highlight w:val="none"/>
              </w:rPr>
            </w:pPr>
          </w:p>
        </w:tc>
      </w:tr>
    </w:tbl>
    <w:p>
      <w:pPr>
        <w:spacing w:beforeLines="50" w:afterLines="50" w:line="400" w:lineRule="exact"/>
        <w:ind w:right="420"/>
        <w:jc w:val="right"/>
        <w:rPr>
          <w:color w:val="auto"/>
          <w:highlight w:val="none"/>
        </w:rPr>
      </w:pPr>
    </w:p>
    <w:p>
      <w:pPr>
        <w:spacing w:line="440" w:lineRule="exact"/>
        <w:rPr>
          <w:color w:val="auto"/>
          <w:highlight w:val="none"/>
        </w:rPr>
      </w:pPr>
      <w:r>
        <w:rPr>
          <w:color w:val="auto"/>
          <w:highlight w:val="none"/>
        </w:rPr>
        <w:t>　　　</w:t>
      </w:r>
    </w:p>
    <w:p>
      <w:pPr>
        <w:spacing w:line="620" w:lineRule="exact"/>
        <w:rPr>
          <w:color w:val="auto"/>
          <w:highlight w:val="none"/>
        </w:rPr>
      </w:pPr>
      <w:r>
        <w:rPr>
          <w:color w:val="auto"/>
          <w:highlight w:val="none"/>
        </w:rPr>
        <w:t>招标人代表：记录人：监标人：</w:t>
      </w:r>
    </w:p>
    <w:p>
      <w:pPr>
        <w:wordWrap w:val="0"/>
        <w:spacing w:line="620" w:lineRule="exact"/>
        <w:jc w:val="right"/>
        <w:rPr>
          <w:color w:val="auto"/>
          <w:highlight w:val="none"/>
        </w:rPr>
      </w:pPr>
      <w:r>
        <w:rPr>
          <w:color w:val="auto"/>
          <w:highlight w:val="none"/>
        </w:rPr>
        <w:t xml:space="preserve">   年月日</w:t>
      </w: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5"/>
        <w:spacing w:line="412" w:lineRule="auto"/>
        <w:ind w:firstLine="138" w:firstLineChars="49"/>
        <w:rPr>
          <w:color w:val="auto"/>
          <w:sz w:val="28"/>
          <w:szCs w:val="28"/>
          <w:highlight w:val="none"/>
        </w:rPr>
      </w:pPr>
      <w:bookmarkStart w:id="380" w:name="_Toc530728901"/>
      <w:bookmarkStart w:id="381" w:name="_Toc97798598"/>
      <w:r>
        <w:rPr>
          <w:color w:val="auto"/>
          <w:sz w:val="28"/>
          <w:szCs w:val="28"/>
          <w:highlight w:val="none"/>
        </w:rPr>
        <w:t>附件二：问题澄清通知</w:t>
      </w:r>
      <w:r>
        <w:rPr>
          <w:rFonts w:hint="eastAsia"/>
          <w:color w:val="auto"/>
          <w:sz w:val="28"/>
          <w:szCs w:val="28"/>
          <w:highlight w:val="none"/>
        </w:rPr>
        <w:t>（按广州公共资源交易中心版式为准）</w:t>
      </w:r>
      <w:bookmarkEnd w:id="380"/>
      <w:bookmarkEnd w:id="381"/>
    </w:p>
    <w:p>
      <w:pPr>
        <w:spacing w:line="400" w:lineRule="exact"/>
        <w:rPr>
          <w:b/>
          <w:bCs/>
          <w:color w:val="auto"/>
          <w:sz w:val="28"/>
          <w:szCs w:val="28"/>
          <w:highlight w:val="none"/>
        </w:rPr>
      </w:pPr>
    </w:p>
    <w:p>
      <w:pPr>
        <w:spacing w:line="400" w:lineRule="exact"/>
        <w:rPr>
          <w:b/>
          <w:bCs/>
          <w:color w:val="auto"/>
          <w:sz w:val="28"/>
          <w:szCs w:val="28"/>
          <w:highlight w:val="none"/>
        </w:rPr>
      </w:pPr>
    </w:p>
    <w:p>
      <w:pPr>
        <w:pStyle w:val="5"/>
        <w:spacing w:line="412" w:lineRule="auto"/>
        <w:ind w:firstLine="138" w:firstLineChars="49"/>
        <w:rPr>
          <w:color w:val="auto"/>
          <w:sz w:val="28"/>
          <w:szCs w:val="28"/>
          <w:highlight w:val="none"/>
        </w:rPr>
      </w:pPr>
      <w:bookmarkStart w:id="382" w:name="_Toc97798599"/>
      <w:bookmarkStart w:id="383" w:name="_Toc530728902"/>
      <w:r>
        <w:rPr>
          <w:rFonts w:hint="eastAsia"/>
          <w:color w:val="auto"/>
          <w:sz w:val="28"/>
          <w:szCs w:val="28"/>
          <w:highlight w:val="none"/>
        </w:rPr>
        <w:t>附</w:t>
      </w:r>
      <w:r>
        <w:rPr>
          <w:color w:val="auto"/>
          <w:sz w:val="28"/>
          <w:szCs w:val="28"/>
          <w:highlight w:val="none"/>
        </w:rPr>
        <w:t>件三：问题的澄清</w:t>
      </w:r>
      <w:r>
        <w:rPr>
          <w:rFonts w:hint="eastAsia"/>
          <w:color w:val="auto"/>
          <w:sz w:val="28"/>
          <w:szCs w:val="28"/>
          <w:highlight w:val="none"/>
        </w:rPr>
        <w:t>（按广州公共资源交易中心版式为准）</w:t>
      </w:r>
      <w:bookmarkEnd w:id="382"/>
      <w:bookmarkEnd w:id="383"/>
    </w:p>
    <w:p>
      <w:pPr>
        <w:spacing w:line="400" w:lineRule="exact"/>
        <w:rPr>
          <w:b/>
          <w:bCs/>
          <w:color w:val="auto"/>
          <w:sz w:val="28"/>
          <w:szCs w:val="28"/>
          <w:highlight w:val="none"/>
        </w:rPr>
      </w:pPr>
    </w:p>
    <w:p>
      <w:pPr>
        <w:spacing w:line="400" w:lineRule="exact"/>
        <w:rPr>
          <w:b/>
          <w:bCs/>
          <w:color w:val="auto"/>
          <w:sz w:val="28"/>
          <w:szCs w:val="28"/>
          <w:highlight w:val="none"/>
        </w:rPr>
      </w:pPr>
    </w:p>
    <w:p>
      <w:pPr>
        <w:pStyle w:val="5"/>
        <w:spacing w:line="412" w:lineRule="auto"/>
        <w:ind w:firstLine="138" w:firstLineChars="49"/>
        <w:rPr>
          <w:color w:val="auto"/>
          <w:sz w:val="28"/>
          <w:szCs w:val="28"/>
          <w:highlight w:val="none"/>
        </w:rPr>
      </w:pPr>
      <w:bookmarkStart w:id="384" w:name="_Toc530728903"/>
      <w:bookmarkStart w:id="385" w:name="_Toc97798600"/>
      <w:r>
        <w:rPr>
          <w:rFonts w:hint="eastAsia"/>
          <w:color w:val="auto"/>
          <w:sz w:val="28"/>
          <w:szCs w:val="28"/>
          <w:highlight w:val="none"/>
        </w:rPr>
        <w:t>附件四：中标通知书（按广州公共资源交易中心中标通知书格式）</w:t>
      </w:r>
      <w:bookmarkEnd w:id="384"/>
      <w:bookmarkEnd w:id="385"/>
    </w:p>
    <w:p>
      <w:pPr>
        <w:spacing w:line="440" w:lineRule="exact"/>
        <w:rPr>
          <w:b/>
          <w:bCs/>
          <w:color w:val="auto"/>
          <w:sz w:val="28"/>
          <w:szCs w:val="28"/>
          <w:highlight w:val="none"/>
        </w:rPr>
      </w:pPr>
    </w:p>
    <w:p>
      <w:pPr>
        <w:spacing w:line="440" w:lineRule="exact"/>
        <w:rPr>
          <w:b/>
          <w:bCs/>
          <w:color w:val="auto"/>
          <w:sz w:val="28"/>
          <w:szCs w:val="28"/>
          <w:highlight w:val="none"/>
        </w:rPr>
      </w:pPr>
    </w:p>
    <w:p>
      <w:pPr>
        <w:rPr>
          <w:color w:val="auto"/>
          <w:highlight w:val="none"/>
        </w:rPr>
      </w:pPr>
    </w:p>
    <w:p>
      <w:pPr>
        <w:spacing w:line="502" w:lineRule="exact"/>
        <w:jc w:val="center"/>
        <w:outlineLvl w:val="1"/>
        <w:rPr>
          <w:b/>
          <w:color w:val="auto"/>
          <w:sz w:val="44"/>
          <w:highlight w:val="none"/>
        </w:rPr>
      </w:pPr>
      <w:r>
        <w:rPr>
          <w:b/>
          <w:color w:val="auto"/>
          <w:sz w:val="32"/>
          <w:highlight w:val="none"/>
        </w:rPr>
        <w:br w:type="page"/>
      </w:r>
      <w:bookmarkStart w:id="386" w:name="_Toc97798601"/>
      <w:r>
        <w:rPr>
          <w:b/>
          <w:color w:val="auto"/>
          <w:sz w:val="44"/>
          <w:highlight w:val="none"/>
        </w:rPr>
        <w:t>第三章评标办法（综合评估法）</w:t>
      </w:r>
      <w:bookmarkEnd w:id="386"/>
    </w:p>
    <w:p>
      <w:pPr>
        <w:spacing w:beforeLines="50" w:afterLines="50" w:line="366" w:lineRule="exact"/>
        <w:ind w:left="357"/>
        <w:jc w:val="center"/>
        <w:rPr>
          <w:b/>
          <w:color w:val="auto"/>
          <w:sz w:val="32"/>
          <w:highlight w:val="none"/>
        </w:rPr>
      </w:pPr>
      <w:r>
        <w:rPr>
          <w:b/>
          <w:color w:val="auto"/>
          <w:sz w:val="32"/>
          <w:highlight w:val="none"/>
        </w:rPr>
        <w:t>评标办法前附表</w:t>
      </w:r>
    </w:p>
    <w:tbl>
      <w:tblPr>
        <w:tblStyle w:val="42"/>
        <w:tblW w:w="935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88"/>
        <w:gridCol w:w="1227"/>
        <w:gridCol w:w="1945"/>
        <w:gridCol w:w="5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7" w:type="dxa"/>
            <w:gridSpan w:val="3"/>
            <w:tcBorders>
              <w:top w:val="single" w:color="auto" w:sz="4" w:space="0"/>
              <w:bottom w:val="single" w:color="auto" w:sz="4" w:space="0"/>
              <w:right w:val="single" w:color="auto" w:sz="4" w:space="0"/>
            </w:tcBorders>
            <w:vAlign w:val="center"/>
          </w:tcPr>
          <w:p>
            <w:pPr>
              <w:spacing w:line="400" w:lineRule="exact"/>
              <w:jc w:val="center"/>
              <w:rPr>
                <w:b/>
                <w:color w:val="auto"/>
                <w:highlight w:val="none"/>
              </w:rPr>
            </w:pPr>
            <w:r>
              <w:rPr>
                <w:rFonts w:hint="eastAsia"/>
                <w:b/>
                <w:color w:val="auto"/>
                <w:highlight w:val="none"/>
              </w:rPr>
              <w:t>条款号</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highlight w:val="none"/>
              </w:rPr>
            </w:pPr>
            <w:r>
              <w:rPr>
                <w:rFonts w:hint="eastAsia"/>
                <w:b/>
                <w:color w:val="auto"/>
                <w:highlight w:val="none"/>
              </w:rPr>
              <w:t>评审因素</w:t>
            </w:r>
          </w:p>
        </w:tc>
        <w:tc>
          <w:tcPr>
            <w:tcW w:w="5284" w:type="dxa"/>
            <w:tcBorders>
              <w:top w:val="single" w:color="auto" w:sz="4" w:space="0"/>
              <w:left w:val="single" w:color="auto" w:sz="4" w:space="0"/>
              <w:bottom w:val="single" w:color="auto" w:sz="4" w:space="0"/>
            </w:tcBorders>
            <w:vAlign w:val="center"/>
          </w:tcPr>
          <w:p>
            <w:pPr>
              <w:spacing w:line="400" w:lineRule="exact"/>
              <w:jc w:val="center"/>
              <w:rPr>
                <w:b/>
                <w:color w:val="auto"/>
                <w:highlight w:val="none"/>
              </w:rPr>
            </w:pPr>
            <w:r>
              <w:rPr>
                <w:rFonts w:hint="eastAsia"/>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12" w:type="dxa"/>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1</w:t>
            </w:r>
          </w:p>
        </w:tc>
        <w:tc>
          <w:tcPr>
            <w:tcW w:w="131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评标方法</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中标候选人排序方法</w:t>
            </w:r>
          </w:p>
        </w:tc>
        <w:tc>
          <w:tcPr>
            <w:tcW w:w="5284" w:type="dxa"/>
            <w:tcBorders>
              <w:top w:val="single" w:color="auto" w:sz="4" w:space="0"/>
              <w:left w:val="single" w:color="auto" w:sz="4" w:space="0"/>
              <w:bottom w:val="single" w:color="auto" w:sz="4" w:space="0"/>
            </w:tcBorders>
            <w:vAlign w:val="center"/>
          </w:tcPr>
          <w:p>
            <w:pPr>
              <w:spacing w:line="400" w:lineRule="exact"/>
              <w:rPr>
                <w:rFonts w:cs="宋体"/>
                <w:color w:val="auto"/>
                <w:highlight w:val="none"/>
                <w:u w:val="single"/>
              </w:rPr>
            </w:pPr>
            <w:r>
              <w:rPr>
                <w:rFonts w:hint="eastAsia" w:cs="宋体"/>
                <w:color w:val="auto"/>
                <w:highlight w:val="none"/>
                <w:u w:val="single"/>
              </w:rPr>
              <w:t>1.本次评标采用综合评估法。</w:t>
            </w:r>
          </w:p>
          <w:p>
            <w:pPr>
              <w:spacing w:line="400" w:lineRule="exact"/>
              <w:rPr>
                <w:rFonts w:cs="宋体"/>
                <w:color w:val="auto"/>
                <w:highlight w:val="none"/>
                <w:u w:val="single"/>
              </w:rPr>
            </w:pPr>
            <w:r>
              <w:rPr>
                <w:rFonts w:hint="eastAsia" w:cs="宋体"/>
                <w:color w:val="auto"/>
                <w:highlight w:val="none"/>
                <w:u w:val="single"/>
              </w:rPr>
              <w:t>2.评标委员会对满足招标文件实质性要求的投标文件，按照招标文件规定的评分标准进行打分，并按照各投标人总得分从高到低排列先后次序，推荐得分最高的第一名投标人为第一中标候选人，推荐得分第二名的投标人为第二中标候选人，如此类推，推荐三名中标候选人，并编写评审报告。若两家或以上的投标人总得分相同时，按以下顺序确定中标候选人：①经济部分得分高的排前；②若经济部分得分相同，则方案部分得分高的排前；③若经济部分得分和方案部分得分均相同，则由评委采用记名投票方式，确定相等得分的中标候选人的排序。</w:t>
            </w:r>
          </w:p>
          <w:p>
            <w:pPr>
              <w:spacing w:line="400" w:lineRule="exact"/>
              <w:rPr>
                <w:color w:val="auto"/>
                <w:highlight w:val="none"/>
                <w:u w:val="single"/>
              </w:rPr>
            </w:pPr>
            <w:r>
              <w:rPr>
                <w:rFonts w:hint="eastAsia" w:cs="宋体"/>
                <w:color w:val="auto"/>
                <w:highlight w:val="none"/>
                <w:u w:val="single"/>
              </w:rPr>
              <w:t>3. 若本项目递交投标文件的投标人数量、或通过初步评审的合格投标人家数不足3家的，则本次招标失败，招标人将视情况重新组织招标。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restart"/>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2.1.1</w:t>
            </w:r>
          </w:p>
        </w:tc>
        <w:tc>
          <w:tcPr>
            <w:tcW w:w="1315" w:type="dxa"/>
            <w:gridSpan w:val="2"/>
            <w:vMerge w:val="restart"/>
            <w:tcBorders>
              <w:top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形式评审标准</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投标人名称</w:t>
            </w:r>
          </w:p>
        </w:tc>
        <w:tc>
          <w:tcPr>
            <w:tcW w:w="528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rFonts w:hint="eastAsia"/>
                <w:color w:val="auto"/>
                <w:highlight w:val="none"/>
              </w:rPr>
              <w:t>与营业执照</w:t>
            </w:r>
            <w:r>
              <w:rPr>
                <w:rFonts w:hint="eastAsia" w:ascii="宋体" w:hAnsi="宋体" w:cs="宋体"/>
                <w:color w:val="auto"/>
                <w:szCs w:val="21"/>
                <w:highlight w:val="none"/>
              </w:rPr>
              <w:t>（或事业单位法人证书）</w:t>
            </w:r>
            <w:r>
              <w:rPr>
                <w:rFonts w:hint="eastAsia"/>
                <w:color w:val="auto"/>
                <w:highlight w:val="none"/>
              </w:rPr>
              <w:t>、资质证书一致；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top w:val="nil"/>
              <w:bottom w:val="single" w:color="auto" w:sz="4" w:space="0"/>
              <w:right w:val="single" w:color="auto" w:sz="4" w:space="0"/>
            </w:tcBorders>
            <w:vAlign w:val="center"/>
          </w:tcPr>
          <w:p>
            <w:pPr>
              <w:spacing w:line="400" w:lineRule="exact"/>
              <w:rPr>
                <w:color w:val="auto"/>
                <w:highlight w:val="none"/>
              </w:rPr>
            </w:pPr>
          </w:p>
        </w:tc>
        <w:tc>
          <w:tcPr>
            <w:tcW w:w="1315" w:type="dxa"/>
            <w:gridSpan w:val="2"/>
            <w:vMerge w:val="continue"/>
            <w:tcBorders>
              <w:right w:val="single" w:color="auto" w:sz="4" w:space="0"/>
            </w:tcBorders>
            <w:vAlign w:val="center"/>
          </w:tcPr>
          <w:p>
            <w:pPr>
              <w:spacing w:line="400" w:lineRule="exact"/>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投标函及投标函附录签字盖章</w:t>
            </w:r>
          </w:p>
        </w:tc>
        <w:tc>
          <w:tcPr>
            <w:tcW w:w="528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rFonts w:hint="eastAsia"/>
                <w:color w:val="auto"/>
                <w:highlight w:val="none"/>
              </w:rPr>
              <w:t>由法定代表人或被授权人签字（或盖章）并加盖单位章。由法定代表人签字（或盖章）的，应附法定代表人身份证明；由被授权人签字（或盖章）的，应附法定代表人身份证明及授权委托书。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812" w:type="dxa"/>
            <w:vMerge w:val="continue"/>
            <w:tcBorders>
              <w:top w:val="nil"/>
              <w:bottom w:val="single" w:color="auto" w:sz="4" w:space="0"/>
              <w:right w:val="single" w:color="auto" w:sz="4" w:space="0"/>
            </w:tcBorders>
            <w:vAlign w:val="center"/>
          </w:tcPr>
          <w:p>
            <w:pPr>
              <w:spacing w:line="400" w:lineRule="exact"/>
              <w:rPr>
                <w:color w:val="auto"/>
                <w:highlight w:val="none"/>
              </w:rPr>
            </w:pPr>
          </w:p>
        </w:tc>
        <w:tc>
          <w:tcPr>
            <w:tcW w:w="1315" w:type="dxa"/>
            <w:gridSpan w:val="2"/>
            <w:vMerge w:val="continue"/>
            <w:tcBorders>
              <w:right w:val="single" w:color="auto" w:sz="4" w:space="0"/>
            </w:tcBorders>
            <w:vAlign w:val="center"/>
          </w:tcPr>
          <w:p>
            <w:pPr>
              <w:spacing w:line="400" w:lineRule="exact"/>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投标文件格式</w:t>
            </w:r>
          </w:p>
        </w:tc>
        <w:tc>
          <w:tcPr>
            <w:tcW w:w="5284" w:type="dxa"/>
            <w:tcBorders>
              <w:top w:val="single" w:color="auto" w:sz="4" w:space="0"/>
              <w:left w:val="single" w:color="auto" w:sz="4" w:space="0"/>
              <w:bottom w:val="single" w:color="auto" w:sz="4" w:space="0"/>
            </w:tcBorders>
            <w:vAlign w:val="center"/>
          </w:tcPr>
          <w:p>
            <w:pPr>
              <w:rPr>
                <w:rFonts w:cs="楷体"/>
                <w:color w:val="auto"/>
                <w:kern w:val="0"/>
                <w:szCs w:val="21"/>
                <w:highlight w:val="none"/>
                <w:u w:val="single"/>
              </w:rPr>
            </w:pPr>
            <w:r>
              <w:rPr>
                <w:rFonts w:hint="eastAsia" w:cs="楷体"/>
                <w:b/>
                <w:color w:val="auto"/>
                <w:kern w:val="0"/>
                <w:szCs w:val="21"/>
                <w:highlight w:val="none"/>
                <w:u w:val="single"/>
              </w:rPr>
              <w:t>投标人声明、投标函及投标函附录</w:t>
            </w:r>
            <w:r>
              <w:rPr>
                <w:rFonts w:hint="eastAsia" w:cs="楷体"/>
                <w:color w:val="auto"/>
                <w:kern w:val="0"/>
                <w:szCs w:val="21"/>
                <w:highlight w:val="none"/>
                <w:u w:val="single"/>
              </w:rPr>
              <w:t>符合第七章“投标文件格式”的规定；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top w:val="nil"/>
              <w:bottom w:val="single" w:color="auto" w:sz="4" w:space="0"/>
              <w:right w:val="single" w:color="auto" w:sz="4" w:space="0"/>
            </w:tcBorders>
            <w:vAlign w:val="center"/>
          </w:tcPr>
          <w:p>
            <w:pPr>
              <w:spacing w:line="400" w:lineRule="exact"/>
              <w:rPr>
                <w:color w:val="auto"/>
                <w:highlight w:val="none"/>
              </w:rPr>
            </w:pPr>
          </w:p>
        </w:tc>
        <w:tc>
          <w:tcPr>
            <w:tcW w:w="1315" w:type="dxa"/>
            <w:gridSpan w:val="2"/>
            <w:vMerge w:val="continue"/>
            <w:tcBorders>
              <w:right w:val="single" w:color="auto" w:sz="4" w:space="0"/>
            </w:tcBorders>
            <w:vAlign w:val="center"/>
          </w:tcPr>
          <w:p>
            <w:pPr>
              <w:spacing w:line="400" w:lineRule="exact"/>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atLeast"/>
              <w:jc w:val="center"/>
              <w:rPr>
                <w:rFonts w:cs="楷体"/>
                <w:color w:val="auto"/>
                <w:kern w:val="0"/>
                <w:szCs w:val="21"/>
                <w:highlight w:val="none"/>
              </w:rPr>
            </w:pPr>
            <w:r>
              <w:rPr>
                <w:rFonts w:hint="eastAsia" w:cs="楷体"/>
                <w:color w:val="auto"/>
                <w:spacing w:val="-7"/>
                <w:highlight w:val="none"/>
              </w:rPr>
              <w:t>备选投标方案</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jc w:val="left"/>
              <w:rPr>
                <w:rFonts w:cs="楷体"/>
                <w:color w:val="auto"/>
                <w:kern w:val="0"/>
                <w:szCs w:val="21"/>
                <w:highlight w:val="none"/>
              </w:rPr>
            </w:pPr>
            <w:r>
              <w:rPr>
                <w:rFonts w:hint="eastAsia" w:cs="楷体"/>
                <w:color w:val="auto"/>
                <w:kern w:val="0"/>
                <w:szCs w:val="21"/>
                <w:highlight w:val="none"/>
                <w:u w:val="single"/>
              </w:rPr>
              <w:t>不接受备选投标方案</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top w:val="nil"/>
              <w:bottom w:val="single" w:color="auto" w:sz="4" w:space="0"/>
              <w:right w:val="single" w:color="auto" w:sz="4" w:space="0"/>
            </w:tcBorders>
            <w:vAlign w:val="center"/>
          </w:tcPr>
          <w:p>
            <w:pPr>
              <w:spacing w:line="400" w:lineRule="exact"/>
              <w:rPr>
                <w:color w:val="auto"/>
                <w:highlight w:val="none"/>
              </w:rPr>
            </w:pPr>
          </w:p>
        </w:tc>
        <w:tc>
          <w:tcPr>
            <w:tcW w:w="1315" w:type="dxa"/>
            <w:gridSpan w:val="2"/>
            <w:vMerge w:val="continue"/>
            <w:tcBorders>
              <w:right w:val="single" w:color="auto" w:sz="4" w:space="0"/>
            </w:tcBorders>
            <w:vAlign w:val="center"/>
          </w:tcPr>
          <w:p>
            <w:pPr>
              <w:spacing w:line="400" w:lineRule="exact"/>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atLeast"/>
              <w:jc w:val="center"/>
              <w:rPr>
                <w:rFonts w:cs="楷体"/>
                <w:color w:val="auto"/>
                <w:kern w:val="0"/>
                <w:szCs w:val="21"/>
                <w:highlight w:val="none"/>
              </w:rPr>
            </w:pPr>
            <w:r>
              <w:rPr>
                <w:rFonts w:hint="eastAsia" w:cs="楷体"/>
                <w:color w:val="auto"/>
                <w:kern w:val="0"/>
                <w:szCs w:val="21"/>
                <w:highlight w:val="none"/>
              </w:rPr>
              <w:t>联合体投标人</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400" w:lineRule="atLeast"/>
              <w:jc w:val="left"/>
              <w:rPr>
                <w:rFonts w:cs="楷体"/>
                <w:color w:val="auto"/>
                <w:kern w:val="0"/>
                <w:szCs w:val="21"/>
                <w:highlight w:val="none"/>
              </w:rPr>
            </w:pPr>
            <w:r>
              <w:rPr>
                <w:rFonts w:hint="eastAsia" w:ascii="宋体" w:hAnsi="宋体" w:cs="宋体"/>
                <w:color w:val="auto"/>
                <w:highlight w:val="none"/>
              </w:rPr>
              <w:t>若联合体投标，按招标公告要求提交了联合体协议及联合体成员的授权函；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 w:hRule="atLeast"/>
        </w:trPr>
        <w:tc>
          <w:tcPr>
            <w:tcW w:w="812" w:type="dxa"/>
            <w:vMerge w:val="continue"/>
            <w:tcBorders>
              <w:top w:val="nil"/>
              <w:bottom w:val="single" w:color="auto" w:sz="4" w:space="0"/>
              <w:right w:val="single" w:color="auto" w:sz="4" w:space="0"/>
            </w:tcBorders>
            <w:vAlign w:val="center"/>
          </w:tcPr>
          <w:p>
            <w:pPr>
              <w:spacing w:line="400" w:lineRule="exact"/>
              <w:rPr>
                <w:color w:val="auto"/>
                <w:highlight w:val="none"/>
              </w:rPr>
            </w:pPr>
          </w:p>
        </w:tc>
        <w:tc>
          <w:tcPr>
            <w:tcW w:w="1315" w:type="dxa"/>
            <w:gridSpan w:val="2"/>
            <w:vMerge w:val="continue"/>
            <w:tcBorders>
              <w:right w:val="single" w:color="auto" w:sz="4" w:space="0"/>
            </w:tcBorders>
            <w:vAlign w:val="center"/>
          </w:tcPr>
          <w:p>
            <w:pPr>
              <w:spacing w:line="400" w:lineRule="exact"/>
              <w:rPr>
                <w:color w:val="auto"/>
                <w:highlight w:val="none"/>
              </w:rPr>
            </w:pPr>
          </w:p>
        </w:tc>
        <w:tc>
          <w:tcPr>
            <w:tcW w:w="1945"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投标人机器码</w:t>
            </w:r>
          </w:p>
        </w:tc>
        <w:tc>
          <w:tcPr>
            <w:tcW w:w="5284" w:type="dxa"/>
            <w:tcBorders>
              <w:top w:val="single" w:color="auto" w:sz="4" w:space="0"/>
              <w:left w:val="single" w:color="auto" w:sz="4" w:space="0"/>
            </w:tcBorders>
            <w:vAlign w:val="center"/>
          </w:tcPr>
          <w:p>
            <w:pPr>
              <w:spacing w:line="400" w:lineRule="exact"/>
              <w:rPr>
                <w:color w:val="auto"/>
                <w:highlight w:val="none"/>
              </w:rPr>
            </w:pPr>
            <w:r>
              <w:rPr>
                <w:rFonts w:hint="eastAsia"/>
                <w:color w:val="auto"/>
                <w:highlight w:val="none"/>
              </w:rPr>
              <w:t>不同投标人加密打包投标文件电脑机器特征码一致的(以广州公共资源交易中心评标系统的检索信息为准)将被否决。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restart"/>
            <w:tcBorders>
              <w:top w:val="single" w:color="auto" w:sz="4" w:space="0"/>
              <w:right w:val="single" w:color="auto" w:sz="4" w:space="0"/>
            </w:tcBorders>
            <w:vAlign w:val="center"/>
          </w:tcPr>
          <w:p>
            <w:pPr>
              <w:spacing w:line="400" w:lineRule="exact"/>
              <w:jc w:val="center"/>
              <w:rPr>
                <w:color w:val="auto"/>
                <w:highlight w:val="none"/>
              </w:rPr>
            </w:pPr>
            <w:r>
              <w:rPr>
                <w:color w:val="auto"/>
                <w:highlight w:val="none"/>
              </w:rPr>
              <w:t>2.1.2</w:t>
            </w:r>
          </w:p>
        </w:tc>
        <w:tc>
          <w:tcPr>
            <w:tcW w:w="1315" w:type="dxa"/>
            <w:gridSpan w:val="2"/>
            <w:vMerge w:val="restart"/>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rFonts w:hint="eastAsia" w:cs="楷体"/>
                <w:color w:val="auto"/>
                <w:kern w:val="0"/>
                <w:szCs w:val="21"/>
                <w:highlight w:val="none"/>
              </w:rPr>
              <w:t>资格评审标准</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cs="楷体"/>
                <w:color w:val="auto"/>
                <w:kern w:val="0"/>
                <w:szCs w:val="21"/>
                <w:highlight w:val="none"/>
              </w:rPr>
            </w:pPr>
            <w:r>
              <w:rPr>
                <w:rFonts w:hint="eastAsia" w:cs="楷体"/>
                <w:color w:val="auto"/>
                <w:highlight w:val="none"/>
              </w:rPr>
              <w:t>营业执照和组织机构代码证</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ind w:left="-4" w:leftChars="-2" w:right="71" w:rightChars="34"/>
              <w:rPr>
                <w:rFonts w:cs="楷体"/>
                <w:color w:val="auto"/>
                <w:kern w:val="0"/>
                <w:szCs w:val="21"/>
                <w:highlight w:val="none"/>
              </w:rPr>
            </w:pPr>
            <w:r>
              <w:rPr>
                <w:rFonts w:hint="eastAsia" w:cs="楷体"/>
                <w:color w:val="auto"/>
                <w:highlight w:val="none"/>
              </w:rPr>
              <w:t>符合第二章“投标人须知”第3.5.1项规定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cs="楷体"/>
                <w:color w:val="auto"/>
                <w:kern w:val="0"/>
                <w:szCs w:val="21"/>
                <w:highlight w:val="none"/>
              </w:rPr>
            </w:pPr>
            <w:r>
              <w:rPr>
                <w:rFonts w:hint="eastAsia" w:cs="楷体"/>
                <w:color w:val="auto"/>
                <w:highlight w:val="none"/>
              </w:rPr>
              <w:t>资质要求</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rPr>
                <w:rFonts w:cs="楷体"/>
                <w:color w:val="auto"/>
                <w:kern w:val="0"/>
                <w:szCs w:val="21"/>
                <w:highlight w:val="none"/>
              </w:rPr>
            </w:pPr>
            <w:r>
              <w:rPr>
                <w:rFonts w:hint="eastAsia" w:cs="楷体"/>
                <w:color w:val="auto"/>
                <w:highlight w:val="none"/>
              </w:rPr>
              <w:t>符合第二章“投标人须知”第1.4.1项规定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cs="楷体"/>
                <w:color w:val="auto"/>
                <w:kern w:val="0"/>
                <w:szCs w:val="21"/>
                <w:highlight w:val="none"/>
              </w:rPr>
            </w:pPr>
            <w:r>
              <w:rPr>
                <w:rFonts w:hint="eastAsia" w:cs="楷体"/>
                <w:color w:val="auto"/>
                <w:highlight w:val="none"/>
              </w:rPr>
              <w:t>项目负责人</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rPr>
                <w:rFonts w:cs="楷体"/>
                <w:color w:val="auto"/>
                <w:kern w:val="0"/>
                <w:szCs w:val="21"/>
                <w:highlight w:val="none"/>
              </w:rPr>
            </w:pPr>
            <w:r>
              <w:rPr>
                <w:rFonts w:hint="eastAsia" w:cs="楷体"/>
                <w:color w:val="auto"/>
                <w:highlight w:val="none"/>
              </w:rPr>
              <w:t>符合第二章“投标人须知”第1.4.1项规定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812" w:type="dxa"/>
            <w:vMerge w:val="continue"/>
            <w:tcBorders>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CMA计量认证要求</w:t>
            </w:r>
          </w:p>
        </w:tc>
        <w:tc>
          <w:tcPr>
            <w:tcW w:w="5284" w:type="dxa"/>
            <w:tcBorders>
              <w:top w:val="single" w:color="auto" w:sz="4" w:space="0"/>
              <w:left w:val="single" w:color="auto" w:sz="4" w:space="0"/>
              <w:bottom w:val="single" w:color="auto" w:sz="4" w:space="0"/>
            </w:tcBorders>
            <w:vAlign w:val="center"/>
          </w:tcPr>
          <w:p>
            <w:pPr>
              <w:rPr>
                <w:color w:val="auto"/>
                <w:szCs w:val="21"/>
                <w:highlight w:val="none"/>
              </w:rPr>
            </w:pPr>
            <w:r>
              <w:rPr>
                <w:color w:val="auto"/>
                <w:szCs w:val="21"/>
                <w:highlight w:val="none"/>
              </w:rPr>
              <w:t>符合第二章“投标人须知”第1.4.1项规定</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cs="楷体"/>
                <w:color w:val="auto"/>
                <w:kern w:val="0"/>
                <w:szCs w:val="21"/>
                <w:highlight w:val="none"/>
              </w:rPr>
            </w:pPr>
            <w:r>
              <w:rPr>
                <w:rFonts w:hint="eastAsia" w:cs="楷体"/>
                <w:color w:val="auto"/>
                <w:highlight w:val="none"/>
              </w:rPr>
              <w:t>其他要求</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rPr>
                <w:rFonts w:cs="楷体"/>
                <w:color w:val="auto"/>
                <w:kern w:val="0"/>
                <w:szCs w:val="21"/>
                <w:highlight w:val="none"/>
              </w:rPr>
            </w:pPr>
            <w:r>
              <w:rPr>
                <w:rFonts w:hint="eastAsia" w:cs="楷体"/>
                <w:color w:val="auto"/>
                <w:highlight w:val="none"/>
              </w:rPr>
              <w:t>符合第二章“投标人须知”第1.4.1项规定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bottom w:val="single" w:color="auto" w:sz="4" w:space="0"/>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cs="楷体"/>
                <w:color w:val="auto"/>
                <w:kern w:val="0"/>
                <w:szCs w:val="21"/>
                <w:highlight w:val="none"/>
              </w:rPr>
            </w:pPr>
            <w:r>
              <w:rPr>
                <w:rFonts w:hint="eastAsia" w:cs="楷体"/>
                <w:color w:val="auto"/>
                <w:highlight w:val="none"/>
              </w:rPr>
              <w:t>不存在禁止投标的情形</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jc w:val="left"/>
              <w:rPr>
                <w:rFonts w:cs="楷体"/>
                <w:color w:val="auto"/>
                <w:kern w:val="0"/>
                <w:szCs w:val="21"/>
                <w:highlight w:val="none"/>
              </w:rPr>
            </w:pPr>
            <w:r>
              <w:rPr>
                <w:rFonts w:hint="eastAsia" w:cs="楷体"/>
                <w:color w:val="auto"/>
                <w:highlight w:val="none"/>
              </w:rPr>
              <w:t>不存在第二章“投标人须知”第1.4.3项规定的任何一种情形</w:t>
            </w:r>
            <w:r>
              <w:rPr>
                <w:rFonts w:hint="eastAsia"/>
                <w:color w:val="auto"/>
                <w:szCs w:val="21"/>
                <w:highlight w:val="none"/>
              </w:rPr>
              <w:t>（以投标函中的声明为评审依据）</w:t>
            </w:r>
            <w:r>
              <w:rPr>
                <w:rFonts w:hint="eastAsia" w:cs="楷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41" w:hRule="atLeast"/>
        </w:trPr>
        <w:tc>
          <w:tcPr>
            <w:tcW w:w="812" w:type="dxa"/>
            <w:vMerge w:val="restart"/>
            <w:tcBorders>
              <w:top w:val="single" w:color="auto" w:sz="4" w:space="0"/>
              <w:right w:val="single" w:color="auto" w:sz="4" w:space="0"/>
            </w:tcBorders>
            <w:vAlign w:val="center"/>
          </w:tcPr>
          <w:p>
            <w:pPr>
              <w:spacing w:line="400" w:lineRule="exact"/>
              <w:jc w:val="center"/>
              <w:rPr>
                <w:color w:val="auto"/>
                <w:highlight w:val="none"/>
              </w:rPr>
            </w:pPr>
            <w:r>
              <w:rPr>
                <w:color w:val="auto"/>
                <w:highlight w:val="none"/>
              </w:rPr>
              <w:t>2.1.3</w:t>
            </w:r>
          </w:p>
        </w:tc>
        <w:tc>
          <w:tcPr>
            <w:tcW w:w="1315" w:type="dxa"/>
            <w:gridSpan w:val="2"/>
            <w:vMerge w:val="restart"/>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响应性评审标准</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投标文件</w:t>
            </w:r>
          </w:p>
        </w:tc>
        <w:tc>
          <w:tcPr>
            <w:tcW w:w="5284" w:type="dxa"/>
            <w:tcBorders>
              <w:top w:val="single" w:color="auto" w:sz="4" w:space="0"/>
              <w:left w:val="single" w:color="auto" w:sz="4" w:space="0"/>
              <w:bottom w:val="single" w:color="auto" w:sz="4" w:space="0"/>
            </w:tcBorders>
            <w:vAlign w:val="center"/>
          </w:tcPr>
          <w:p>
            <w:pPr>
              <w:rPr>
                <w:color w:val="auto"/>
                <w:highlight w:val="none"/>
              </w:rPr>
            </w:pPr>
            <w:r>
              <w:rPr>
                <w:rFonts w:hint="eastAsia"/>
                <w:color w:val="auto"/>
                <w:highlight w:val="none"/>
              </w:rPr>
              <w:t>投标文件所列投标人名称与投标登记时一致；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投标报价</w:t>
            </w:r>
          </w:p>
        </w:tc>
        <w:tc>
          <w:tcPr>
            <w:tcW w:w="528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3.2</w:t>
            </w:r>
            <w:r>
              <w:rPr>
                <w:rFonts w:hint="eastAsia"/>
                <w:color w:val="auto"/>
                <w:highlight w:val="none"/>
              </w:rPr>
              <w:t>款规定</w:t>
            </w:r>
            <w:r>
              <w:rPr>
                <w:rFonts w:hint="eastAsia"/>
                <w:color w:val="auto"/>
                <w:highlight w:val="none"/>
                <w:u w:val="single"/>
              </w:rPr>
              <w:t>，</w:t>
            </w:r>
            <w:r>
              <w:rPr>
                <w:rFonts w:hint="eastAsia"/>
                <w:color w:val="auto"/>
                <w:szCs w:val="21"/>
                <w:highlight w:val="none"/>
                <w:u w:val="single"/>
              </w:rPr>
              <w:t>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投标内容</w:t>
            </w:r>
          </w:p>
        </w:tc>
        <w:tc>
          <w:tcPr>
            <w:tcW w:w="528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1.3.1</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服务期限</w:t>
            </w:r>
          </w:p>
        </w:tc>
        <w:tc>
          <w:tcPr>
            <w:tcW w:w="528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1.3.2</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812" w:type="dxa"/>
            <w:vMerge w:val="continue"/>
            <w:tcBorders>
              <w:right w:val="single" w:color="auto" w:sz="4" w:space="0"/>
            </w:tcBorders>
            <w:vAlign w:val="center"/>
          </w:tcPr>
          <w:p>
            <w:pPr>
              <w:spacing w:line="400" w:lineRule="exact"/>
              <w:jc w:val="center"/>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质量标准</w:t>
            </w:r>
          </w:p>
        </w:tc>
        <w:tc>
          <w:tcPr>
            <w:tcW w:w="528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1.3.3</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400" w:lineRule="exact"/>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rPr>
                <w:color w:val="auto"/>
                <w:highlight w:val="none"/>
              </w:rPr>
            </w:pPr>
          </w:p>
        </w:tc>
        <w:tc>
          <w:tcPr>
            <w:tcW w:w="1945"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highlight w:val="none"/>
              </w:rPr>
            </w:pPr>
            <w:r>
              <w:rPr>
                <w:rFonts w:hint="eastAsia"/>
                <w:color w:val="auto"/>
                <w:highlight w:val="none"/>
              </w:rPr>
              <w:t>投标有效期</w:t>
            </w:r>
          </w:p>
        </w:tc>
        <w:tc>
          <w:tcPr>
            <w:tcW w:w="5284" w:type="dxa"/>
            <w:tcBorders>
              <w:top w:val="single" w:color="auto" w:sz="4" w:space="0"/>
              <w:left w:val="single" w:color="auto" w:sz="4" w:space="0"/>
              <w:bottom w:val="single" w:color="auto" w:sz="4" w:space="0"/>
            </w:tcBorders>
          </w:tcPr>
          <w:p>
            <w:pPr>
              <w:spacing w:line="400" w:lineRule="exact"/>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3.3.1</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812" w:type="dxa"/>
            <w:vMerge w:val="continue"/>
            <w:tcBorders>
              <w:right w:val="single" w:color="auto" w:sz="4" w:space="0"/>
            </w:tcBorders>
            <w:vAlign w:val="center"/>
          </w:tcPr>
          <w:p>
            <w:pPr>
              <w:spacing w:line="400" w:lineRule="exact"/>
              <w:rPr>
                <w:color w:val="auto"/>
                <w:highlight w:val="none"/>
              </w:rPr>
            </w:pPr>
          </w:p>
        </w:tc>
        <w:tc>
          <w:tcPr>
            <w:tcW w:w="1315" w:type="dxa"/>
            <w:gridSpan w:val="2"/>
            <w:vMerge w:val="continue"/>
            <w:tcBorders>
              <w:left w:val="single" w:color="auto" w:sz="4" w:space="0"/>
              <w:right w:val="single" w:color="auto" w:sz="4" w:space="0"/>
            </w:tcBorders>
            <w:vAlign w:val="center"/>
          </w:tcPr>
          <w:p>
            <w:pPr>
              <w:spacing w:line="400" w:lineRule="exact"/>
              <w:rPr>
                <w:color w:val="auto"/>
                <w:highlight w:val="none"/>
              </w:rPr>
            </w:pPr>
          </w:p>
        </w:tc>
        <w:tc>
          <w:tcPr>
            <w:tcW w:w="1945" w:type="dxa"/>
            <w:tcBorders>
              <w:top w:val="single" w:color="auto" w:sz="4" w:space="0"/>
              <w:left w:val="single" w:color="auto" w:sz="4" w:space="0"/>
              <w:right w:val="single" w:color="auto" w:sz="4" w:space="0"/>
            </w:tcBorders>
          </w:tcPr>
          <w:p>
            <w:pPr>
              <w:spacing w:line="400" w:lineRule="exact"/>
              <w:jc w:val="center"/>
              <w:rPr>
                <w:color w:val="auto"/>
                <w:highlight w:val="none"/>
              </w:rPr>
            </w:pPr>
            <w:r>
              <w:rPr>
                <w:rFonts w:hint="eastAsia"/>
                <w:color w:val="auto"/>
                <w:highlight w:val="none"/>
              </w:rPr>
              <w:t>投标保证金</w:t>
            </w:r>
          </w:p>
        </w:tc>
        <w:tc>
          <w:tcPr>
            <w:tcW w:w="5284" w:type="dxa"/>
            <w:tcBorders>
              <w:top w:val="single" w:color="auto" w:sz="4" w:space="0"/>
              <w:left w:val="single" w:color="auto" w:sz="4" w:space="0"/>
            </w:tcBorders>
          </w:tcPr>
          <w:p>
            <w:pPr>
              <w:spacing w:line="400" w:lineRule="exact"/>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3.4.1</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812" w:type="dxa"/>
            <w:vMerge w:val="continue"/>
            <w:tcBorders>
              <w:bottom w:val="single" w:color="auto" w:sz="4" w:space="0"/>
              <w:right w:val="single" w:color="auto" w:sz="4" w:space="0"/>
            </w:tcBorders>
            <w:vAlign w:val="center"/>
          </w:tcPr>
          <w:p>
            <w:pPr>
              <w:spacing w:line="400" w:lineRule="exact"/>
              <w:rPr>
                <w:color w:val="auto"/>
                <w:highlight w:val="none"/>
              </w:rPr>
            </w:pPr>
          </w:p>
        </w:tc>
        <w:tc>
          <w:tcPr>
            <w:tcW w:w="1315" w:type="dxa"/>
            <w:gridSpan w:val="2"/>
            <w:vMerge w:val="continue"/>
            <w:tcBorders>
              <w:left w:val="single" w:color="auto" w:sz="4" w:space="0"/>
              <w:bottom w:val="single" w:color="auto" w:sz="4" w:space="0"/>
              <w:right w:val="single" w:color="auto" w:sz="4" w:space="0"/>
            </w:tcBorders>
            <w:vAlign w:val="center"/>
          </w:tcPr>
          <w:p>
            <w:pPr>
              <w:spacing w:line="400" w:lineRule="exact"/>
              <w:rPr>
                <w:color w:val="auto"/>
                <w:highlight w:val="none"/>
              </w:rPr>
            </w:pPr>
          </w:p>
        </w:tc>
        <w:tc>
          <w:tcPr>
            <w:tcW w:w="1945" w:type="dxa"/>
            <w:tcBorders>
              <w:top w:val="single" w:color="auto" w:sz="4" w:space="0"/>
              <w:left w:val="single" w:color="auto" w:sz="4" w:space="0"/>
              <w:right w:val="single" w:color="auto" w:sz="4" w:space="0"/>
            </w:tcBorders>
          </w:tcPr>
          <w:p>
            <w:pPr>
              <w:widowControl/>
              <w:spacing w:before="100" w:beforeAutospacing="1" w:after="100" w:afterAutospacing="1" w:line="400" w:lineRule="atLeast"/>
              <w:jc w:val="center"/>
              <w:rPr>
                <w:color w:val="auto"/>
                <w:highlight w:val="none"/>
              </w:rPr>
            </w:pPr>
            <w:r>
              <w:rPr>
                <w:rFonts w:hint="eastAsia" w:cs="楷体"/>
                <w:color w:val="auto"/>
                <w:kern w:val="0"/>
                <w:szCs w:val="21"/>
                <w:highlight w:val="none"/>
              </w:rPr>
              <w:t>串通投标情形</w:t>
            </w:r>
          </w:p>
        </w:tc>
        <w:tc>
          <w:tcPr>
            <w:tcW w:w="5284" w:type="dxa"/>
            <w:tcBorders>
              <w:top w:val="single" w:color="auto" w:sz="4" w:space="0"/>
              <w:left w:val="single" w:color="auto" w:sz="4" w:space="0"/>
            </w:tcBorders>
          </w:tcPr>
          <w:p>
            <w:pPr>
              <w:widowControl/>
              <w:spacing w:before="100" w:beforeAutospacing="1" w:after="100" w:afterAutospacing="1" w:line="400" w:lineRule="atLeast"/>
              <w:jc w:val="left"/>
              <w:rPr>
                <w:color w:val="auto"/>
                <w:highlight w:val="none"/>
              </w:rPr>
            </w:pPr>
            <w:r>
              <w:rPr>
                <w:rFonts w:hint="eastAsia" w:cs="楷体"/>
                <w:color w:val="auto"/>
                <w:kern w:val="0"/>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7" w:type="dxa"/>
            <w:gridSpan w:val="3"/>
            <w:tcBorders>
              <w:top w:val="single" w:color="auto" w:sz="4" w:space="0"/>
              <w:bottom w:val="single" w:color="auto" w:sz="4" w:space="0"/>
              <w:right w:val="single" w:color="auto" w:sz="4" w:space="0"/>
            </w:tcBorders>
            <w:vAlign w:val="center"/>
          </w:tcPr>
          <w:p>
            <w:pPr>
              <w:spacing w:line="400" w:lineRule="exact"/>
              <w:jc w:val="center"/>
              <w:rPr>
                <w:b/>
                <w:color w:val="auto"/>
                <w:highlight w:val="none"/>
              </w:rPr>
            </w:pPr>
            <w:r>
              <w:rPr>
                <w:rFonts w:hint="eastAsia"/>
                <w:b/>
                <w:color w:val="auto"/>
                <w:highlight w:val="none"/>
              </w:rPr>
              <w:t>条款号</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highlight w:val="none"/>
              </w:rPr>
            </w:pPr>
            <w:r>
              <w:rPr>
                <w:rFonts w:hint="eastAsia"/>
                <w:b/>
                <w:color w:val="auto"/>
                <w:highlight w:val="none"/>
              </w:rPr>
              <w:t>条款内容</w:t>
            </w:r>
          </w:p>
        </w:tc>
        <w:tc>
          <w:tcPr>
            <w:tcW w:w="5284" w:type="dxa"/>
            <w:tcBorders>
              <w:top w:val="single" w:color="auto" w:sz="4" w:space="0"/>
              <w:left w:val="single" w:color="auto" w:sz="4" w:space="0"/>
              <w:bottom w:val="single" w:color="auto" w:sz="4" w:space="0"/>
            </w:tcBorders>
            <w:vAlign w:val="center"/>
          </w:tcPr>
          <w:p>
            <w:pPr>
              <w:spacing w:line="400" w:lineRule="exact"/>
              <w:jc w:val="center"/>
              <w:rPr>
                <w:b/>
                <w:color w:val="auto"/>
                <w:highlight w:val="none"/>
              </w:rPr>
            </w:pPr>
            <w:r>
              <w:rPr>
                <w:rFonts w:hint="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7" w:type="dxa"/>
            <w:gridSpan w:val="3"/>
            <w:tcBorders>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2.2.1</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分值构成</w:t>
            </w:r>
          </w:p>
          <w:p>
            <w:pPr>
              <w:spacing w:line="400" w:lineRule="exact"/>
              <w:jc w:val="center"/>
              <w:rPr>
                <w:color w:val="auto"/>
                <w:highlight w:val="none"/>
              </w:rPr>
            </w:pPr>
            <w:r>
              <w:rPr>
                <w:color w:val="auto"/>
                <w:highlight w:val="none"/>
              </w:rPr>
              <w:t>(</w:t>
            </w:r>
            <w:r>
              <w:rPr>
                <w:rFonts w:hint="eastAsia"/>
                <w:color w:val="auto"/>
                <w:highlight w:val="none"/>
              </w:rPr>
              <w:t>总分</w:t>
            </w:r>
            <w:r>
              <w:rPr>
                <w:color w:val="auto"/>
                <w:highlight w:val="none"/>
              </w:rPr>
              <w:t>100</w:t>
            </w:r>
            <w:r>
              <w:rPr>
                <w:rFonts w:hint="eastAsia"/>
                <w:color w:val="auto"/>
                <w:highlight w:val="none"/>
              </w:rPr>
              <w:t>分</w:t>
            </w:r>
            <w:r>
              <w:rPr>
                <w:color w:val="auto"/>
                <w:highlight w:val="none"/>
              </w:rPr>
              <w:t>)</w:t>
            </w:r>
          </w:p>
        </w:tc>
        <w:tc>
          <w:tcPr>
            <w:tcW w:w="5284" w:type="dxa"/>
            <w:tcBorders>
              <w:top w:val="single" w:color="auto" w:sz="4" w:space="0"/>
              <w:left w:val="single" w:color="auto" w:sz="4" w:space="0"/>
              <w:bottom w:val="single" w:color="auto" w:sz="4" w:space="0"/>
            </w:tcBorders>
            <w:vAlign w:val="center"/>
          </w:tcPr>
          <w:p>
            <w:pPr>
              <w:spacing w:line="400" w:lineRule="exact"/>
              <w:jc w:val="left"/>
              <w:rPr>
                <w:rFonts w:ascii="宋体" w:hAnsi="宋体" w:cs="宋体"/>
                <w:color w:val="auto"/>
                <w:highlight w:val="none"/>
              </w:rPr>
            </w:pPr>
            <w:r>
              <w:rPr>
                <w:rFonts w:hint="eastAsia" w:ascii="宋体" w:hAnsi="宋体"/>
                <w:b/>
                <w:color w:val="auto"/>
                <w:szCs w:val="21"/>
                <w:highlight w:val="none"/>
                <w:lang w:bidi="zh-CN"/>
              </w:rPr>
              <w:t>A</w:t>
            </w:r>
            <w:r>
              <w:rPr>
                <w:rFonts w:hint="eastAsia" w:ascii="宋体" w:hAnsi="宋体" w:cs="宋体"/>
                <w:color w:val="auto"/>
                <w:highlight w:val="none"/>
              </w:rPr>
              <w:t>资信业绩部分：</w:t>
            </w:r>
            <w:r>
              <w:rPr>
                <w:rFonts w:hint="eastAsia" w:ascii="宋体" w:hAnsi="宋体" w:cs="宋体"/>
                <w:color w:val="auto"/>
                <w:highlight w:val="none"/>
                <w:u w:val="single"/>
              </w:rPr>
              <w:t>60</w:t>
            </w:r>
            <w:r>
              <w:rPr>
                <w:rFonts w:hint="eastAsia" w:ascii="宋体" w:hAnsi="宋体" w:cs="宋体"/>
                <w:color w:val="auto"/>
                <w:highlight w:val="none"/>
              </w:rPr>
              <w:t>分；</w:t>
            </w:r>
          </w:p>
          <w:p>
            <w:pPr>
              <w:spacing w:line="400" w:lineRule="exact"/>
              <w:jc w:val="left"/>
              <w:rPr>
                <w:rFonts w:ascii="宋体" w:hAnsi="宋体" w:cs="宋体"/>
                <w:color w:val="auto"/>
                <w:highlight w:val="none"/>
              </w:rPr>
            </w:pPr>
            <w:r>
              <w:rPr>
                <w:rFonts w:ascii="宋体" w:hAnsi="宋体" w:cs="宋体"/>
                <w:b/>
                <w:color w:val="auto"/>
                <w:highlight w:val="none"/>
              </w:rPr>
              <w:t>B</w:t>
            </w:r>
            <w:r>
              <w:rPr>
                <w:rFonts w:hint="eastAsia" w:ascii="宋体" w:hAnsi="宋体" w:cs="宋体"/>
                <w:color w:val="auto"/>
                <w:highlight w:val="none"/>
              </w:rPr>
              <w:t>检测方案部分：</w:t>
            </w:r>
            <w:r>
              <w:rPr>
                <w:rFonts w:hint="eastAsia" w:ascii="宋体" w:hAnsi="宋体" w:cs="宋体"/>
                <w:color w:val="auto"/>
                <w:highlight w:val="none"/>
                <w:u w:val="single"/>
              </w:rPr>
              <w:t>1</w:t>
            </w:r>
            <w:r>
              <w:rPr>
                <w:rFonts w:ascii="宋体" w:hAnsi="宋体" w:cs="宋体"/>
                <w:color w:val="auto"/>
                <w:highlight w:val="none"/>
                <w:u w:val="single"/>
              </w:rPr>
              <w:t>5</w:t>
            </w:r>
            <w:r>
              <w:rPr>
                <w:rFonts w:hint="eastAsia" w:ascii="宋体" w:hAnsi="宋体" w:cs="宋体"/>
                <w:color w:val="auto"/>
                <w:highlight w:val="none"/>
              </w:rPr>
              <w:t>分；</w:t>
            </w:r>
          </w:p>
          <w:p>
            <w:pPr>
              <w:spacing w:line="400" w:lineRule="exact"/>
              <w:jc w:val="left"/>
              <w:rPr>
                <w:rFonts w:ascii="宋体" w:hAnsi="宋体" w:cs="宋体"/>
                <w:color w:val="auto"/>
                <w:highlight w:val="none"/>
              </w:rPr>
            </w:pPr>
            <w:r>
              <w:rPr>
                <w:rFonts w:hint="eastAsia" w:ascii="宋体" w:hAnsi="宋体" w:cs="宋体"/>
                <w:b/>
                <w:color w:val="auto"/>
                <w:highlight w:val="none"/>
              </w:rPr>
              <w:t>C</w:t>
            </w:r>
            <w:r>
              <w:rPr>
                <w:rFonts w:hint="eastAsia" w:ascii="宋体" w:hAnsi="宋体" w:cs="宋体"/>
                <w:color w:val="auto"/>
                <w:highlight w:val="none"/>
              </w:rPr>
              <w:t>投标报价：</w:t>
            </w:r>
            <w:r>
              <w:rPr>
                <w:rFonts w:hint="eastAsia" w:ascii="宋体" w:hAnsi="宋体" w:cs="宋体"/>
                <w:color w:val="auto"/>
                <w:highlight w:val="none"/>
                <w:u w:val="single"/>
              </w:rPr>
              <w:t>15</w:t>
            </w:r>
            <w:r>
              <w:rPr>
                <w:rFonts w:hint="eastAsia" w:ascii="宋体" w:hAnsi="宋体" w:cs="宋体"/>
                <w:color w:val="auto"/>
                <w:highlight w:val="none"/>
              </w:rPr>
              <w:t>分；</w:t>
            </w:r>
          </w:p>
          <w:p>
            <w:pPr>
              <w:spacing w:line="400" w:lineRule="exact"/>
              <w:rPr>
                <w:color w:val="auto"/>
                <w:highlight w:val="none"/>
                <w:lang w:bidi="zh-CN"/>
              </w:rPr>
            </w:pPr>
            <w:r>
              <w:rPr>
                <w:rFonts w:ascii="宋体" w:hAnsi="宋体" w:cs="宋体"/>
                <w:b/>
                <w:bCs/>
                <w:color w:val="auto"/>
                <w:highlight w:val="none"/>
              </w:rPr>
              <w:t>D</w:t>
            </w:r>
            <w:r>
              <w:rPr>
                <w:rFonts w:hint="eastAsia" w:ascii="宋体" w:hAnsi="宋体" w:cs="宋体"/>
                <w:color w:val="auto"/>
                <w:highlight w:val="none"/>
              </w:rPr>
              <w:t>其他评分因素：投标人诚信得分：</w:t>
            </w:r>
            <w:r>
              <w:rPr>
                <w:rFonts w:ascii="宋体" w:hAnsi="宋体" w:cs="宋体"/>
                <w:color w:val="auto"/>
                <w:highlight w:val="none"/>
                <w:u w:val="single"/>
              </w:rPr>
              <w:t>10</w:t>
            </w:r>
            <w:r>
              <w:rPr>
                <w:rFonts w:hint="eastAsia" w:ascii="宋体" w:hAnsi="宋体" w:cs="宋体"/>
                <w:color w:val="auto"/>
                <w:highlight w:val="none"/>
              </w:rPr>
              <w:t>分</w:t>
            </w:r>
          </w:p>
          <w:p>
            <w:pPr>
              <w:spacing w:line="400" w:lineRule="exact"/>
              <w:rPr>
                <w:color w:val="auto"/>
                <w:highlight w:val="none"/>
              </w:rPr>
            </w:pPr>
            <w:r>
              <w:rPr>
                <w:rFonts w:hint="eastAsia"/>
                <w:color w:val="auto"/>
                <w:highlight w:val="none"/>
                <w:lang w:bidi="zh-CN"/>
              </w:rPr>
              <w:t>注：投标人综合得分为各评委A+B+C+D的总分去掉一个最高分和一个最低分后计取的算术平均分（分数出现小数点时，保留小数点后二位，第三位小数四舍五入）</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2127" w:type="dxa"/>
            <w:gridSpan w:val="3"/>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2.2.2</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评标基准价计算方法</w:t>
            </w:r>
          </w:p>
        </w:tc>
        <w:tc>
          <w:tcPr>
            <w:tcW w:w="5284" w:type="dxa"/>
            <w:tcBorders>
              <w:top w:val="single" w:color="auto" w:sz="4" w:space="0"/>
              <w:left w:val="single" w:color="auto" w:sz="4" w:space="0"/>
              <w:bottom w:val="single" w:color="auto" w:sz="4" w:space="0"/>
            </w:tcBorders>
            <w:vAlign w:val="center"/>
          </w:tcPr>
          <w:p>
            <w:pPr>
              <w:widowControl/>
              <w:spacing w:line="400" w:lineRule="exact"/>
              <w:jc w:val="left"/>
              <w:rPr>
                <w:color w:val="auto"/>
                <w:highlight w:val="none"/>
              </w:rPr>
            </w:pPr>
            <w:r>
              <w:rPr>
                <w:rFonts w:hint="eastAsia" w:ascii="宋体" w:hAnsi="宋体" w:cs="宋体"/>
                <w:color w:val="auto"/>
                <w:highlight w:val="none"/>
              </w:rPr>
              <w:t>在通过形式性评审、资格评审、响应性评审的有效投标人的投标报价中</w:t>
            </w:r>
            <w:r>
              <w:rPr>
                <w:rFonts w:hint="eastAsia"/>
                <w:color w:val="auto"/>
                <w:highlight w:val="none"/>
              </w:rPr>
              <w:t>：当位于最高投标限价的[80%，100%]的有效投标人大于5名时，去掉其中一个最高价和一个最低价，取余下有效投标人的投标价的算术平均值作为评标基准价；当位于最高投标限价的[80%，100%]的有效投标人小于或等于5名时，取其中所有入围的有效投标人的投标价的算术平均值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7" w:type="dxa"/>
            <w:gridSpan w:val="3"/>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2.2.3</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投标报价的偏差率</w:t>
            </w:r>
          </w:p>
          <w:p>
            <w:pPr>
              <w:spacing w:line="400" w:lineRule="exact"/>
              <w:jc w:val="center"/>
              <w:rPr>
                <w:color w:val="auto"/>
                <w:highlight w:val="none"/>
              </w:rPr>
            </w:pPr>
            <w:r>
              <w:rPr>
                <w:rFonts w:hint="eastAsia"/>
                <w:color w:val="auto"/>
                <w:highlight w:val="none"/>
              </w:rPr>
              <w:t>计算公式</w:t>
            </w:r>
          </w:p>
        </w:tc>
        <w:tc>
          <w:tcPr>
            <w:tcW w:w="5284" w:type="dxa"/>
            <w:tcBorders>
              <w:top w:val="single" w:color="auto" w:sz="4" w:space="0"/>
              <w:left w:val="single" w:color="auto" w:sz="4" w:space="0"/>
              <w:bottom w:val="single" w:color="auto" w:sz="4" w:space="0"/>
            </w:tcBorders>
            <w:vAlign w:val="center"/>
          </w:tcPr>
          <w:p>
            <w:pPr>
              <w:spacing w:line="400" w:lineRule="exact"/>
              <w:jc w:val="left"/>
              <w:rPr>
                <w:color w:val="auto"/>
                <w:highlight w:val="none"/>
              </w:rPr>
            </w:pPr>
            <w:r>
              <w:rPr>
                <w:rFonts w:hint="eastAsia"/>
                <w:color w:val="auto"/>
                <w:highlight w:val="none"/>
              </w:rPr>
              <w:t>偏差率=（有效投标报价-评标基准价）/评标基准价*100%</w:t>
            </w:r>
          </w:p>
          <w:p>
            <w:pPr>
              <w:spacing w:line="400" w:lineRule="exact"/>
              <w:jc w:val="left"/>
              <w:rPr>
                <w:color w:val="auto"/>
                <w:highlight w:val="none"/>
              </w:rPr>
            </w:pPr>
            <w:r>
              <w:rPr>
                <w:rFonts w:hint="eastAsia"/>
                <w:color w:val="auto"/>
                <w:highlight w:val="none"/>
              </w:rPr>
              <w:t>偏差率四舍五入保留2位小数，所有不足</w:t>
            </w:r>
            <w:r>
              <w:rPr>
                <w:color w:val="auto"/>
                <w:highlight w:val="none"/>
              </w:rPr>
              <w:t>1%</w:t>
            </w:r>
            <w:r>
              <w:rPr>
                <w:rFonts w:hint="eastAsia"/>
                <w:color w:val="auto"/>
                <w:highlight w:val="none"/>
              </w:rPr>
              <w:t>的差价按插值法计算。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00" w:type="dxa"/>
            <w:gridSpan w:val="2"/>
            <w:vMerge w:val="restart"/>
            <w:tcBorders>
              <w:top w:val="single" w:color="auto" w:sz="4" w:space="0"/>
              <w:right w:val="single" w:color="auto" w:sz="4" w:space="0"/>
            </w:tcBorders>
            <w:vAlign w:val="center"/>
          </w:tcPr>
          <w:p>
            <w:pPr>
              <w:spacing w:line="400" w:lineRule="exact"/>
              <w:rPr>
                <w:color w:val="auto"/>
                <w:highlight w:val="none"/>
              </w:rPr>
            </w:pPr>
            <w:r>
              <w:rPr>
                <w:color w:val="auto"/>
                <w:highlight w:val="none"/>
              </w:rPr>
              <w:t>2.4（1）</w:t>
            </w:r>
          </w:p>
        </w:tc>
        <w:tc>
          <w:tcPr>
            <w:tcW w:w="1227" w:type="dxa"/>
            <w:vMerge w:val="restart"/>
            <w:tcBorders>
              <w:top w:val="single" w:color="auto" w:sz="4" w:space="0"/>
              <w:right w:val="single" w:color="auto" w:sz="4" w:space="0"/>
            </w:tcBorders>
            <w:vAlign w:val="center"/>
          </w:tcPr>
          <w:p>
            <w:pPr>
              <w:spacing w:line="400" w:lineRule="exact"/>
              <w:jc w:val="center"/>
              <w:rPr>
                <w:color w:val="auto"/>
                <w:highlight w:val="none"/>
              </w:rPr>
            </w:pPr>
            <w:r>
              <w:rPr>
                <w:color w:val="auto"/>
                <w:highlight w:val="none"/>
              </w:rPr>
              <w:t>资信业绩部</w:t>
            </w:r>
            <w:r>
              <w:rPr>
                <w:rFonts w:hint="eastAsia"/>
                <w:color w:val="auto"/>
                <w:highlight w:val="none"/>
              </w:rPr>
              <w:t>分（60分）</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ind w:right="-20"/>
              <w:contextualSpacing/>
              <w:jc w:val="center"/>
              <w:rPr>
                <w:color w:val="auto"/>
                <w:szCs w:val="21"/>
                <w:highlight w:val="none"/>
              </w:rPr>
            </w:pPr>
            <w:r>
              <w:rPr>
                <w:rFonts w:hint="eastAsia"/>
                <w:color w:val="auto"/>
                <w:szCs w:val="21"/>
                <w:highlight w:val="none"/>
              </w:rPr>
              <w:t>类似业绩</w:t>
            </w:r>
          </w:p>
          <w:p>
            <w:pPr>
              <w:ind w:right="-20"/>
              <w:jc w:val="center"/>
              <w:rPr>
                <w:rFonts w:ascii="宋体" w:hAnsi="宋体"/>
                <w:color w:val="auto"/>
                <w:szCs w:val="21"/>
                <w:highlight w:val="none"/>
              </w:rPr>
            </w:pPr>
            <w:r>
              <w:rPr>
                <w:rFonts w:hint="eastAsia"/>
                <w:color w:val="auto"/>
                <w:szCs w:val="21"/>
                <w:highlight w:val="none"/>
              </w:rPr>
              <w:t>（10分</w:t>
            </w:r>
            <w:r>
              <w:rPr>
                <w:rFonts w:hint="eastAsia" w:ascii="宋体" w:hAnsi="宋体"/>
                <w:color w:val="auto"/>
                <w:szCs w:val="21"/>
                <w:highlight w:val="none"/>
              </w:rPr>
              <w:t>）</w:t>
            </w:r>
          </w:p>
        </w:tc>
        <w:tc>
          <w:tcPr>
            <w:tcW w:w="52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b/>
                <w:color w:val="auto"/>
                <w:szCs w:val="21"/>
                <w:highlight w:val="none"/>
              </w:rPr>
            </w:pPr>
            <w:r>
              <w:rPr>
                <w:rFonts w:hint="eastAsia" w:ascii="宋体" w:hAnsi="宋体"/>
                <w:color w:val="auto"/>
                <w:szCs w:val="21"/>
                <w:highlight w:val="none"/>
                <w:lang w:val="zh-CN" w:bidi="zh-CN"/>
              </w:rPr>
              <w:t>201</w:t>
            </w:r>
            <w:r>
              <w:rPr>
                <w:rFonts w:hint="eastAsia" w:ascii="宋体" w:hAnsi="宋体"/>
                <w:color w:val="auto"/>
                <w:szCs w:val="21"/>
                <w:highlight w:val="none"/>
                <w:lang w:bidi="zh-CN"/>
              </w:rPr>
              <w:t>7</w:t>
            </w:r>
            <w:r>
              <w:rPr>
                <w:rFonts w:hint="eastAsia" w:ascii="宋体" w:hAnsi="宋体"/>
                <w:color w:val="auto"/>
                <w:szCs w:val="21"/>
                <w:highlight w:val="none"/>
                <w:lang w:val="zh-CN" w:bidi="zh-CN"/>
              </w:rPr>
              <w:t>年1月1日</w:t>
            </w:r>
            <w:r>
              <w:rPr>
                <w:rFonts w:hint="eastAsia" w:ascii="宋体" w:hAnsi="宋体" w:cs="宋体"/>
                <w:color w:val="auto"/>
                <w:szCs w:val="21"/>
                <w:highlight w:val="none"/>
              </w:rPr>
              <w:t>至今完成过类似工程检测业绩，每项得2分，本项最多得10分</w:t>
            </w:r>
            <w:r>
              <w:rPr>
                <w:rFonts w:hint="eastAsia" w:ascii="宋体" w:hAnsi="宋体"/>
                <w:color w:val="auto"/>
                <w:szCs w:val="21"/>
                <w:highlight w:val="none"/>
                <w:lang w:val="zh-CN" w:bidi="zh-CN"/>
              </w:rPr>
              <w:t>；</w:t>
            </w:r>
          </w:p>
          <w:p>
            <w:pPr>
              <w:spacing w:line="400" w:lineRule="exact"/>
              <w:jc w:val="left"/>
              <w:rPr>
                <w:rFonts w:ascii="宋体" w:hAnsi="宋体"/>
                <w:b/>
                <w:color w:val="auto"/>
                <w:kern w:val="0"/>
                <w:szCs w:val="21"/>
                <w:highlight w:val="none"/>
              </w:rPr>
            </w:pPr>
            <w:r>
              <w:rPr>
                <w:rFonts w:hint="eastAsia" w:ascii="宋体" w:hAnsi="宋体"/>
                <w:b/>
                <w:color w:val="auto"/>
                <w:szCs w:val="21"/>
                <w:highlight w:val="none"/>
              </w:rPr>
              <w:t>注：类似项目业绩是指包含本次检测招标内容的一项或多项的建设工程质量检测业绩，须同时提供中标通知书（或免招标的相关证明）、检测服务合同关键页、检测报告关键页</w:t>
            </w:r>
            <w:r>
              <w:rPr>
                <w:rFonts w:hint="eastAsia"/>
                <w:b/>
                <w:color w:val="auto"/>
                <w:szCs w:val="21"/>
                <w:highlight w:val="none"/>
              </w:rPr>
              <w:t>的清晰扫描件</w:t>
            </w:r>
            <w:r>
              <w:rPr>
                <w:rFonts w:hint="eastAsia" w:ascii="宋体" w:hAnsi="宋体"/>
                <w:b/>
                <w:color w:val="auto"/>
                <w:szCs w:val="21"/>
                <w:highlight w:val="none"/>
              </w:rPr>
              <w:t>，否则不得分。检测服务合同须提供能证明检测项目内容及金额的关键页，如以上资料不能证明业绩规模的技术指标，须另提供可证明业绩技术指标的其他资料。同一工程只计取一项得分。时间、金额均以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00" w:type="dxa"/>
            <w:gridSpan w:val="2"/>
            <w:vMerge w:val="continue"/>
            <w:tcBorders>
              <w:top w:val="single" w:color="auto" w:sz="4" w:space="0"/>
              <w:right w:val="single" w:color="auto" w:sz="4" w:space="0"/>
            </w:tcBorders>
            <w:vAlign w:val="center"/>
          </w:tcPr>
          <w:p>
            <w:pPr>
              <w:spacing w:line="400" w:lineRule="exact"/>
              <w:rPr>
                <w:color w:val="auto"/>
                <w:highlight w:val="none"/>
              </w:rPr>
            </w:pPr>
          </w:p>
        </w:tc>
        <w:tc>
          <w:tcPr>
            <w:tcW w:w="1227" w:type="dxa"/>
            <w:vMerge w:val="continue"/>
            <w:tcBorders>
              <w:top w:val="single" w:color="auto" w:sz="4" w:space="0"/>
              <w:right w:val="single" w:color="auto" w:sz="4" w:space="0"/>
            </w:tcBorders>
            <w:vAlign w:val="center"/>
          </w:tcPr>
          <w:p>
            <w:pPr>
              <w:snapToGrid w:val="0"/>
              <w:spacing w:line="400" w:lineRule="exact"/>
              <w:rPr>
                <w:color w:val="auto"/>
                <w:highlight w:val="none"/>
              </w:rPr>
            </w:pPr>
          </w:p>
        </w:tc>
        <w:tc>
          <w:tcPr>
            <w:tcW w:w="1945" w:type="dxa"/>
            <w:vMerge w:val="restart"/>
            <w:tcBorders>
              <w:top w:val="single" w:color="auto" w:sz="4" w:space="0"/>
              <w:left w:val="single" w:color="auto" w:sz="4" w:space="0"/>
              <w:right w:val="single" w:color="auto" w:sz="4" w:space="0"/>
            </w:tcBorders>
            <w:vAlign w:val="center"/>
          </w:tcPr>
          <w:p>
            <w:pPr>
              <w:ind w:right="-20"/>
              <w:jc w:val="center"/>
              <w:rPr>
                <w:color w:val="auto"/>
                <w:szCs w:val="21"/>
                <w:highlight w:val="none"/>
              </w:rPr>
            </w:pPr>
            <w:r>
              <w:rPr>
                <w:rFonts w:hint="eastAsia"/>
                <w:color w:val="auto"/>
                <w:szCs w:val="21"/>
                <w:highlight w:val="none"/>
              </w:rPr>
              <w:t>企业资信</w:t>
            </w:r>
          </w:p>
          <w:p>
            <w:pPr>
              <w:widowControl/>
              <w:contextualSpacing/>
              <w:jc w:val="center"/>
              <w:rPr>
                <w:rFonts w:ascii="宋体" w:hAnsi="宋体"/>
                <w:color w:val="auto"/>
                <w:szCs w:val="21"/>
                <w:highlight w:val="none"/>
              </w:rPr>
            </w:pPr>
            <w:r>
              <w:rPr>
                <w:rFonts w:hint="eastAsia"/>
                <w:color w:val="auto"/>
                <w:szCs w:val="21"/>
                <w:highlight w:val="none"/>
              </w:rPr>
              <w:t>（30分）</w:t>
            </w:r>
          </w:p>
          <w:p>
            <w:pPr>
              <w:widowControl/>
              <w:contextualSpacing/>
              <w:jc w:val="center"/>
              <w:rPr>
                <w:rFonts w:ascii="宋体" w:hAnsi="宋体"/>
                <w:color w:val="auto"/>
                <w:szCs w:val="21"/>
                <w:highlight w:val="none"/>
              </w:rPr>
            </w:pPr>
          </w:p>
          <w:p>
            <w:pPr>
              <w:spacing w:before="100" w:beforeAutospacing="1" w:after="100" w:afterAutospacing="1"/>
              <w:jc w:val="center"/>
              <w:rPr>
                <w:rFonts w:ascii="宋体" w:hAnsi="宋体"/>
                <w:color w:val="auto"/>
                <w:szCs w:val="21"/>
                <w:highlight w:val="none"/>
              </w:rPr>
            </w:pPr>
          </w:p>
        </w:tc>
        <w:tc>
          <w:tcPr>
            <w:tcW w:w="52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楷体_GB2312"/>
                <w:color w:val="auto"/>
                <w:szCs w:val="21"/>
                <w:highlight w:val="none"/>
                <w:lang w:val="zh-CN" w:bidi="zh-CN"/>
              </w:rPr>
            </w:pPr>
            <w:r>
              <w:rPr>
                <w:rFonts w:hint="eastAsia" w:ascii="宋体" w:hAnsi="宋体" w:cs="楷体_GB2312"/>
                <w:color w:val="auto"/>
                <w:szCs w:val="21"/>
                <w:highlight w:val="none"/>
                <w:lang w:bidi="zh-CN"/>
              </w:rPr>
              <w:t>1</w:t>
            </w:r>
            <w:r>
              <w:rPr>
                <w:rFonts w:hint="eastAsia" w:ascii="宋体" w:hAnsi="宋体" w:cs="楷体_GB2312"/>
                <w:color w:val="auto"/>
                <w:szCs w:val="21"/>
                <w:highlight w:val="none"/>
                <w:lang w:val="zh-CN" w:bidi="zh-CN"/>
              </w:rPr>
              <w:t>、</w:t>
            </w:r>
            <w:r>
              <w:rPr>
                <w:rFonts w:hint="eastAsia" w:ascii="宋体" w:hAnsi="宋体" w:cs="楷体_GB2312"/>
                <w:bCs/>
                <w:color w:val="auto"/>
                <w:szCs w:val="21"/>
                <w:highlight w:val="none"/>
                <w:lang w:val="zh-CN" w:bidi="zh-CN"/>
              </w:rPr>
              <w:t>投</w:t>
            </w:r>
            <w:r>
              <w:rPr>
                <w:rFonts w:hint="eastAsia" w:ascii="宋体" w:hAnsi="宋体" w:cs="楷体_GB2312"/>
                <w:color w:val="auto"/>
                <w:szCs w:val="21"/>
                <w:highlight w:val="none"/>
                <w:lang w:val="zh-CN" w:bidi="zh-CN"/>
              </w:rPr>
              <w:t>标人</w:t>
            </w:r>
            <w:r>
              <w:rPr>
                <w:rFonts w:hint="eastAsia" w:ascii="宋体" w:hAnsi="宋体" w:cs="宋体"/>
                <w:color w:val="auto"/>
                <w:szCs w:val="21"/>
                <w:highlight w:val="none"/>
              </w:rPr>
              <w:t>（不含分支机构）</w:t>
            </w:r>
            <w:r>
              <w:rPr>
                <w:rFonts w:hint="eastAsia" w:ascii="宋体" w:hAnsi="宋体" w:cs="楷体_GB2312"/>
                <w:color w:val="auto"/>
                <w:szCs w:val="21"/>
                <w:highlight w:val="none"/>
                <w:lang w:val="zh-CN" w:bidi="zh-CN"/>
              </w:rPr>
              <w:t>获得过市级或以上工商（市场）监管部门或工商（市场）监管部门主管的行业协会颁发的“守合同重信用企业”或“重合同守信用企业”称号按连续年份长短由高至低排名第1～</w:t>
            </w:r>
            <w:r>
              <w:rPr>
                <w:rFonts w:hint="eastAsia" w:ascii="宋体" w:hAnsi="宋体" w:cs="楷体_GB2312"/>
                <w:color w:val="auto"/>
                <w:szCs w:val="21"/>
                <w:highlight w:val="none"/>
                <w:lang w:bidi="zh-CN"/>
              </w:rPr>
              <w:t>3</w:t>
            </w:r>
            <w:r>
              <w:rPr>
                <w:rFonts w:hint="eastAsia" w:ascii="宋体" w:hAnsi="宋体" w:cs="楷体_GB2312"/>
                <w:color w:val="auto"/>
                <w:szCs w:val="21"/>
                <w:highlight w:val="none"/>
                <w:lang w:val="zh-CN" w:bidi="zh-CN"/>
              </w:rPr>
              <w:t>名的得</w:t>
            </w:r>
            <w:r>
              <w:rPr>
                <w:rFonts w:hint="eastAsia" w:ascii="宋体" w:hAnsi="宋体" w:cs="楷体_GB2312"/>
                <w:color w:val="auto"/>
                <w:szCs w:val="21"/>
                <w:highlight w:val="none"/>
                <w:u w:val="single"/>
                <w:lang w:bidi="zh-CN"/>
              </w:rPr>
              <w:t>10</w:t>
            </w:r>
            <w:r>
              <w:rPr>
                <w:rFonts w:hint="eastAsia" w:ascii="宋体" w:hAnsi="宋体" w:cs="楷体_GB2312"/>
                <w:color w:val="auto"/>
                <w:szCs w:val="21"/>
                <w:highlight w:val="none"/>
                <w:lang w:val="zh-CN" w:bidi="zh-CN"/>
              </w:rPr>
              <w:t>分，排名第</w:t>
            </w:r>
            <w:r>
              <w:rPr>
                <w:rFonts w:hint="eastAsia" w:ascii="宋体" w:hAnsi="宋体" w:cs="楷体_GB2312"/>
                <w:color w:val="auto"/>
                <w:szCs w:val="21"/>
                <w:highlight w:val="none"/>
                <w:lang w:bidi="zh-CN"/>
              </w:rPr>
              <w:t>4</w:t>
            </w:r>
            <w:r>
              <w:rPr>
                <w:rFonts w:hint="eastAsia" w:ascii="宋体" w:hAnsi="宋体" w:cs="楷体_GB2312"/>
                <w:color w:val="auto"/>
                <w:szCs w:val="21"/>
                <w:highlight w:val="none"/>
                <w:lang w:val="zh-CN" w:bidi="zh-CN"/>
              </w:rPr>
              <w:t>～</w:t>
            </w:r>
            <w:r>
              <w:rPr>
                <w:rFonts w:hint="eastAsia" w:ascii="宋体" w:hAnsi="宋体" w:cs="楷体_GB2312"/>
                <w:color w:val="auto"/>
                <w:szCs w:val="21"/>
                <w:highlight w:val="none"/>
                <w:lang w:bidi="zh-CN"/>
              </w:rPr>
              <w:t>6</w:t>
            </w:r>
            <w:r>
              <w:rPr>
                <w:rFonts w:hint="eastAsia" w:ascii="宋体" w:hAnsi="宋体" w:cs="楷体_GB2312"/>
                <w:color w:val="auto"/>
                <w:szCs w:val="21"/>
                <w:highlight w:val="none"/>
                <w:lang w:val="zh-CN" w:bidi="zh-CN"/>
              </w:rPr>
              <w:t>名的得</w:t>
            </w:r>
            <w:r>
              <w:rPr>
                <w:rFonts w:hint="eastAsia" w:ascii="宋体" w:hAnsi="宋体" w:cs="楷体_GB2312"/>
                <w:color w:val="auto"/>
                <w:szCs w:val="21"/>
                <w:highlight w:val="none"/>
                <w:u w:val="single"/>
                <w:lang w:bidi="zh-CN"/>
              </w:rPr>
              <w:t>5</w:t>
            </w:r>
            <w:r>
              <w:rPr>
                <w:rFonts w:hint="eastAsia" w:ascii="宋体" w:hAnsi="宋体" w:cs="楷体_GB2312"/>
                <w:color w:val="auto"/>
                <w:szCs w:val="21"/>
                <w:highlight w:val="none"/>
                <w:lang w:val="zh-CN" w:bidi="zh-CN"/>
              </w:rPr>
              <w:t>分，排名第7名及以后的得</w:t>
            </w:r>
            <w:r>
              <w:rPr>
                <w:rFonts w:hint="eastAsia" w:ascii="宋体" w:hAnsi="宋体" w:cs="楷体_GB2312"/>
                <w:color w:val="auto"/>
                <w:szCs w:val="21"/>
                <w:highlight w:val="none"/>
                <w:u w:val="single"/>
                <w:lang w:bidi="zh-CN"/>
              </w:rPr>
              <w:t>2</w:t>
            </w:r>
            <w:r>
              <w:rPr>
                <w:rFonts w:hint="eastAsia" w:ascii="宋体" w:hAnsi="宋体" w:cs="楷体_GB2312"/>
                <w:color w:val="auto"/>
                <w:szCs w:val="21"/>
                <w:highlight w:val="none"/>
                <w:lang w:val="zh-CN" w:bidi="zh-CN"/>
              </w:rPr>
              <w:t>分，没有的不得分；本项最多得</w:t>
            </w:r>
            <w:r>
              <w:rPr>
                <w:rFonts w:hint="eastAsia" w:ascii="宋体" w:hAnsi="宋体" w:cs="楷体_GB2312"/>
                <w:color w:val="auto"/>
                <w:szCs w:val="21"/>
                <w:highlight w:val="none"/>
                <w:u w:val="single"/>
                <w:lang w:bidi="zh-CN"/>
              </w:rPr>
              <w:t xml:space="preserve">10 </w:t>
            </w:r>
            <w:r>
              <w:rPr>
                <w:rFonts w:hint="eastAsia" w:ascii="宋体" w:hAnsi="宋体" w:cs="楷体_GB2312"/>
                <w:color w:val="auto"/>
                <w:szCs w:val="21"/>
                <w:highlight w:val="none"/>
                <w:lang w:val="zh-CN" w:bidi="zh-CN"/>
              </w:rPr>
              <w:t>分。</w:t>
            </w:r>
          </w:p>
          <w:p>
            <w:pPr>
              <w:jc w:val="left"/>
              <w:rPr>
                <w:rFonts w:ascii="宋体" w:hAnsi="宋体"/>
                <w:color w:val="auto"/>
                <w:szCs w:val="21"/>
                <w:highlight w:val="none"/>
                <w:lang w:bidi="zh-CN"/>
              </w:rPr>
            </w:pPr>
            <w:r>
              <w:rPr>
                <w:rFonts w:hint="eastAsia"/>
                <w:b/>
                <w:color w:val="auto"/>
                <w:szCs w:val="21"/>
                <w:highlight w:val="none"/>
              </w:rPr>
              <w:t>注：须提供相关证书的清晰扫描件</w:t>
            </w:r>
            <w:r>
              <w:rPr>
                <w:rFonts w:hint="eastAsia"/>
                <w:b/>
                <w:bCs/>
                <w:color w:val="auto"/>
                <w:szCs w:val="21"/>
                <w:highlight w:val="none"/>
              </w:rPr>
              <w:t>，没有提供或不符合要求的不得分。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00" w:type="dxa"/>
            <w:gridSpan w:val="2"/>
            <w:vMerge w:val="continue"/>
            <w:tcBorders>
              <w:top w:val="single" w:color="auto" w:sz="4" w:space="0"/>
              <w:right w:val="single" w:color="auto" w:sz="4" w:space="0"/>
            </w:tcBorders>
            <w:vAlign w:val="center"/>
          </w:tcPr>
          <w:p>
            <w:pPr>
              <w:spacing w:line="400" w:lineRule="exact"/>
              <w:rPr>
                <w:color w:val="auto"/>
                <w:highlight w:val="none"/>
              </w:rPr>
            </w:pPr>
          </w:p>
        </w:tc>
        <w:tc>
          <w:tcPr>
            <w:tcW w:w="1227" w:type="dxa"/>
            <w:vMerge w:val="continue"/>
            <w:tcBorders>
              <w:top w:val="single" w:color="auto" w:sz="4" w:space="0"/>
              <w:right w:val="single" w:color="auto" w:sz="4" w:space="0"/>
            </w:tcBorders>
            <w:vAlign w:val="center"/>
          </w:tcPr>
          <w:p>
            <w:pPr>
              <w:snapToGrid w:val="0"/>
              <w:spacing w:line="400" w:lineRule="exact"/>
              <w:rPr>
                <w:color w:val="auto"/>
                <w:highlight w:val="none"/>
              </w:rPr>
            </w:pPr>
          </w:p>
        </w:tc>
        <w:tc>
          <w:tcPr>
            <w:tcW w:w="1945" w:type="dxa"/>
            <w:vMerge w:val="continue"/>
            <w:tcBorders>
              <w:left w:val="single" w:color="auto" w:sz="4" w:space="0"/>
              <w:right w:val="single" w:color="auto" w:sz="4" w:space="0"/>
            </w:tcBorders>
            <w:vAlign w:val="center"/>
          </w:tcPr>
          <w:p>
            <w:pPr>
              <w:spacing w:before="100" w:beforeAutospacing="1" w:after="100" w:afterAutospacing="1"/>
              <w:jc w:val="center"/>
              <w:rPr>
                <w:rFonts w:ascii="宋体" w:hAnsi="宋体"/>
                <w:color w:val="auto"/>
                <w:szCs w:val="21"/>
                <w:highlight w:val="none"/>
              </w:rPr>
            </w:pPr>
          </w:p>
        </w:tc>
        <w:tc>
          <w:tcPr>
            <w:tcW w:w="52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楷体_GB2312"/>
                <w:color w:val="auto"/>
                <w:szCs w:val="21"/>
                <w:highlight w:val="none"/>
                <w:lang w:bidi="zh-CN"/>
              </w:rPr>
            </w:pPr>
            <w:r>
              <w:rPr>
                <w:rFonts w:hint="eastAsia" w:ascii="宋体" w:hAnsi="宋体" w:cs="楷体_GB2312"/>
                <w:bCs/>
                <w:color w:val="auto"/>
                <w:szCs w:val="21"/>
                <w:highlight w:val="none"/>
                <w:lang w:bidi="zh-CN"/>
              </w:rPr>
              <w:t>2、</w:t>
            </w:r>
            <w:r>
              <w:rPr>
                <w:rFonts w:hint="eastAsia" w:ascii="宋体" w:hAnsi="宋体" w:cs="楷体_GB2312"/>
                <w:bCs/>
                <w:color w:val="auto"/>
                <w:szCs w:val="21"/>
                <w:highlight w:val="none"/>
                <w:lang w:val="zh-CN" w:bidi="zh-CN"/>
              </w:rPr>
              <w:t>投</w:t>
            </w:r>
            <w:r>
              <w:rPr>
                <w:rFonts w:hint="eastAsia" w:ascii="宋体" w:hAnsi="宋体" w:cs="楷体_GB2312"/>
                <w:color w:val="auto"/>
                <w:szCs w:val="21"/>
                <w:highlight w:val="none"/>
                <w:lang w:val="zh-CN" w:bidi="zh-CN"/>
              </w:rPr>
              <w:t>标人同时具备中国合格评定国家认可委员会实验室认可证书(CNAS)和中国合格评定国家认可委员会检验机构认可证书(CNAS)，且在有效期内，得</w:t>
            </w:r>
            <w:r>
              <w:rPr>
                <w:rFonts w:hint="eastAsia" w:ascii="宋体" w:hAnsi="宋体" w:cs="楷体_GB2312"/>
                <w:color w:val="auto"/>
                <w:szCs w:val="21"/>
                <w:highlight w:val="none"/>
                <w:lang w:bidi="zh-CN"/>
              </w:rPr>
              <w:t>8</w:t>
            </w:r>
            <w:r>
              <w:rPr>
                <w:rFonts w:hint="eastAsia" w:ascii="宋体" w:hAnsi="宋体" w:cs="楷体_GB2312"/>
                <w:color w:val="auto"/>
                <w:szCs w:val="21"/>
                <w:highlight w:val="none"/>
                <w:lang w:val="zh-CN" w:bidi="zh-CN"/>
              </w:rPr>
              <w:t>分，具备其中一项的，得</w:t>
            </w:r>
            <w:r>
              <w:rPr>
                <w:rFonts w:hint="eastAsia" w:ascii="宋体" w:hAnsi="宋体" w:cs="楷体_GB2312"/>
                <w:color w:val="auto"/>
                <w:szCs w:val="21"/>
                <w:highlight w:val="none"/>
                <w:lang w:bidi="zh-CN"/>
              </w:rPr>
              <w:t>4</w:t>
            </w:r>
            <w:r>
              <w:rPr>
                <w:rFonts w:hint="eastAsia" w:ascii="宋体" w:hAnsi="宋体" w:cs="楷体_GB2312"/>
                <w:color w:val="auto"/>
                <w:szCs w:val="21"/>
                <w:highlight w:val="none"/>
                <w:lang w:val="zh-CN" w:bidi="zh-CN"/>
              </w:rPr>
              <w:t>分，没有则不得分。本项最多得</w:t>
            </w:r>
            <w:r>
              <w:rPr>
                <w:rFonts w:hint="eastAsia" w:ascii="宋体" w:hAnsi="宋体" w:cs="楷体_GB2312"/>
                <w:color w:val="auto"/>
                <w:szCs w:val="21"/>
                <w:highlight w:val="none"/>
                <w:u w:val="single"/>
                <w:lang w:bidi="zh-CN"/>
              </w:rPr>
              <w:t xml:space="preserve">8 </w:t>
            </w:r>
            <w:r>
              <w:rPr>
                <w:rFonts w:hint="eastAsia" w:ascii="宋体" w:hAnsi="宋体" w:cs="楷体_GB2312"/>
                <w:color w:val="auto"/>
                <w:szCs w:val="21"/>
                <w:highlight w:val="none"/>
                <w:lang w:val="zh-CN" w:bidi="zh-CN"/>
              </w:rPr>
              <w:t>分。</w:t>
            </w:r>
          </w:p>
          <w:p>
            <w:pPr>
              <w:jc w:val="left"/>
              <w:rPr>
                <w:rFonts w:ascii="宋体" w:hAnsi="宋体" w:cs="楷体_GB2312"/>
                <w:color w:val="auto"/>
                <w:szCs w:val="21"/>
                <w:highlight w:val="none"/>
                <w:lang w:bidi="zh-CN"/>
              </w:rPr>
            </w:pPr>
            <w:r>
              <w:rPr>
                <w:rFonts w:hint="eastAsia"/>
                <w:b/>
                <w:color w:val="auto"/>
                <w:szCs w:val="21"/>
                <w:highlight w:val="none"/>
              </w:rPr>
              <w:t>注：须提供相关证书的清晰扫描件</w:t>
            </w:r>
            <w:r>
              <w:rPr>
                <w:rFonts w:hint="eastAsia"/>
                <w:b/>
                <w:bCs/>
                <w:color w:val="auto"/>
                <w:szCs w:val="21"/>
                <w:highlight w:val="none"/>
              </w:rPr>
              <w:t>，没有提供或不符合要求的不得分。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0" w:type="dxa"/>
            <w:gridSpan w:val="2"/>
            <w:vMerge w:val="continue"/>
            <w:tcBorders>
              <w:right w:val="single" w:color="auto" w:sz="4" w:space="0"/>
            </w:tcBorders>
            <w:vAlign w:val="center"/>
          </w:tcPr>
          <w:p>
            <w:pPr>
              <w:spacing w:line="400" w:lineRule="exact"/>
              <w:rPr>
                <w:color w:val="auto"/>
                <w:highlight w:val="none"/>
              </w:rPr>
            </w:pPr>
          </w:p>
        </w:tc>
        <w:tc>
          <w:tcPr>
            <w:tcW w:w="1227" w:type="dxa"/>
            <w:vMerge w:val="continue"/>
            <w:tcBorders>
              <w:right w:val="single" w:color="auto" w:sz="4" w:space="0"/>
            </w:tcBorders>
            <w:vAlign w:val="center"/>
          </w:tcPr>
          <w:p>
            <w:pPr>
              <w:snapToGrid w:val="0"/>
              <w:spacing w:line="400" w:lineRule="exact"/>
              <w:rPr>
                <w:color w:val="auto"/>
                <w:highlight w:val="none"/>
              </w:rPr>
            </w:pPr>
          </w:p>
        </w:tc>
        <w:tc>
          <w:tcPr>
            <w:tcW w:w="1945" w:type="dxa"/>
            <w:vMerge w:val="continue"/>
            <w:tcBorders>
              <w:left w:val="single" w:color="auto" w:sz="4" w:space="0"/>
              <w:right w:val="single" w:color="auto" w:sz="4" w:space="0"/>
            </w:tcBorders>
            <w:vAlign w:val="center"/>
          </w:tcPr>
          <w:p>
            <w:pPr>
              <w:spacing w:before="100" w:beforeAutospacing="1" w:after="100" w:afterAutospacing="1"/>
              <w:jc w:val="center"/>
              <w:rPr>
                <w:rFonts w:ascii="宋体" w:hAnsi="宋体"/>
                <w:color w:val="auto"/>
                <w:szCs w:val="21"/>
                <w:highlight w:val="none"/>
              </w:rPr>
            </w:pPr>
          </w:p>
        </w:tc>
        <w:tc>
          <w:tcPr>
            <w:tcW w:w="5284" w:type="dxa"/>
            <w:tcBorders>
              <w:top w:val="single" w:color="auto" w:sz="4" w:space="0"/>
              <w:left w:val="single" w:color="auto" w:sz="4" w:space="0"/>
              <w:bottom w:val="single" w:color="auto" w:sz="4" w:space="0"/>
              <w:right w:val="single" w:color="auto" w:sz="4" w:space="0"/>
            </w:tcBorders>
            <w:vAlign w:val="center"/>
          </w:tcPr>
          <w:p>
            <w:pPr>
              <w:rPr>
                <w:rFonts w:ascii="宋体" w:hAnsi="宋体" w:cs="楷体_GB2312"/>
                <w:color w:val="auto"/>
                <w:szCs w:val="21"/>
                <w:highlight w:val="none"/>
                <w:lang w:val="zh-CN" w:bidi="zh-CN"/>
              </w:rPr>
            </w:pPr>
            <w:r>
              <w:rPr>
                <w:rFonts w:hint="eastAsia" w:ascii="宋体" w:hAnsi="宋体" w:cs="楷体_GB2312"/>
                <w:color w:val="auto"/>
                <w:szCs w:val="21"/>
                <w:highlight w:val="none"/>
                <w:lang w:bidi="zh-CN"/>
              </w:rPr>
              <w:t>3</w:t>
            </w:r>
            <w:r>
              <w:rPr>
                <w:rFonts w:hint="eastAsia" w:ascii="宋体" w:hAnsi="宋体" w:cs="楷体_GB2312"/>
                <w:color w:val="auto"/>
                <w:szCs w:val="21"/>
                <w:highlight w:val="none"/>
                <w:lang w:val="zh-CN" w:bidi="zh-CN"/>
              </w:rPr>
              <w:t>、投标人获得（检测单位）诚信评价（或（检测）企业信用等级评价）证书且在有效期内：AAAAA级的得</w:t>
            </w:r>
            <w:r>
              <w:rPr>
                <w:rFonts w:hint="eastAsia" w:ascii="宋体" w:hAnsi="宋体" w:cs="楷体_GB2312"/>
                <w:color w:val="auto"/>
                <w:szCs w:val="21"/>
                <w:highlight w:val="none"/>
                <w:lang w:bidi="zh-CN"/>
              </w:rPr>
              <w:t>5</w:t>
            </w:r>
            <w:r>
              <w:rPr>
                <w:rFonts w:hint="eastAsia" w:ascii="宋体" w:hAnsi="宋体" w:cs="楷体_GB2312"/>
                <w:color w:val="auto"/>
                <w:szCs w:val="21"/>
                <w:highlight w:val="none"/>
                <w:lang w:val="zh-CN" w:bidi="zh-CN"/>
              </w:rPr>
              <w:t>分；AAAA 级的得3分；AAA级的得1分，其余不得分。本项最多得</w:t>
            </w:r>
            <w:r>
              <w:rPr>
                <w:rFonts w:hint="eastAsia" w:ascii="宋体" w:hAnsi="宋体" w:cs="楷体_GB2312"/>
                <w:color w:val="auto"/>
                <w:szCs w:val="21"/>
                <w:highlight w:val="none"/>
                <w:u w:val="single"/>
                <w:lang w:bidi="zh-CN"/>
              </w:rPr>
              <w:t xml:space="preserve">5 </w:t>
            </w:r>
            <w:r>
              <w:rPr>
                <w:rFonts w:hint="eastAsia" w:ascii="宋体" w:hAnsi="宋体" w:cs="楷体_GB2312"/>
                <w:color w:val="auto"/>
                <w:szCs w:val="21"/>
                <w:highlight w:val="none"/>
                <w:lang w:val="zh-CN" w:bidi="zh-CN"/>
              </w:rPr>
              <w:t>分。</w:t>
            </w:r>
          </w:p>
          <w:p>
            <w:pPr>
              <w:rPr>
                <w:rFonts w:ascii="宋体" w:hAnsi="宋体"/>
                <w:b/>
                <w:color w:val="auto"/>
                <w:kern w:val="0"/>
                <w:szCs w:val="21"/>
                <w:highlight w:val="none"/>
              </w:rPr>
            </w:pPr>
            <w:r>
              <w:rPr>
                <w:rFonts w:hint="eastAsia"/>
                <w:b/>
                <w:color w:val="auto"/>
                <w:szCs w:val="21"/>
                <w:highlight w:val="none"/>
              </w:rPr>
              <w:t>注：须提供相关证书的清晰扫描件</w:t>
            </w:r>
            <w:r>
              <w:rPr>
                <w:rFonts w:hint="eastAsia"/>
                <w:b/>
                <w:bCs/>
                <w:color w:val="auto"/>
                <w:szCs w:val="21"/>
                <w:highlight w:val="none"/>
              </w:rPr>
              <w:t>，没有提供或不符合要求的不得分。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0" w:type="dxa"/>
            <w:gridSpan w:val="2"/>
            <w:vMerge w:val="continue"/>
            <w:tcBorders>
              <w:right w:val="single" w:color="auto" w:sz="4" w:space="0"/>
            </w:tcBorders>
            <w:vAlign w:val="center"/>
          </w:tcPr>
          <w:p>
            <w:pPr>
              <w:spacing w:line="400" w:lineRule="exact"/>
              <w:rPr>
                <w:color w:val="auto"/>
                <w:highlight w:val="none"/>
              </w:rPr>
            </w:pPr>
          </w:p>
        </w:tc>
        <w:tc>
          <w:tcPr>
            <w:tcW w:w="1227" w:type="dxa"/>
            <w:vMerge w:val="continue"/>
            <w:tcBorders>
              <w:right w:val="single" w:color="auto" w:sz="4" w:space="0"/>
            </w:tcBorders>
            <w:vAlign w:val="center"/>
          </w:tcPr>
          <w:p>
            <w:pPr>
              <w:snapToGrid w:val="0"/>
              <w:spacing w:line="400" w:lineRule="exact"/>
              <w:rPr>
                <w:color w:val="auto"/>
                <w:highlight w:val="none"/>
              </w:rPr>
            </w:pPr>
          </w:p>
        </w:tc>
        <w:tc>
          <w:tcPr>
            <w:tcW w:w="1945" w:type="dxa"/>
            <w:vMerge w:val="continue"/>
            <w:tcBorders>
              <w:left w:val="single" w:color="auto" w:sz="4" w:space="0"/>
              <w:right w:val="single" w:color="auto" w:sz="4" w:space="0"/>
            </w:tcBorders>
            <w:vAlign w:val="center"/>
          </w:tcPr>
          <w:p>
            <w:pPr>
              <w:spacing w:before="100" w:beforeAutospacing="1" w:after="100" w:afterAutospacing="1"/>
              <w:jc w:val="center"/>
              <w:rPr>
                <w:rFonts w:ascii="宋体" w:hAnsi="宋体"/>
                <w:color w:val="auto"/>
                <w:szCs w:val="21"/>
                <w:highlight w:val="none"/>
              </w:rPr>
            </w:pPr>
          </w:p>
        </w:tc>
        <w:tc>
          <w:tcPr>
            <w:tcW w:w="52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w:t>
            </w:r>
            <w:r>
              <w:rPr>
                <w:rFonts w:hint="eastAsia" w:ascii="宋体" w:hAnsi="宋体" w:cs="宋体"/>
                <w:color w:val="auto"/>
                <w:szCs w:val="21"/>
                <w:highlight w:val="none"/>
              </w:rPr>
              <w:t>投标人</w:t>
            </w:r>
            <w:r>
              <w:rPr>
                <w:rFonts w:ascii="宋体" w:hAnsi="宋体" w:cs="宋体"/>
                <w:color w:val="auto"/>
                <w:szCs w:val="21"/>
                <w:highlight w:val="none"/>
              </w:rPr>
              <w:t>2020年</w:t>
            </w:r>
            <w:r>
              <w:rPr>
                <w:rFonts w:hint="eastAsia" w:ascii="宋体" w:hAnsi="宋体" w:cs="宋体"/>
                <w:color w:val="auto"/>
                <w:szCs w:val="21"/>
                <w:highlight w:val="none"/>
              </w:rPr>
              <w:t>至今获得过税务总局“A级纳税人”称号，得3分。</w:t>
            </w:r>
          </w:p>
          <w:p>
            <w:pPr>
              <w:rPr>
                <w:rFonts w:ascii="Calibri" w:hAnsi="Calibri"/>
                <w:b/>
                <w:color w:val="auto"/>
                <w:highlight w:val="none"/>
                <w:lang w:val="zh-CN"/>
              </w:rPr>
            </w:pPr>
            <w:r>
              <w:rPr>
                <w:rFonts w:hint="eastAsia"/>
                <w:b/>
                <w:color w:val="auto"/>
                <w:szCs w:val="21"/>
                <w:highlight w:val="none"/>
              </w:rPr>
              <w:t>注：须提供相关证书的清晰扫描件</w:t>
            </w:r>
            <w:r>
              <w:rPr>
                <w:rFonts w:hint="eastAsia"/>
                <w:b/>
                <w:bCs/>
                <w:color w:val="auto"/>
                <w:szCs w:val="21"/>
                <w:highlight w:val="none"/>
              </w:rPr>
              <w:t>，没有提供或不符合要求的不得分。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0" w:type="dxa"/>
            <w:gridSpan w:val="2"/>
            <w:vMerge w:val="continue"/>
            <w:tcBorders>
              <w:right w:val="single" w:color="auto" w:sz="4" w:space="0"/>
            </w:tcBorders>
            <w:vAlign w:val="center"/>
          </w:tcPr>
          <w:p>
            <w:pPr>
              <w:spacing w:line="400" w:lineRule="exact"/>
              <w:rPr>
                <w:color w:val="auto"/>
                <w:highlight w:val="none"/>
              </w:rPr>
            </w:pPr>
          </w:p>
        </w:tc>
        <w:tc>
          <w:tcPr>
            <w:tcW w:w="1227" w:type="dxa"/>
            <w:vMerge w:val="continue"/>
            <w:tcBorders>
              <w:right w:val="single" w:color="auto" w:sz="4" w:space="0"/>
            </w:tcBorders>
            <w:vAlign w:val="center"/>
          </w:tcPr>
          <w:p>
            <w:pPr>
              <w:snapToGrid w:val="0"/>
              <w:spacing w:line="400" w:lineRule="exact"/>
              <w:rPr>
                <w:color w:val="auto"/>
                <w:highlight w:val="none"/>
              </w:rPr>
            </w:pPr>
          </w:p>
        </w:tc>
        <w:tc>
          <w:tcPr>
            <w:tcW w:w="1945"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olor w:val="auto"/>
                <w:szCs w:val="21"/>
                <w:highlight w:val="none"/>
              </w:rPr>
            </w:pPr>
          </w:p>
        </w:tc>
        <w:tc>
          <w:tcPr>
            <w:tcW w:w="52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lang w:bidi="zh-CN"/>
              </w:rPr>
            </w:pPr>
            <w:r>
              <w:rPr>
                <w:rFonts w:hint="eastAsia" w:ascii="宋体" w:hAnsi="宋体"/>
                <w:color w:val="auto"/>
                <w:szCs w:val="21"/>
                <w:highlight w:val="none"/>
              </w:rPr>
              <w:t>5、</w:t>
            </w:r>
            <w:r>
              <w:rPr>
                <w:rFonts w:hint="eastAsia"/>
                <w:color w:val="auto"/>
                <w:szCs w:val="21"/>
                <w:highlight w:val="none"/>
              </w:rPr>
              <w:t>投标人获得过高新技术企业证书（</w:t>
            </w:r>
            <w:r>
              <w:rPr>
                <w:rFonts w:hint="eastAsia" w:ascii="宋体" w:hAnsi="宋体" w:cs="楷体_GB2312"/>
                <w:color w:val="auto"/>
                <w:szCs w:val="21"/>
                <w:highlight w:val="none"/>
                <w:lang w:val="zh-CN" w:bidi="zh-CN"/>
              </w:rPr>
              <w:t>且</w:t>
            </w:r>
            <w:r>
              <w:rPr>
                <w:rFonts w:hint="eastAsia" w:ascii="宋体" w:hAnsi="宋体" w:cs="楷体_GB2312"/>
                <w:color w:val="auto"/>
                <w:szCs w:val="21"/>
                <w:highlight w:val="none"/>
                <w:lang w:bidi="zh-CN"/>
              </w:rPr>
              <w:t>证书</w:t>
            </w:r>
            <w:r>
              <w:rPr>
                <w:rFonts w:hint="eastAsia" w:ascii="宋体" w:hAnsi="宋体" w:cs="楷体_GB2312"/>
                <w:color w:val="auto"/>
                <w:szCs w:val="21"/>
                <w:highlight w:val="none"/>
                <w:lang w:val="zh-CN" w:bidi="zh-CN"/>
              </w:rPr>
              <w:t>在有效期内）的得</w:t>
            </w:r>
            <w:r>
              <w:rPr>
                <w:rFonts w:hint="eastAsia" w:ascii="宋体" w:hAnsi="宋体" w:cs="楷体_GB2312"/>
                <w:color w:val="auto"/>
                <w:szCs w:val="21"/>
                <w:highlight w:val="none"/>
                <w:lang w:bidi="zh-CN"/>
              </w:rPr>
              <w:t>4</w:t>
            </w:r>
            <w:r>
              <w:rPr>
                <w:rFonts w:hint="eastAsia" w:ascii="宋体" w:hAnsi="宋体" w:cs="楷体_GB2312"/>
                <w:color w:val="auto"/>
                <w:szCs w:val="21"/>
                <w:highlight w:val="none"/>
                <w:lang w:val="zh-CN" w:bidi="zh-CN"/>
              </w:rPr>
              <w:t>分</w:t>
            </w:r>
            <w:r>
              <w:rPr>
                <w:rFonts w:hint="eastAsia" w:ascii="宋体" w:hAnsi="宋体"/>
                <w:color w:val="auto"/>
                <w:szCs w:val="21"/>
                <w:highlight w:val="none"/>
                <w:lang w:bidi="zh-CN"/>
              </w:rPr>
              <w:t>。</w:t>
            </w:r>
            <w:r>
              <w:rPr>
                <w:rFonts w:hint="eastAsia" w:ascii="宋体" w:hAnsi="宋体" w:cs="楷体_GB2312"/>
                <w:color w:val="auto"/>
                <w:szCs w:val="21"/>
                <w:highlight w:val="none"/>
                <w:lang w:val="zh-CN" w:bidi="zh-CN"/>
              </w:rPr>
              <w:t>没有则不得分。本项最多得</w:t>
            </w:r>
            <w:r>
              <w:rPr>
                <w:rFonts w:hint="eastAsia" w:ascii="宋体" w:hAnsi="宋体" w:cs="楷体_GB2312"/>
                <w:color w:val="auto"/>
                <w:szCs w:val="21"/>
                <w:highlight w:val="none"/>
                <w:u w:val="single"/>
                <w:lang w:bidi="zh-CN"/>
              </w:rPr>
              <w:t xml:space="preserve">4 </w:t>
            </w:r>
            <w:r>
              <w:rPr>
                <w:rFonts w:hint="eastAsia" w:ascii="宋体" w:hAnsi="宋体" w:cs="楷体_GB2312"/>
                <w:color w:val="auto"/>
                <w:szCs w:val="21"/>
                <w:highlight w:val="none"/>
                <w:lang w:val="zh-CN" w:bidi="zh-CN"/>
              </w:rPr>
              <w:t>分。</w:t>
            </w:r>
          </w:p>
          <w:p>
            <w:pPr>
              <w:jc w:val="left"/>
              <w:rPr>
                <w:b/>
                <w:color w:val="auto"/>
                <w:szCs w:val="21"/>
                <w:highlight w:val="none"/>
              </w:rPr>
            </w:pPr>
            <w:r>
              <w:rPr>
                <w:rFonts w:hint="eastAsia"/>
                <w:b/>
                <w:color w:val="auto"/>
                <w:szCs w:val="21"/>
                <w:highlight w:val="none"/>
              </w:rPr>
              <w:t>注：须提供相关证书的清晰扫描件</w:t>
            </w:r>
            <w:r>
              <w:rPr>
                <w:rFonts w:hint="eastAsia"/>
                <w:b/>
                <w:bCs/>
                <w:color w:val="auto"/>
                <w:szCs w:val="21"/>
                <w:highlight w:val="none"/>
              </w:rPr>
              <w:t>，没有提供或不符合要求的不得分。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00" w:type="dxa"/>
            <w:gridSpan w:val="2"/>
            <w:vMerge w:val="continue"/>
            <w:tcBorders>
              <w:right w:val="single" w:color="auto" w:sz="4" w:space="0"/>
            </w:tcBorders>
            <w:vAlign w:val="center"/>
          </w:tcPr>
          <w:p>
            <w:pPr>
              <w:spacing w:line="400" w:lineRule="exact"/>
              <w:rPr>
                <w:color w:val="auto"/>
                <w:highlight w:val="none"/>
              </w:rPr>
            </w:pPr>
          </w:p>
        </w:tc>
        <w:tc>
          <w:tcPr>
            <w:tcW w:w="1227" w:type="dxa"/>
            <w:vMerge w:val="continue"/>
            <w:tcBorders>
              <w:right w:val="single" w:color="auto" w:sz="4" w:space="0"/>
            </w:tcBorders>
            <w:vAlign w:val="center"/>
          </w:tcPr>
          <w:p>
            <w:pPr>
              <w:snapToGrid w:val="0"/>
              <w:spacing w:line="400" w:lineRule="exact"/>
              <w:rPr>
                <w:color w:val="auto"/>
                <w:highlight w:val="none"/>
              </w:rPr>
            </w:pPr>
          </w:p>
        </w:tc>
        <w:tc>
          <w:tcPr>
            <w:tcW w:w="1945" w:type="dxa"/>
            <w:vMerge w:val="restart"/>
            <w:tcBorders>
              <w:top w:val="single" w:color="auto" w:sz="4" w:space="0"/>
              <w:left w:val="single" w:color="auto" w:sz="4" w:space="0"/>
              <w:right w:val="single" w:color="auto" w:sz="4" w:space="0"/>
            </w:tcBorders>
            <w:vAlign w:val="center"/>
          </w:tcPr>
          <w:p>
            <w:pPr>
              <w:spacing w:before="100" w:beforeAutospacing="1" w:after="100" w:afterAutospacing="1"/>
              <w:contextualSpacing/>
              <w:jc w:val="center"/>
              <w:rPr>
                <w:rFonts w:ascii="宋体" w:hAnsi="宋体"/>
                <w:color w:val="auto"/>
                <w:szCs w:val="21"/>
                <w:highlight w:val="none"/>
              </w:rPr>
            </w:pPr>
          </w:p>
          <w:p>
            <w:pPr>
              <w:spacing w:before="100" w:beforeAutospacing="1" w:after="100" w:afterAutospacing="1"/>
              <w:contextualSpacing/>
              <w:jc w:val="center"/>
              <w:rPr>
                <w:rFonts w:ascii="宋体" w:hAnsi="宋体"/>
                <w:color w:val="auto"/>
                <w:szCs w:val="21"/>
                <w:highlight w:val="none"/>
              </w:rPr>
            </w:pPr>
            <w:r>
              <w:rPr>
                <w:rFonts w:hint="eastAsia" w:ascii="宋体" w:hAnsi="宋体" w:cs="宋体"/>
                <w:color w:val="auto"/>
                <w:szCs w:val="21"/>
                <w:highlight w:val="none"/>
              </w:rPr>
              <w:t>投入人员综合水平（20分）</w:t>
            </w:r>
          </w:p>
        </w:tc>
        <w:tc>
          <w:tcPr>
            <w:tcW w:w="52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contextualSpacing/>
              <w:jc w:val="left"/>
              <w:rPr>
                <w:rFonts w:ascii="宋体" w:hAnsi="宋体"/>
                <w:color w:val="auto"/>
                <w:szCs w:val="21"/>
                <w:highlight w:val="none"/>
              </w:rPr>
            </w:pPr>
            <w:r>
              <w:rPr>
                <w:rFonts w:hint="eastAsia" w:ascii="宋体" w:hAnsi="宋体"/>
                <w:color w:val="auto"/>
                <w:szCs w:val="21"/>
                <w:highlight w:val="none"/>
              </w:rPr>
              <w:t>项目负责人（5分）：</w:t>
            </w:r>
          </w:p>
          <w:p>
            <w:pPr>
              <w:spacing w:before="100" w:beforeAutospacing="1" w:after="100" w:afterAutospacing="1"/>
              <w:contextualSpacing/>
              <w:jc w:val="left"/>
              <w:rPr>
                <w:rFonts w:ascii="宋体" w:hAnsi="宋体"/>
                <w:color w:val="auto"/>
                <w:szCs w:val="21"/>
                <w:highlight w:val="none"/>
                <w:lang w:val="zh-CN" w:bidi="zh-CN"/>
              </w:rPr>
            </w:pPr>
            <w:r>
              <w:rPr>
                <w:rFonts w:hint="eastAsia" w:ascii="宋体" w:hAnsi="宋体"/>
                <w:color w:val="auto"/>
                <w:szCs w:val="21"/>
                <w:highlight w:val="none"/>
                <w:lang w:val="zh-CN" w:bidi="zh-CN"/>
              </w:rPr>
              <w:t>（</w:t>
            </w:r>
            <w:r>
              <w:rPr>
                <w:rFonts w:hint="eastAsia" w:ascii="宋体" w:hAnsi="宋体"/>
                <w:color w:val="auto"/>
                <w:szCs w:val="21"/>
                <w:highlight w:val="none"/>
                <w:lang w:bidi="zh-CN"/>
              </w:rPr>
              <w:t>1</w:t>
            </w:r>
            <w:r>
              <w:rPr>
                <w:rFonts w:hint="eastAsia" w:ascii="宋体" w:hAnsi="宋体"/>
                <w:color w:val="auto"/>
                <w:szCs w:val="21"/>
                <w:highlight w:val="none"/>
                <w:lang w:val="zh-CN" w:bidi="zh-CN"/>
              </w:rPr>
              <w:t>）</w:t>
            </w:r>
            <w:r>
              <w:rPr>
                <w:rFonts w:hint="eastAsia" w:ascii="宋体" w:hAnsi="宋体"/>
                <w:color w:val="auto"/>
                <w:szCs w:val="21"/>
                <w:highlight w:val="none"/>
                <w:lang w:bidi="zh-CN"/>
              </w:rPr>
              <w:t>拟投入的项目负责人</w:t>
            </w:r>
            <w:r>
              <w:rPr>
                <w:rFonts w:hint="eastAsia" w:ascii="宋体" w:hAnsi="宋体"/>
                <w:color w:val="auto"/>
                <w:szCs w:val="21"/>
                <w:highlight w:val="none"/>
                <w:lang w:val="zh-CN" w:bidi="zh-CN"/>
              </w:rPr>
              <w:t>具有高级工程师或以上职称得</w:t>
            </w:r>
            <w:r>
              <w:rPr>
                <w:rFonts w:hint="eastAsia" w:ascii="宋体" w:hAnsi="宋体"/>
                <w:color w:val="auto"/>
                <w:szCs w:val="21"/>
                <w:highlight w:val="none"/>
                <w:u w:val="single"/>
                <w:lang w:bidi="zh-CN"/>
              </w:rPr>
              <w:t>3</w:t>
            </w:r>
            <w:r>
              <w:rPr>
                <w:rFonts w:hint="eastAsia" w:ascii="宋体" w:hAnsi="宋体"/>
                <w:color w:val="auto"/>
                <w:szCs w:val="21"/>
                <w:highlight w:val="none"/>
                <w:lang w:val="zh-CN" w:bidi="zh-CN"/>
              </w:rPr>
              <w:t>分，具有</w:t>
            </w:r>
            <w:r>
              <w:rPr>
                <w:rFonts w:hint="eastAsia" w:ascii="宋体" w:hAnsi="宋体"/>
                <w:color w:val="auto"/>
                <w:szCs w:val="21"/>
                <w:highlight w:val="none"/>
                <w:lang w:bidi="zh-CN"/>
              </w:rPr>
              <w:t>中</w:t>
            </w:r>
            <w:r>
              <w:rPr>
                <w:rFonts w:hint="eastAsia" w:ascii="宋体" w:hAnsi="宋体"/>
                <w:color w:val="auto"/>
                <w:szCs w:val="21"/>
                <w:highlight w:val="none"/>
                <w:lang w:val="zh-CN" w:bidi="zh-CN"/>
              </w:rPr>
              <w:t>级工程师职称得</w:t>
            </w:r>
            <w:r>
              <w:rPr>
                <w:rFonts w:hint="eastAsia" w:ascii="宋体" w:hAnsi="宋体"/>
                <w:color w:val="auto"/>
                <w:szCs w:val="21"/>
                <w:highlight w:val="none"/>
                <w:u w:val="single"/>
                <w:lang w:bidi="zh-CN"/>
              </w:rPr>
              <w:t>1</w:t>
            </w:r>
            <w:r>
              <w:rPr>
                <w:rFonts w:hint="eastAsia" w:ascii="宋体" w:hAnsi="宋体"/>
                <w:color w:val="auto"/>
                <w:szCs w:val="21"/>
                <w:highlight w:val="none"/>
                <w:lang w:val="zh-CN" w:bidi="zh-CN"/>
              </w:rPr>
              <w:t>分，没有不得分；</w:t>
            </w:r>
          </w:p>
          <w:p>
            <w:pPr>
              <w:jc w:val="left"/>
              <w:rPr>
                <w:rFonts w:ascii="宋体" w:hAnsi="宋体"/>
                <w:color w:val="auto"/>
                <w:szCs w:val="21"/>
                <w:highlight w:val="none"/>
                <w:lang w:val="zh-CN" w:bidi="zh-CN"/>
              </w:rPr>
            </w:pPr>
            <w:r>
              <w:rPr>
                <w:rFonts w:hint="eastAsia" w:ascii="宋体" w:hAnsi="宋体"/>
                <w:color w:val="auto"/>
                <w:szCs w:val="21"/>
                <w:highlight w:val="none"/>
                <w:lang w:bidi="zh-CN"/>
              </w:rPr>
              <w:t>（</w:t>
            </w:r>
            <w:r>
              <w:rPr>
                <w:rFonts w:ascii="宋体" w:hAnsi="宋体"/>
                <w:color w:val="auto"/>
                <w:szCs w:val="21"/>
                <w:highlight w:val="none"/>
                <w:lang w:bidi="zh-CN"/>
              </w:rPr>
              <w:t>2）</w:t>
            </w:r>
            <w:r>
              <w:rPr>
                <w:rFonts w:hint="eastAsia" w:ascii="宋体" w:hAnsi="宋体"/>
                <w:color w:val="auto"/>
                <w:szCs w:val="21"/>
                <w:highlight w:val="none"/>
                <w:lang w:val="zh-CN" w:bidi="zh-CN"/>
              </w:rPr>
              <w:t>持有建设行政主管部门或其委托的机构、行业协会颁发的检测员证或检测鉴定培训合格证(检测项目不少于1项)得</w:t>
            </w:r>
            <w:r>
              <w:rPr>
                <w:rFonts w:hint="eastAsia" w:ascii="宋体" w:hAnsi="宋体"/>
                <w:color w:val="auto"/>
                <w:szCs w:val="21"/>
                <w:highlight w:val="none"/>
                <w:u w:val="single"/>
                <w:lang w:bidi="zh-CN"/>
              </w:rPr>
              <w:t>2</w:t>
            </w:r>
            <w:r>
              <w:rPr>
                <w:rFonts w:hint="eastAsia" w:ascii="宋体" w:hAnsi="宋体"/>
                <w:color w:val="auto"/>
                <w:szCs w:val="21"/>
                <w:highlight w:val="none"/>
                <w:lang w:val="zh-CN" w:bidi="zh-CN"/>
              </w:rPr>
              <w:t>分，没有不得分；</w:t>
            </w:r>
          </w:p>
          <w:p>
            <w:pPr>
              <w:jc w:val="left"/>
              <w:rPr>
                <w:rFonts w:ascii="宋体" w:hAnsi="宋体"/>
                <w:color w:val="auto"/>
                <w:szCs w:val="21"/>
                <w:highlight w:val="none"/>
                <w:lang w:val="zh-CN" w:bidi="zh-CN"/>
              </w:rPr>
            </w:pPr>
            <w:r>
              <w:rPr>
                <w:rFonts w:hint="eastAsia" w:ascii="宋体" w:hAnsi="宋体"/>
                <w:color w:val="auto"/>
                <w:szCs w:val="21"/>
                <w:highlight w:val="none"/>
                <w:lang w:val="zh-CN" w:bidi="zh-CN"/>
              </w:rPr>
              <w:t>本项最多得</w:t>
            </w:r>
            <w:r>
              <w:rPr>
                <w:rFonts w:hint="eastAsia" w:ascii="宋体" w:hAnsi="宋体"/>
                <w:color w:val="auto"/>
                <w:szCs w:val="21"/>
                <w:highlight w:val="none"/>
                <w:u w:val="single"/>
                <w:lang w:val="zh-CN" w:bidi="zh-CN"/>
              </w:rPr>
              <w:t xml:space="preserve"> 5 </w:t>
            </w:r>
            <w:r>
              <w:rPr>
                <w:rFonts w:hint="eastAsia" w:ascii="宋体" w:hAnsi="宋体"/>
                <w:color w:val="auto"/>
                <w:szCs w:val="21"/>
                <w:highlight w:val="none"/>
                <w:lang w:val="zh-CN" w:bidi="zh-CN"/>
              </w:rPr>
              <w:t>分。</w:t>
            </w:r>
          </w:p>
          <w:p>
            <w:pPr>
              <w:jc w:val="left"/>
              <w:rPr>
                <w:rFonts w:ascii="宋体" w:hAnsi="宋体"/>
                <w:color w:val="auto"/>
                <w:szCs w:val="21"/>
                <w:highlight w:val="none"/>
              </w:rPr>
            </w:pPr>
            <w:r>
              <w:rPr>
                <w:rFonts w:hint="eastAsia" w:ascii="宋体" w:hAnsi="宋体"/>
                <w:b/>
                <w:color w:val="auto"/>
                <w:szCs w:val="21"/>
                <w:highlight w:val="none"/>
                <w:lang w:bidi="zh-CN"/>
              </w:rPr>
              <w:t>注：</w:t>
            </w:r>
            <w:r>
              <w:rPr>
                <w:rFonts w:hint="eastAsia"/>
                <w:b/>
                <w:color w:val="auto"/>
                <w:szCs w:val="21"/>
                <w:highlight w:val="none"/>
              </w:rPr>
              <w:t>须提供身份证、</w:t>
            </w:r>
            <w:r>
              <w:rPr>
                <w:rFonts w:hint="eastAsia" w:ascii="宋体" w:hAnsi="宋体" w:cs="宋体"/>
                <w:b/>
                <w:color w:val="auto"/>
                <w:szCs w:val="21"/>
                <w:highlight w:val="none"/>
              </w:rPr>
              <w:t>职称证、检测员证、</w:t>
            </w:r>
            <w:r>
              <w:rPr>
                <w:rFonts w:hint="eastAsia" w:ascii="宋体" w:hAnsi="宋体"/>
                <w:b/>
                <w:color w:val="auto"/>
                <w:szCs w:val="21"/>
                <w:highlight w:val="none"/>
                <w:lang w:bidi="zh-CN"/>
              </w:rPr>
              <w:t>及社保证明的清晰扫描件</w:t>
            </w:r>
            <w:r>
              <w:rPr>
                <w:rFonts w:hint="eastAsia"/>
                <w:b/>
                <w:bCs/>
                <w:color w:val="auto"/>
                <w:szCs w:val="21"/>
                <w:highlight w:val="none"/>
              </w:rPr>
              <w:t>，没有提供或不符合要求的不得分。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0" w:type="dxa"/>
            <w:gridSpan w:val="2"/>
            <w:vMerge w:val="continue"/>
            <w:tcBorders>
              <w:right w:val="single" w:color="auto" w:sz="4" w:space="0"/>
            </w:tcBorders>
            <w:vAlign w:val="center"/>
          </w:tcPr>
          <w:p>
            <w:pPr>
              <w:spacing w:line="400" w:lineRule="exact"/>
              <w:rPr>
                <w:color w:val="auto"/>
                <w:highlight w:val="none"/>
              </w:rPr>
            </w:pPr>
          </w:p>
        </w:tc>
        <w:tc>
          <w:tcPr>
            <w:tcW w:w="1227" w:type="dxa"/>
            <w:vMerge w:val="continue"/>
            <w:tcBorders>
              <w:right w:val="single" w:color="auto" w:sz="4" w:space="0"/>
            </w:tcBorders>
            <w:vAlign w:val="center"/>
          </w:tcPr>
          <w:p>
            <w:pPr>
              <w:snapToGrid w:val="0"/>
              <w:spacing w:line="400" w:lineRule="exact"/>
              <w:rPr>
                <w:color w:val="auto"/>
                <w:highlight w:val="none"/>
              </w:rPr>
            </w:pPr>
          </w:p>
        </w:tc>
        <w:tc>
          <w:tcPr>
            <w:tcW w:w="1945" w:type="dxa"/>
            <w:vMerge w:val="continue"/>
            <w:tcBorders>
              <w:left w:val="single" w:color="auto" w:sz="4" w:space="0"/>
              <w:right w:val="single" w:color="auto" w:sz="4" w:space="0"/>
            </w:tcBorders>
            <w:vAlign w:val="center"/>
          </w:tcPr>
          <w:p>
            <w:pPr>
              <w:spacing w:before="100" w:beforeAutospacing="1" w:after="100" w:afterAutospacing="1"/>
              <w:contextualSpacing/>
              <w:jc w:val="center"/>
              <w:rPr>
                <w:rFonts w:ascii="宋体" w:hAnsi="宋体"/>
                <w:color w:val="auto"/>
                <w:szCs w:val="21"/>
                <w:highlight w:val="none"/>
              </w:rPr>
            </w:pPr>
          </w:p>
        </w:tc>
        <w:tc>
          <w:tcPr>
            <w:tcW w:w="52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contextualSpacing/>
              <w:jc w:val="left"/>
              <w:rPr>
                <w:rFonts w:ascii="宋体" w:hAnsi="宋体"/>
                <w:color w:val="auto"/>
                <w:szCs w:val="21"/>
                <w:highlight w:val="none"/>
              </w:rPr>
            </w:pPr>
            <w:r>
              <w:rPr>
                <w:rFonts w:hint="eastAsia" w:ascii="宋体" w:hAnsi="宋体"/>
                <w:color w:val="auto"/>
                <w:szCs w:val="21"/>
                <w:highlight w:val="none"/>
              </w:rPr>
              <w:t>技术负责人（5分）：</w:t>
            </w:r>
          </w:p>
          <w:p>
            <w:pPr>
              <w:spacing w:before="100" w:beforeAutospacing="1" w:after="100" w:afterAutospacing="1"/>
              <w:contextualSpacing/>
              <w:jc w:val="left"/>
              <w:rPr>
                <w:rFonts w:ascii="宋体" w:hAnsi="宋体"/>
                <w:color w:val="auto"/>
                <w:szCs w:val="21"/>
                <w:highlight w:val="none"/>
                <w:lang w:val="zh-CN" w:bidi="zh-CN"/>
              </w:rPr>
            </w:pPr>
            <w:r>
              <w:rPr>
                <w:rFonts w:hint="eastAsia" w:ascii="宋体" w:hAnsi="宋体"/>
                <w:color w:val="auto"/>
                <w:szCs w:val="21"/>
                <w:highlight w:val="none"/>
                <w:lang w:val="zh-CN" w:bidi="zh-CN"/>
              </w:rPr>
              <w:t>（</w:t>
            </w:r>
            <w:r>
              <w:rPr>
                <w:rFonts w:hint="eastAsia" w:ascii="宋体" w:hAnsi="宋体"/>
                <w:color w:val="auto"/>
                <w:szCs w:val="21"/>
                <w:highlight w:val="none"/>
                <w:lang w:bidi="zh-CN"/>
              </w:rPr>
              <w:t>1</w:t>
            </w:r>
            <w:r>
              <w:rPr>
                <w:rFonts w:hint="eastAsia" w:ascii="宋体" w:hAnsi="宋体"/>
                <w:color w:val="auto"/>
                <w:szCs w:val="21"/>
                <w:highlight w:val="none"/>
                <w:lang w:val="zh-CN" w:bidi="zh-CN"/>
              </w:rPr>
              <w:t>）</w:t>
            </w:r>
            <w:r>
              <w:rPr>
                <w:rFonts w:hint="eastAsia" w:ascii="宋体" w:hAnsi="宋体"/>
                <w:color w:val="auto"/>
                <w:szCs w:val="21"/>
                <w:highlight w:val="none"/>
                <w:lang w:bidi="zh-CN"/>
              </w:rPr>
              <w:t>拟投入的技术负责人</w:t>
            </w:r>
            <w:r>
              <w:rPr>
                <w:rFonts w:hint="eastAsia" w:ascii="宋体" w:hAnsi="宋体"/>
                <w:color w:val="auto"/>
                <w:szCs w:val="21"/>
                <w:highlight w:val="none"/>
                <w:lang w:val="zh-CN" w:bidi="zh-CN"/>
              </w:rPr>
              <w:t>具有高级工程师或以上职称得</w:t>
            </w:r>
            <w:r>
              <w:rPr>
                <w:rFonts w:hint="eastAsia" w:ascii="宋体" w:hAnsi="宋体"/>
                <w:color w:val="auto"/>
                <w:szCs w:val="21"/>
                <w:highlight w:val="none"/>
                <w:u w:val="single"/>
                <w:lang w:bidi="zh-CN"/>
              </w:rPr>
              <w:t>3</w:t>
            </w:r>
            <w:r>
              <w:rPr>
                <w:rFonts w:hint="eastAsia" w:ascii="宋体" w:hAnsi="宋体"/>
                <w:color w:val="auto"/>
                <w:szCs w:val="21"/>
                <w:highlight w:val="none"/>
                <w:lang w:val="zh-CN" w:bidi="zh-CN"/>
              </w:rPr>
              <w:t>分，具有</w:t>
            </w:r>
            <w:r>
              <w:rPr>
                <w:rFonts w:hint="eastAsia" w:ascii="宋体" w:hAnsi="宋体"/>
                <w:color w:val="auto"/>
                <w:szCs w:val="21"/>
                <w:highlight w:val="none"/>
                <w:lang w:bidi="zh-CN"/>
              </w:rPr>
              <w:t>中</w:t>
            </w:r>
            <w:r>
              <w:rPr>
                <w:rFonts w:hint="eastAsia" w:ascii="宋体" w:hAnsi="宋体"/>
                <w:color w:val="auto"/>
                <w:szCs w:val="21"/>
                <w:highlight w:val="none"/>
                <w:lang w:val="zh-CN" w:bidi="zh-CN"/>
              </w:rPr>
              <w:t>级工程师职称得</w:t>
            </w:r>
            <w:r>
              <w:rPr>
                <w:rFonts w:hint="eastAsia" w:ascii="宋体" w:hAnsi="宋体"/>
                <w:color w:val="auto"/>
                <w:szCs w:val="21"/>
                <w:highlight w:val="none"/>
                <w:u w:val="single"/>
                <w:lang w:bidi="zh-CN"/>
              </w:rPr>
              <w:t>1</w:t>
            </w:r>
            <w:r>
              <w:rPr>
                <w:rFonts w:hint="eastAsia" w:ascii="宋体" w:hAnsi="宋体"/>
                <w:color w:val="auto"/>
                <w:szCs w:val="21"/>
                <w:highlight w:val="none"/>
                <w:lang w:val="zh-CN" w:bidi="zh-CN"/>
              </w:rPr>
              <w:t>分，没有不得分；</w:t>
            </w:r>
          </w:p>
          <w:p>
            <w:pPr>
              <w:jc w:val="left"/>
              <w:rPr>
                <w:rFonts w:ascii="宋体" w:hAnsi="宋体"/>
                <w:color w:val="auto"/>
                <w:szCs w:val="21"/>
                <w:highlight w:val="none"/>
                <w:lang w:val="zh-CN" w:bidi="zh-CN"/>
              </w:rPr>
            </w:pPr>
            <w:r>
              <w:rPr>
                <w:rFonts w:hint="eastAsia" w:ascii="宋体" w:hAnsi="宋体"/>
                <w:color w:val="auto"/>
                <w:szCs w:val="21"/>
                <w:highlight w:val="none"/>
                <w:lang w:bidi="zh-CN"/>
              </w:rPr>
              <w:t>（</w:t>
            </w:r>
            <w:r>
              <w:rPr>
                <w:rFonts w:ascii="宋体" w:hAnsi="宋体"/>
                <w:color w:val="auto"/>
                <w:szCs w:val="21"/>
                <w:highlight w:val="none"/>
                <w:lang w:bidi="zh-CN"/>
              </w:rPr>
              <w:t>2）</w:t>
            </w:r>
            <w:r>
              <w:rPr>
                <w:rFonts w:hint="eastAsia" w:ascii="宋体" w:hAnsi="宋体"/>
                <w:color w:val="auto"/>
                <w:szCs w:val="21"/>
                <w:highlight w:val="none"/>
                <w:lang w:val="zh-CN" w:bidi="zh-CN"/>
              </w:rPr>
              <w:t>持有建设行政主管部门或其委托的机构、行业协会颁发的检测员证或检测鉴定培训合格证(检测项目不少于1项)得</w:t>
            </w:r>
            <w:r>
              <w:rPr>
                <w:rFonts w:hint="eastAsia" w:ascii="宋体" w:hAnsi="宋体"/>
                <w:color w:val="auto"/>
                <w:szCs w:val="21"/>
                <w:highlight w:val="none"/>
                <w:u w:val="single"/>
                <w:lang w:bidi="zh-CN"/>
              </w:rPr>
              <w:t>2</w:t>
            </w:r>
            <w:r>
              <w:rPr>
                <w:rFonts w:hint="eastAsia" w:ascii="宋体" w:hAnsi="宋体"/>
                <w:color w:val="auto"/>
                <w:szCs w:val="21"/>
                <w:highlight w:val="none"/>
                <w:lang w:val="zh-CN" w:bidi="zh-CN"/>
              </w:rPr>
              <w:t>分，没有不得分；</w:t>
            </w:r>
          </w:p>
          <w:p>
            <w:pPr>
              <w:jc w:val="left"/>
              <w:rPr>
                <w:rFonts w:ascii="宋体" w:hAnsi="宋体"/>
                <w:color w:val="auto"/>
                <w:szCs w:val="21"/>
                <w:highlight w:val="none"/>
                <w:lang w:val="zh-CN" w:bidi="zh-CN"/>
              </w:rPr>
            </w:pPr>
            <w:r>
              <w:rPr>
                <w:rFonts w:hint="eastAsia" w:ascii="宋体" w:hAnsi="宋体"/>
                <w:color w:val="auto"/>
                <w:szCs w:val="21"/>
                <w:highlight w:val="none"/>
                <w:lang w:val="zh-CN" w:bidi="zh-CN"/>
              </w:rPr>
              <w:t>本项最多得</w:t>
            </w:r>
            <w:r>
              <w:rPr>
                <w:rFonts w:hint="eastAsia" w:ascii="宋体" w:hAnsi="宋体"/>
                <w:color w:val="auto"/>
                <w:szCs w:val="21"/>
                <w:highlight w:val="none"/>
                <w:u w:val="single"/>
                <w:lang w:val="zh-CN" w:bidi="zh-CN"/>
              </w:rPr>
              <w:t xml:space="preserve"> 5 </w:t>
            </w:r>
            <w:r>
              <w:rPr>
                <w:rFonts w:hint="eastAsia" w:ascii="宋体" w:hAnsi="宋体"/>
                <w:color w:val="auto"/>
                <w:szCs w:val="21"/>
                <w:highlight w:val="none"/>
                <w:lang w:val="zh-CN" w:bidi="zh-CN"/>
              </w:rPr>
              <w:t>分。</w:t>
            </w:r>
          </w:p>
          <w:p>
            <w:pPr>
              <w:jc w:val="left"/>
              <w:rPr>
                <w:rFonts w:ascii="宋体" w:hAnsi="宋体"/>
                <w:b/>
                <w:color w:val="auto"/>
                <w:szCs w:val="21"/>
                <w:highlight w:val="none"/>
                <w:lang w:bidi="zh-CN"/>
              </w:rPr>
            </w:pPr>
            <w:r>
              <w:rPr>
                <w:rFonts w:hint="eastAsia" w:ascii="宋体" w:hAnsi="宋体"/>
                <w:b/>
                <w:color w:val="auto"/>
                <w:szCs w:val="21"/>
                <w:highlight w:val="none"/>
                <w:lang w:bidi="zh-CN"/>
              </w:rPr>
              <w:t>注：</w:t>
            </w:r>
            <w:r>
              <w:rPr>
                <w:rFonts w:hint="eastAsia"/>
                <w:b/>
                <w:color w:val="auto"/>
                <w:szCs w:val="21"/>
                <w:highlight w:val="none"/>
              </w:rPr>
              <w:t>须提供身份证、</w:t>
            </w:r>
            <w:r>
              <w:rPr>
                <w:rFonts w:hint="eastAsia" w:ascii="宋体" w:hAnsi="宋体" w:cs="宋体"/>
                <w:b/>
                <w:color w:val="auto"/>
                <w:szCs w:val="21"/>
                <w:highlight w:val="none"/>
              </w:rPr>
              <w:t>职称证、检测员证、</w:t>
            </w:r>
            <w:r>
              <w:rPr>
                <w:rFonts w:hint="eastAsia" w:ascii="宋体" w:hAnsi="宋体"/>
                <w:b/>
                <w:color w:val="auto"/>
                <w:szCs w:val="21"/>
                <w:highlight w:val="none"/>
                <w:lang w:bidi="zh-CN"/>
              </w:rPr>
              <w:t>及社保证明的清晰扫描件</w:t>
            </w:r>
            <w:r>
              <w:rPr>
                <w:rFonts w:hint="eastAsia"/>
                <w:b/>
                <w:bCs/>
                <w:color w:val="auto"/>
                <w:szCs w:val="21"/>
                <w:highlight w:val="none"/>
              </w:rPr>
              <w:t>，没有提供或不符合要求的不得分。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0" w:type="dxa"/>
            <w:gridSpan w:val="2"/>
            <w:vMerge w:val="continue"/>
            <w:tcBorders>
              <w:right w:val="single" w:color="auto" w:sz="4" w:space="0"/>
            </w:tcBorders>
            <w:vAlign w:val="center"/>
          </w:tcPr>
          <w:p>
            <w:pPr>
              <w:spacing w:line="400" w:lineRule="exact"/>
              <w:rPr>
                <w:color w:val="auto"/>
                <w:highlight w:val="none"/>
              </w:rPr>
            </w:pPr>
          </w:p>
        </w:tc>
        <w:tc>
          <w:tcPr>
            <w:tcW w:w="1227" w:type="dxa"/>
            <w:vMerge w:val="continue"/>
            <w:tcBorders>
              <w:right w:val="single" w:color="auto" w:sz="4" w:space="0"/>
            </w:tcBorders>
            <w:vAlign w:val="center"/>
          </w:tcPr>
          <w:p>
            <w:pPr>
              <w:snapToGrid w:val="0"/>
              <w:spacing w:line="400" w:lineRule="exact"/>
              <w:rPr>
                <w:color w:val="auto"/>
                <w:highlight w:val="none"/>
              </w:rPr>
            </w:pPr>
          </w:p>
        </w:tc>
        <w:tc>
          <w:tcPr>
            <w:tcW w:w="1945"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contextualSpacing/>
              <w:jc w:val="center"/>
              <w:rPr>
                <w:rFonts w:ascii="宋体" w:hAnsi="宋体"/>
                <w:color w:val="auto"/>
                <w:szCs w:val="21"/>
                <w:highlight w:val="none"/>
              </w:rPr>
            </w:pPr>
          </w:p>
        </w:tc>
        <w:tc>
          <w:tcPr>
            <w:tcW w:w="528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34" w:rightChars="64"/>
              <w:jc w:val="left"/>
              <w:rPr>
                <w:color w:val="auto"/>
                <w:szCs w:val="21"/>
                <w:highlight w:val="none"/>
              </w:rPr>
            </w:pPr>
            <w:r>
              <w:rPr>
                <w:rFonts w:hint="eastAsia"/>
                <w:color w:val="auto"/>
                <w:szCs w:val="21"/>
                <w:highlight w:val="none"/>
              </w:rPr>
              <w:t>拟投入本项目的主要专业技术人员（不含项目负责人及技术负责人）（10分）：</w:t>
            </w:r>
          </w:p>
          <w:p>
            <w:pPr>
              <w:numPr>
                <w:ilvl w:val="0"/>
                <w:numId w:val="2"/>
              </w:numPr>
              <w:adjustRightInd w:val="0"/>
              <w:snapToGrid w:val="0"/>
              <w:ind w:right="134" w:rightChars="64"/>
              <w:jc w:val="left"/>
              <w:rPr>
                <w:rFonts w:ascii="宋体" w:hAnsi="宋体" w:cs="宋体"/>
                <w:color w:val="auto"/>
                <w:szCs w:val="21"/>
                <w:highlight w:val="none"/>
              </w:rPr>
            </w:pPr>
            <w:r>
              <w:rPr>
                <w:rFonts w:hint="eastAsia" w:ascii="宋体" w:hAnsi="宋体"/>
                <w:color w:val="auto"/>
                <w:szCs w:val="21"/>
                <w:highlight w:val="none"/>
                <w:lang w:val="zh-CN" w:bidi="zh-CN"/>
              </w:rPr>
              <w:t>持有建设行政主管部门或其委托的机构、行业协会颁发的检测员证或检测鉴定培训合格证(检测项目不少于1项)</w:t>
            </w:r>
            <w:r>
              <w:rPr>
                <w:rFonts w:hint="eastAsia"/>
                <w:color w:val="auto"/>
                <w:szCs w:val="21"/>
                <w:highlight w:val="none"/>
              </w:rPr>
              <w:t>；</w:t>
            </w:r>
            <w:r>
              <w:rPr>
                <w:rFonts w:hint="eastAsia" w:ascii="宋体" w:hAnsi="宋体" w:cs="宋体"/>
                <w:color w:val="auto"/>
                <w:szCs w:val="21"/>
                <w:highlight w:val="none"/>
              </w:rPr>
              <w:t>每满足1人得分0.5，本项最多得5分。</w:t>
            </w:r>
          </w:p>
          <w:p>
            <w:pPr>
              <w:numPr>
                <w:ilvl w:val="0"/>
                <w:numId w:val="2"/>
              </w:numPr>
              <w:adjustRightInd w:val="0"/>
              <w:snapToGrid w:val="0"/>
              <w:ind w:right="134" w:rightChars="64"/>
              <w:jc w:val="left"/>
              <w:rPr>
                <w:rFonts w:ascii="宋体" w:hAnsi="宋体" w:cs="宋体"/>
                <w:color w:val="auto"/>
                <w:szCs w:val="21"/>
                <w:highlight w:val="none"/>
              </w:rPr>
            </w:pPr>
            <w:r>
              <w:rPr>
                <w:rFonts w:hint="eastAsia" w:ascii="宋体" w:hAnsi="宋体" w:cs="宋体"/>
                <w:color w:val="auto"/>
                <w:szCs w:val="21"/>
                <w:highlight w:val="none"/>
              </w:rPr>
              <w:t>具有工程类高级工程师或以上职称的，每人加1分，具有工程类中级工程师职称的，每人加0.5分，本项最多得5分。</w:t>
            </w:r>
          </w:p>
          <w:p>
            <w:pPr>
              <w:rPr>
                <w:rFonts w:ascii="宋体" w:hAnsi="宋体"/>
                <w:color w:val="auto"/>
                <w:szCs w:val="21"/>
                <w:highlight w:val="none"/>
              </w:rPr>
            </w:pPr>
            <w:r>
              <w:rPr>
                <w:rFonts w:hint="eastAsia"/>
                <w:b/>
                <w:bCs/>
                <w:color w:val="auto"/>
                <w:szCs w:val="21"/>
                <w:highlight w:val="none"/>
              </w:rPr>
              <w:t>注：</w:t>
            </w:r>
            <w:r>
              <w:rPr>
                <w:rFonts w:hint="eastAsia"/>
                <w:b/>
                <w:color w:val="auto"/>
                <w:szCs w:val="21"/>
                <w:highlight w:val="none"/>
              </w:rPr>
              <w:t>须提供身份证、</w:t>
            </w:r>
            <w:r>
              <w:rPr>
                <w:rFonts w:hint="eastAsia" w:ascii="宋体" w:hAnsi="宋体" w:cs="宋体"/>
                <w:b/>
                <w:color w:val="auto"/>
                <w:szCs w:val="21"/>
                <w:highlight w:val="none"/>
              </w:rPr>
              <w:t>职称证、检测员证、</w:t>
            </w:r>
            <w:r>
              <w:rPr>
                <w:rFonts w:hint="eastAsia" w:ascii="宋体" w:hAnsi="宋体"/>
                <w:b/>
                <w:color w:val="auto"/>
                <w:szCs w:val="21"/>
                <w:highlight w:val="none"/>
                <w:lang w:bidi="zh-CN"/>
              </w:rPr>
              <w:t>及社保证明的清晰扫描件</w:t>
            </w:r>
            <w:r>
              <w:rPr>
                <w:rFonts w:hint="eastAsia"/>
                <w:b/>
                <w:bCs/>
                <w:color w:val="auto"/>
                <w:szCs w:val="21"/>
                <w:highlight w:val="none"/>
              </w:rPr>
              <w:t>，没有提供或不符合要求的不得分。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6" w:hRule="atLeast"/>
        </w:trPr>
        <w:tc>
          <w:tcPr>
            <w:tcW w:w="900" w:type="dxa"/>
            <w:gridSpan w:val="2"/>
            <w:vMerge w:val="restart"/>
            <w:tcBorders>
              <w:top w:val="single" w:color="auto" w:sz="4" w:space="0"/>
              <w:left w:val="single" w:color="auto" w:sz="4" w:space="0"/>
              <w:right w:val="single" w:color="auto" w:sz="4" w:space="0"/>
            </w:tcBorders>
            <w:vAlign w:val="center"/>
          </w:tcPr>
          <w:p>
            <w:pPr>
              <w:spacing w:line="400" w:lineRule="exact"/>
              <w:rPr>
                <w:color w:val="auto"/>
                <w:highlight w:val="none"/>
              </w:rPr>
            </w:pPr>
            <w:r>
              <w:rPr>
                <w:rFonts w:hint="eastAsia"/>
                <w:color w:val="auto"/>
                <w:highlight w:val="none"/>
              </w:rPr>
              <w:t>2.2.4（2）</w:t>
            </w:r>
          </w:p>
        </w:tc>
        <w:tc>
          <w:tcPr>
            <w:tcW w:w="1227" w:type="dxa"/>
            <w:vMerge w:val="restart"/>
            <w:tcBorders>
              <w:top w:val="single" w:color="auto" w:sz="4" w:space="0"/>
              <w:left w:val="single" w:color="auto" w:sz="4" w:space="0"/>
              <w:right w:val="single" w:color="auto" w:sz="4" w:space="0"/>
            </w:tcBorders>
            <w:vAlign w:val="center"/>
          </w:tcPr>
          <w:p>
            <w:pPr>
              <w:jc w:val="center"/>
              <w:rPr>
                <w:rFonts w:cs="Calibri"/>
                <w:color w:val="auto"/>
                <w:highlight w:val="none"/>
              </w:rPr>
            </w:pPr>
            <w:r>
              <w:rPr>
                <w:rFonts w:hint="eastAsia" w:ascii="宋体" w:hAnsi="宋体"/>
                <w:color w:val="auto"/>
                <w:szCs w:val="21"/>
                <w:highlight w:val="none"/>
              </w:rPr>
              <w:t>检测方案评分标准</w:t>
            </w:r>
            <w:r>
              <w:rPr>
                <w:rFonts w:hint="eastAsia" w:ascii="宋体" w:hAnsi="Courier New"/>
                <w:color w:val="auto"/>
                <w:szCs w:val="21"/>
                <w:highlight w:val="none"/>
              </w:rPr>
              <w:t>（15分）</w:t>
            </w:r>
          </w:p>
        </w:tc>
        <w:tc>
          <w:tcPr>
            <w:tcW w:w="1945"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bidi="zh-CN"/>
              </w:rPr>
              <w:t>拟投入本项设备计划（5分）</w:t>
            </w:r>
          </w:p>
        </w:tc>
        <w:tc>
          <w:tcPr>
            <w:tcW w:w="5284" w:type="dxa"/>
            <w:tcBorders>
              <w:top w:val="single" w:color="auto" w:sz="4" w:space="0"/>
              <w:left w:val="single" w:color="auto" w:sz="4" w:space="0"/>
              <w:right w:val="single" w:color="auto" w:sz="4" w:space="0"/>
            </w:tcBorders>
          </w:tcPr>
          <w:p>
            <w:pPr>
              <w:snapToGrid w:val="0"/>
              <w:jc w:val="left"/>
              <w:rPr>
                <w:rFonts w:ascii="宋体" w:hAnsi="宋体"/>
                <w:bCs/>
                <w:color w:val="auto"/>
                <w:szCs w:val="21"/>
                <w:highlight w:val="none"/>
                <w:lang w:bidi="zh-CN"/>
              </w:rPr>
            </w:pPr>
            <w:r>
              <w:rPr>
                <w:rFonts w:hint="eastAsia" w:ascii="宋体" w:hAnsi="宋体"/>
                <w:b/>
                <w:color w:val="auto"/>
                <w:szCs w:val="21"/>
                <w:highlight w:val="none"/>
                <w:lang w:bidi="zh-CN"/>
              </w:rPr>
              <w:t>优：</w:t>
            </w:r>
            <w:r>
              <w:rPr>
                <w:rFonts w:hint="eastAsia" w:ascii="宋体" w:hAnsi="宋体"/>
                <w:bCs/>
                <w:color w:val="auto"/>
                <w:szCs w:val="21"/>
                <w:highlight w:val="none"/>
                <w:lang w:bidi="zh-CN"/>
              </w:rPr>
              <w:t>设备齐全、先进、现代化，满足检测和工期需要，年检合格，并且全部设备属于自有，得4-5分：</w:t>
            </w:r>
          </w:p>
          <w:p>
            <w:pPr>
              <w:snapToGrid w:val="0"/>
              <w:jc w:val="left"/>
              <w:rPr>
                <w:rFonts w:ascii="宋体" w:hAnsi="宋体"/>
                <w:bCs/>
                <w:color w:val="auto"/>
                <w:szCs w:val="21"/>
                <w:highlight w:val="none"/>
                <w:lang w:bidi="zh-CN"/>
              </w:rPr>
            </w:pPr>
            <w:r>
              <w:rPr>
                <w:rFonts w:hint="eastAsia" w:ascii="宋体" w:hAnsi="宋体"/>
                <w:b/>
                <w:color w:val="auto"/>
                <w:szCs w:val="21"/>
                <w:highlight w:val="none"/>
                <w:lang w:bidi="zh-CN"/>
              </w:rPr>
              <w:t>良：</w:t>
            </w:r>
            <w:r>
              <w:rPr>
                <w:rFonts w:hint="eastAsia" w:ascii="宋体" w:hAnsi="宋体"/>
                <w:bCs/>
                <w:color w:val="auto"/>
                <w:szCs w:val="21"/>
                <w:highlight w:val="none"/>
                <w:lang w:bidi="zh-CN"/>
              </w:rPr>
              <w:t>设备齐全，满足检测和工期需要，设备年检合格，80％（含80%）以上（不含100%）设备属于自有，得2-3分；</w:t>
            </w:r>
          </w:p>
          <w:p>
            <w:pPr>
              <w:snapToGrid w:val="0"/>
              <w:jc w:val="left"/>
              <w:rPr>
                <w:rFonts w:ascii="宋体" w:hAnsi="宋体"/>
                <w:bCs/>
                <w:color w:val="auto"/>
                <w:szCs w:val="21"/>
                <w:highlight w:val="none"/>
                <w:lang w:bidi="zh-CN"/>
              </w:rPr>
            </w:pPr>
            <w:r>
              <w:rPr>
                <w:rFonts w:hint="eastAsia" w:ascii="宋体" w:hAnsi="宋体"/>
                <w:b/>
                <w:color w:val="auto"/>
                <w:szCs w:val="21"/>
                <w:highlight w:val="none"/>
                <w:lang w:bidi="zh-CN"/>
              </w:rPr>
              <w:t>中：</w:t>
            </w:r>
            <w:r>
              <w:rPr>
                <w:rFonts w:hint="eastAsia" w:ascii="宋体" w:hAnsi="宋体"/>
                <w:bCs/>
                <w:color w:val="auto"/>
                <w:szCs w:val="21"/>
                <w:highlight w:val="none"/>
                <w:lang w:bidi="zh-CN"/>
              </w:rPr>
              <w:t>设备齐全，设备年检合格，基本满足检测和工期要求，60％～80％（不含80%）设备属于自有，得1分；</w:t>
            </w:r>
          </w:p>
          <w:p>
            <w:pPr>
              <w:snapToGrid w:val="0"/>
              <w:jc w:val="left"/>
              <w:rPr>
                <w:rFonts w:ascii="宋体" w:hAnsi="宋体"/>
                <w:bCs/>
                <w:color w:val="auto"/>
                <w:szCs w:val="21"/>
                <w:highlight w:val="none"/>
                <w:lang w:bidi="zh-CN"/>
              </w:rPr>
            </w:pPr>
            <w:r>
              <w:rPr>
                <w:rFonts w:hint="eastAsia" w:ascii="宋体" w:hAnsi="宋体"/>
                <w:b/>
                <w:color w:val="auto"/>
                <w:szCs w:val="21"/>
                <w:highlight w:val="none"/>
                <w:lang w:bidi="zh-CN"/>
              </w:rPr>
              <w:t>差：</w:t>
            </w:r>
            <w:r>
              <w:rPr>
                <w:rFonts w:hint="eastAsia" w:ascii="宋体" w:hAnsi="宋体"/>
                <w:bCs/>
                <w:color w:val="auto"/>
                <w:szCs w:val="21"/>
                <w:highlight w:val="none"/>
                <w:lang w:bidi="zh-CN"/>
              </w:rPr>
              <w:t>设备不能满足检测和工期需要，60%（不含60%）以下设备属于自有，得0分。</w:t>
            </w:r>
          </w:p>
          <w:p>
            <w:pPr>
              <w:snapToGrid w:val="0"/>
              <w:jc w:val="left"/>
              <w:rPr>
                <w:rFonts w:ascii="宋体" w:hAnsi="宋体"/>
                <w:color w:val="auto"/>
                <w:szCs w:val="21"/>
                <w:highlight w:val="none"/>
              </w:rPr>
            </w:pPr>
            <w:r>
              <w:rPr>
                <w:rFonts w:hint="eastAsia" w:ascii="宋体" w:hAnsi="宋体"/>
                <w:b/>
                <w:color w:val="auto"/>
                <w:szCs w:val="21"/>
                <w:highlight w:val="none"/>
                <w:lang w:bidi="zh-CN"/>
              </w:rPr>
              <w:t>注：</w:t>
            </w:r>
            <w:r>
              <w:rPr>
                <w:rFonts w:hint="eastAsia" w:ascii="宋体" w:hAnsi="宋体" w:cs="宋体"/>
                <w:b/>
                <w:bCs/>
                <w:color w:val="auto"/>
                <w:szCs w:val="21"/>
                <w:highlight w:val="none"/>
              </w:rPr>
              <w:t>本项最多得5分。</w:t>
            </w:r>
            <w:r>
              <w:rPr>
                <w:rFonts w:hint="eastAsia" w:ascii="宋体" w:hAnsi="宋体"/>
                <w:b/>
                <w:color w:val="auto"/>
                <w:szCs w:val="21"/>
                <w:highlight w:val="none"/>
                <w:lang w:bidi="zh-CN"/>
              </w:rPr>
              <w:t>须提交设备购置发票、仪器检定证书或其他证明材料的清晰扫描件，未提供不得分。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7" w:hRule="atLeast"/>
        </w:trPr>
        <w:tc>
          <w:tcPr>
            <w:tcW w:w="900" w:type="dxa"/>
            <w:gridSpan w:val="2"/>
            <w:vMerge w:val="continue"/>
            <w:tcBorders>
              <w:left w:val="single" w:color="auto" w:sz="4" w:space="0"/>
              <w:right w:val="single" w:color="auto" w:sz="4" w:space="0"/>
            </w:tcBorders>
            <w:vAlign w:val="center"/>
          </w:tcPr>
          <w:p>
            <w:pPr>
              <w:spacing w:line="400" w:lineRule="exact"/>
              <w:rPr>
                <w:color w:val="auto"/>
                <w:highlight w:val="none"/>
              </w:rPr>
            </w:pPr>
          </w:p>
        </w:tc>
        <w:tc>
          <w:tcPr>
            <w:tcW w:w="1227" w:type="dxa"/>
            <w:vMerge w:val="continue"/>
            <w:tcBorders>
              <w:left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945"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lang w:bidi="zh-CN"/>
              </w:rPr>
            </w:pPr>
            <w:r>
              <w:rPr>
                <w:rFonts w:hint="eastAsia" w:ascii="宋体" w:hAnsi="宋体"/>
                <w:color w:val="auto"/>
                <w:szCs w:val="21"/>
                <w:highlight w:val="none"/>
                <w:lang w:bidi="zh-CN"/>
              </w:rPr>
              <w:t>检测方案</w:t>
            </w:r>
          </w:p>
          <w:p>
            <w:pPr>
              <w:jc w:val="center"/>
              <w:rPr>
                <w:rFonts w:ascii="宋体" w:hAnsi="宋体"/>
                <w:color w:val="auto"/>
                <w:szCs w:val="21"/>
                <w:highlight w:val="none"/>
              </w:rPr>
            </w:pPr>
            <w:r>
              <w:rPr>
                <w:rFonts w:hint="eastAsia" w:ascii="宋体" w:hAnsi="宋体"/>
                <w:color w:val="auto"/>
                <w:szCs w:val="21"/>
                <w:highlight w:val="none"/>
                <w:lang w:bidi="zh-CN"/>
              </w:rPr>
              <w:t>（10分）</w:t>
            </w:r>
          </w:p>
        </w:tc>
        <w:tc>
          <w:tcPr>
            <w:tcW w:w="5284" w:type="dxa"/>
            <w:tcBorders>
              <w:top w:val="single" w:color="auto" w:sz="4" w:space="0"/>
              <w:left w:val="single" w:color="auto" w:sz="4" w:space="0"/>
              <w:right w:val="single" w:color="auto" w:sz="4" w:space="0"/>
            </w:tcBorders>
          </w:tcPr>
          <w:p>
            <w:pPr>
              <w:snapToGrid w:val="0"/>
              <w:spacing w:line="240" w:lineRule="atLeast"/>
              <w:rPr>
                <w:rFonts w:ascii="宋体" w:hAnsi="宋体"/>
                <w:color w:val="auto"/>
                <w:szCs w:val="21"/>
                <w:highlight w:val="none"/>
              </w:rPr>
            </w:pPr>
            <w:r>
              <w:rPr>
                <w:rFonts w:hint="eastAsia" w:ascii="宋体" w:hAnsi="宋体"/>
                <w:b/>
                <w:bCs/>
                <w:color w:val="auto"/>
                <w:szCs w:val="21"/>
                <w:highlight w:val="none"/>
              </w:rPr>
              <w:t>优：</w:t>
            </w:r>
            <w:r>
              <w:rPr>
                <w:rFonts w:hint="eastAsia" w:ascii="宋体" w:hAnsi="宋体"/>
                <w:color w:val="auto"/>
                <w:szCs w:val="21"/>
                <w:highlight w:val="none"/>
              </w:rPr>
              <w:t>检测方案详细、思路清晰、合理，工作内容切实可行，对采用的检测技术、工艺有深入的表述，对重点难点有先进、合理的解决方案，质量服务保证措施具体可行，可操作性强，通过相关验收，满足工程进度。得8-10分。</w:t>
            </w:r>
          </w:p>
          <w:p>
            <w:pPr>
              <w:snapToGrid w:val="0"/>
              <w:spacing w:line="240" w:lineRule="atLeast"/>
              <w:rPr>
                <w:rFonts w:ascii="宋体" w:hAnsi="宋体"/>
                <w:color w:val="auto"/>
                <w:szCs w:val="21"/>
                <w:highlight w:val="none"/>
              </w:rPr>
            </w:pPr>
            <w:r>
              <w:rPr>
                <w:rFonts w:hint="eastAsia" w:ascii="宋体" w:hAnsi="宋体"/>
                <w:b/>
                <w:bCs/>
                <w:color w:val="auto"/>
                <w:szCs w:val="21"/>
                <w:highlight w:val="none"/>
              </w:rPr>
              <w:t>良：</w:t>
            </w:r>
            <w:r>
              <w:rPr>
                <w:rFonts w:hint="eastAsia" w:ascii="宋体" w:hAnsi="宋体"/>
                <w:color w:val="auto"/>
                <w:szCs w:val="21"/>
                <w:highlight w:val="none"/>
              </w:rPr>
              <w:t>检测方案较详细、思路较清晰、较合理，工作内容可行性一般，对采用的检测技术、工艺有表述，对重点难点有解决方案各项质量服务保证措施和可操作性一般，基本通过相关验收，满足工程进度。得4-7分。</w:t>
            </w:r>
          </w:p>
          <w:p>
            <w:pPr>
              <w:snapToGrid w:val="0"/>
              <w:spacing w:line="240" w:lineRule="atLeast"/>
              <w:rPr>
                <w:rFonts w:ascii="宋体" w:hAnsi="宋体"/>
                <w:color w:val="auto"/>
                <w:szCs w:val="21"/>
                <w:highlight w:val="none"/>
              </w:rPr>
            </w:pPr>
            <w:r>
              <w:rPr>
                <w:rFonts w:hint="eastAsia" w:ascii="宋体" w:hAnsi="宋体"/>
                <w:b/>
                <w:bCs/>
                <w:color w:val="auto"/>
                <w:szCs w:val="21"/>
                <w:highlight w:val="none"/>
              </w:rPr>
              <w:t>中：</w:t>
            </w:r>
            <w:r>
              <w:rPr>
                <w:rFonts w:hint="eastAsia" w:ascii="宋体" w:hAnsi="宋体"/>
                <w:color w:val="auto"/>
                <w:szCs w:val="21"/>
                <w:highlight w:val="none"/>
              </w:rPr>
              <w:t>检测方案基本内容阐述齐全，对采用的检测技术、工艺有表述，对重点难点有解决方案各项质量服务保证措施和可操作性基本满足。得1-3分。</w:t>
            </w:r>
          </w:p>
          <w:p>
            <w:pPr>
              <w:snapToGrid w:val="0"/>
              <w:spacing w:line="240" w:lineRule="atLeast"/>
              <w:rPr>
                <w:rFonts w:ascii="宋体" w:hAnsi="宋体"/>
                <w:color w:val="auto"/>
                <w:szCs w:val="21"/>
                <w:highlight w:val="none"/>
              </w:rPr>
            </w:pPr>
            <w:r>
              <w:rPr>
                <w:rFonts w:hint="eastAsia" w:ascii="宋体" w:hAnsi="宋体"/>
                <w:b/>
                <w:bCs/>
                <w:color w:val="auto"/>
                <w:szCs w:val="21"/>
                <w:highlight w:val="none"/>
              </w:rPr>
              <w:t>差：</w:t>
            </w:r>
            <w:r>
              <w:rPr>
                <w:rFonts w:hint="eastAsia" w:ascii="宋体" w:hAnsi="宋体"/>
                <w:color w:val="auto"/>
                <w:szCs w:val="21"/>
                <w:highlight w:val="none"/>
              </w:rPr>
              <w:t>检测方案基本内容阐述缺项，思路混乱、不合理，工作内容可行性较差，对采用的检测技术、工艺无详细表述，对重点难点无解决方案，质量服务保证措施具体不可行，可操作性不强。得0分。</w:t>
            </w:r>
          </w:p>
          <w:p>
            <w:pPr>
              <w:snapToGrid w:val="0"/>
              <w:spacing w:line="240" w:lineRule="atLeast"/>
              <w:rPr>
                <w:rFonts w:ascii="宋体" w:hAnsi="宋体"/>
                <w:color w:val="auto"/>
                <w:szCs w:val="21"/>
                <w:highlight w:val="none"/>
              </w:rPr>
            </w:pPr>
            <w:r>
              <w:rPr>
                <w:rFonts w:hint="eastAsia" w:ascii="宋体" w:hAnsi="宋体"/>
                <w:b/>
                <w:bCs/>
                <w:color w:val="auto"/>
                <w:szCs w:val="21"/>
                <w:highlight w:val="none"/>
              </w:rPr>
              <w:t>注：本项最多得10分。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gridSpan w:val="2"/>
            <w:tcBorders>
              <w:top w:val="single" w:color="auto" w:sz="4" w:space="0"/>
              <w:left w:val="single" w:color="auto" w:sz="4" w:space="0"/>
              <w:right w:val="single" w:color="auto" w:sz="4" w:space="0"/>
            </w:tcBorders>
            <w:vAlign w:val="center"/>
          </w:tcPr>
          <w:p>
            <w:pPr>
              <w:spacing w:line="440" w:lineRule="exact"/>
              <w:jc w:val="center"/>
              <w:rPr>
                <w:color w:val="auto"/>
                <w:highlight w:val="none"/>
              </w:rPr>
            </w:pPr>
            <w:r>
              <w:rPr>
                <w:color w:val="auto"/>
                <w:szCs w:val="21"/>
                <w:highlight w:val="none"/>
              </w:rPr>
              <w:t>2.2.4</w:t>
            </w:r>
            <w:r>
              <w:rPr>
                <w:rFonts w:hint="eastAsia" w:ascii="宋体" w:hAnsi="宋体"/>
                <w:color w:val="auto"/>
                <w:szCs w:val="21"/>
                <w:highlight w:val="none"/>
              </w:rPr>
              <w:t>（</w:t>
            </w:r>
            <w:r>
              <w:rPr>
                <w:color w:val="auto"/>
                <w:szCs w:val="21"/>
                <w:highlight w:val="none"/>
              </w:rPr>
              <w:t>3</w:t>
            </w:r>
            <w:r>
              <w:rPr>
                <w:rFonts w:hint="eastAsia" w:ascii="宋体" w:hAnsi="宋体"/>
                <w:color w:val="auto"/>
                <w:szCs w:val="21"/>
                <w:highlight w:val="none"/>
              </w:rPr>
              <w:t>）</w:t>
            </w:r>
          </w:p>
        </w:tc>
        <w:tc>
          <w:tcPr>
            <w:tcW w:w="1227"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投标报价评分标准</w:t>
            </w:r>
            <w:r>
              <w:rPr>
                <w:color w:val="auto"/>
                <w:szCs w:val="21"/>
                <w:highlight w:val="none"/>
              </w:rPr>
              <w:t>(</w:t>
            </w:r>
            <w:r>
              <w:rPr>
                <w:rFonts w:hint="eastAsia" w:ascii="宋体" w:hAnsi="宋体"/>
                <w:color w:val="auto"/>
                <w:szCs w:val="21"/>
                <w:highlight w:val="none"/>
              </w:rPr>
              <w:t>15分</w:t>
            </w:r>
            <w:r>
              <w:rPr>
                <w:color w:val="auto"/>
                <w:szCs w:val="21"/>
                <w:highlight w:val="none"/>
              </w:rPr>
              <w:t>)</w:t>
            </w:r>
          </w:p>
        </w:tc>
        <w:tc>
          <w:tcPr>
            <w:tcW w:w="1945" w:type="dxa"/>
            <w:tcBorders>
              <w:top w:val="single" w:color="auto" w:sz="4" w:space="0"/>
              <w:left w:val="single" w:color="auto" w:sz="4" w:space="0"/>
              <w:right w:val="single" w:color="auto" w:sz="4" w:space="0"/>
            </w:tcBorders>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报价得分</w:t>
            </w:r>
          </w:p>
          <w:p>
            <w:pPr>
              <w:jc w:val="center"/>
              <w:rPr>
                <w:rFonts w:ascii="宋体" w:hAnsi="宋体"/>
                <w:color w:val="auto"/>
                <w:szCs w:val="21"/>
                <w:highlight w:val="none"/>
              </w:rPr>
            </w:pPr>
            <w:r>
              <w:rPr>
                <w:color w:val="auto"/>
                <w:szCs w:val="21"/>
                <w:highlight w:val="none"/>
              </w:rPr>
              <w:t>(</w:t>
            </w:r>
            <w:r>
              <w:rPr>
                <w:rFonts w:hint="eastAsia" w:ascii="宋体" w:hAnsi="宋体"/>
                <w:color w:val="auto"/>
                <w:szCs w:val="21"/>
                <w:highlight w:val="none"/>
              </w:rPr>
              <w:t>15分</w:t>
            </w:r>
            <w:r>
              <w:rPr>
                <w:color w:val="auto"/>
                <w:szCs w:val="21"/>
                <w:highlight w:val="none"/>
              </w:rPr>
              <w:t>)</w:t>
            </w:r>
          </w:p>
        </w:tc>
        <w:tc>
          <w:tcPr>
            <w:tcW w:w="5284"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lang w:bidi="zh-CN"/>
              </w:rPr>
              <w:t>以评标参考价作为计算各有效投标价得分的基础，当有效投标价等于评标参考值时得15分；有效投标价与评标参考价相比，每上偏1%扣</w:t>
            </w:r>
            <w:r>
              <w:rPr>
                <w:rFonts w:ascii="宋体" w:hAnsi="宋体"/>
                <w:b/>
                <w:color w:val="auto"/>
                <w:szCs w:val="21"/>
                <w:highlight w:val="none"/>
                <w:u w:val="single"/>
                <w:lang w:bidi="zh-CN"/>
              </w:rPr>
              <w:t>0.8</w:t>
            </w:r>
            <w:r>
              <w:rPr>
                <w:rFonts w:hint="eastAsia" w:ascii="宋体" w:hAnsi="宋体"/>
                <w:color w:val="auto"/>
                <w:szCs w:val="21"/>
                <w:highlight w:val="none"/>
                <w:lang w:bidi="zh-CN"/>
              </w:rPr>
              <w:t>分，每下偏1%扣</w:t>
            </w:r>
            <w:r>
              <w:rPr>
                <w:rFonts w:hint="eastAsia" w:ascii="宋体" w:hAnsi="宋体"/>
                <w:b/>
                <w:color w:val="auto"/>
                <w:szCs w:val="21"/>
                <w:highlight w:val="none"/>
                <w:u w:val="single"/>
                <w:lang w:bidi="zh-CN"/>
              </w:rPr>
              <w:t>0.5</w:t>
            </w:r>
            <w:r>
              <w:rPr>
                <w:rFonts w:hint="eastAsia" w:ascii="宋体" w:hAnsi="宋体"/>
                <w:color w:val="auto"/>
                <w:szCs w:val="21"/>
                <w:highlight w:val="none"/>
                <w:lang w:bidi="zh-CN"/>
              </w:rPr>
              <w:t>分。</w:t>
            </w:r>
            <w:r>
              <w:rPr>
                <w:rFonts w:hint="eastAsia" w:ascii="宋体" w:hAnsi="宋体"/>
                <w:b/>
                <w:color w:val="auto"/>
                <w:szCs w:val="21"/>
                <w:highlight w:val="none"/>
                <w:lang w:bidi="zh-CN"/>
              </w:rPr>
              <w:t>得分精确到小数点后两位。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900" w:type="dxa"/>
            <w:gridSpan w:val="2"/>
            <w:tcBorders>
              <w:top w:val="single" w:color="auto" w:sz="4" w:space="0"/>
              <w:left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2.2.4</w:t>
            </w:r>
            <w:r>
              <w:rPr>
                <w:rFonts w:hint="eastAsia" w:ascii="宋体" w:hAnsi="宋体"/>
                <w:color w:val="auto"/>
                <w:szCs w:val="21"/>
                <w:highlight w:val="none"/>
              </w:rPr>
              <w:t>（</w:t>
            </w:r>
            <w:r>
              <w:rPr>
                <w:color w:val="auto"/>
                <w:szCs w:val="21"/>
                <w:highlight w:val="none"/>
              </w:rPr>
              <w:t>4</w:t>
            </w:r>
            <w:r>
              <w:rPr>
                <w:rFonts w:hint="eastAsia" w:ascii="宋体" w:hAnsi="宋体"/>
                <w:color w:val="auto"/>
                <w:szCs w:val="21"/>
                <w:highlight w:val="none"/>
              </w:rPr>
              <w:t>）</w:t>
            </w:r>
          </w:p>
        </w:tc>
        <w:tc>
          <w:tcPr>
            <w:tcW w:w="1227" w:type="dxa"/>
            <w:tcBorders>
              <w:top w:val="single" w:color="auto" w:sz="4" w:space="0"/>
              <w:left w:val="single" w:color="auto" w:sz="4" w:space="0"/>
              <w:right w:val="single" w:color="auto" w:sz="4" w:space="0"/>
            </w:tcBorders>
            <w:vAlign w:val="center"/>
          </w:tcPr>
          <w:p>
            <w:pPr>
              <w:snapToGrid w:val="0"/>
              <w:jc w:val="center"/>
              <w:rPr>
                <w:color w:val="auto"/>
                <w:szCs w:val="21"/>
                <w:highlight w:val="none"/>
              </w:rPr>
            </w:pPr>
            <w:r>
              <w:rPr>
                <w:rFonts w:hint="eastAsia" w:ascii="宋体" w:hAnsi="宋体"/>
                <w:color w:val="auto"/>
                <w:szCs w:val="21"/>
                <w:highlight w:val="none"/>
              </w:rPr>
              <w:t>其他因素评分标准</w:t>
            </w:r>
          </w:p>
          <w:p>
            <w:pPr>
              <w:snapToGrid w:val="0"/>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10</w:t>
            </w:r>
            <w:r>
              <w:rPr>
                <w:rFonts w:hint="eastAsia" w:ascii="宋体" w:hAnsi="宋体"/>
                <w:color w:val="auto"/>
                <w:szCs w:val="21"/>
                <w:highlight w:val="none"/>
              </w:rPr>
              <w:t>分）</w:t>
            </w:r>
          </w:p>
        </w:tc>
        <w:tc>
          <w:tcPr>
            <w:tcW w:w="1945"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Courier New"/>
                <w:color w:val="auto"/>
                <w:szCs w:val="21"/>
                <w:highlight w:val="none"/>
              </w:rPr>
              <w:t>诚信综合评价</w:t>
            </w:r>
            <w:r>
              <w:rPr>
                <w:rFonts w:hint="eastAsia" w:ascii="宋体" w:hAnsi="宋体"/>
                <w:color w:val="auto"/>
                <w:szCs w:val="21"/>
                <w:highlight w:val="none"/>
              </w:rPr>
              <w:t>得分（10分）</w:t>
            </w:r>
          </w:p>
        </w:tc>
        <w:tc>
          <w:tcPr>
            <w:tcW w:w="5284" w:type="dxa"/>
            <w:tcBorders>
              <w:top w:val="single" w:color="auto" w:sz="4" w:space="0"/>
              <w:left w:val="single" w:color="auto" w:sz="4" w:space="0"/>
              <w:right w:val="single" w:color="auto" w:sz="4" w:space="0"/>
            </w:tcBorders>
          </w:tcPr>
          <w:p>
            <w:pPr>
              <w:snapToGrid w:val="0"/>
              <w:rPr>
                <w:rFonts w:ascii="宋体" w:hAnsi="Courier New"/>
                <w:color w:val="auto"/>
                <w:szCs w:val="21"/>
                <w:highlight w:val="none"/>
              </w:rPr>
            </w:pPr>
            <w:r>
              <w:rPr>
                <w:rFonts w:hint="eastAsia" w:ascii="宋体" w:hAnsi="Courier New"/>
                <w:color w:val="auto"/>
                <w:szCs w:val="21"/>
                <w:highlight w:val="none"/>
              </w:rPr>
              <w:t>投标人诚信得分=在广州市检测单位诚信评价中60日诚信分得分×10%。</w:t>
            </w:r>
          </w:p>
          <w:p>
            <w:pPr>
              <w:snapToGrid w:val="0"/>
              <w:rPr>
                <w:rFonts w:ascii="宋体" w:hAnsi="Courier New"/>
                <w:color w:val="auto"/>
                <w:szCs w:val="21"/>
                <w:highlight w:val="none"/>
              </w:rPr>
            </w:pPr>
            <w:r>
              <w:rPr>
                <w:rFonts w:hint="eastAsia" w:ascii="宋体" w:hAnsi="Courier New"/>
                <w:color w:val="auto"/>
                <w:szCs w:val="21"/>
                <w:highlight w:val="none"/>
              </w:rPr>
              <w:t>企业的诚信综合评价排名得分以开标当天广州市住房和城乡建设局网站企业诚信评价专栏上公布的企业60日诚信分得分为准。企业诚信综合诚信评价排名以</w:t>
            </w:r>
            <w:r>
              <w:rPr>
                <w:rFonts w:hint="eastAsia" w:ascii="宋体" w:hAnsi="Courier New"/>
                <w:b/>
                <w:bCs/>
                <w:color w:val="auto"/>
                <w:szCs w:val="21"/>
                <w:highlight w:val="none"/>
                <w:u w:val="single"/>
              </w:rPr>
              <w:t>检测机构</w:t>
            </w:r>
            <w:r>
              <w:rPr>
                <w:rFonts w:hint="eastAsia" w:ascii="宋体" w:hAnsi="Courier New"/>
                <w:color w:val="auto"/>
                <w:szCs w:val="21"/>
                <w:highlight w:val="none"/>
              </w:rPr>
              <w:t>排名为准。</w:t>
            </w:r>
          </w:p>
          <w:p>
            <w:pPr>
              <w:snapToGrid w:val="0"/>
              <w:rPr>
                <w:rFonts w:ascii="宋体" w:hAnsi="宋体"/>
                <w:color w:val="auto"/>
                <w:szCs w:val="21"/>
                <w:highlight w:val="none"/>
              </w:rPr>
            </w:pPr>
            <w:r>
              <w:rPr>
                <w:rFonts w:hint="eastAsia" w:ascii="宋体" w:hAnsi="宋体" w:cs="宋体"/>
                <w:b/>
                <w:bCs/>
                <w:color w:val="auto"/>
                <w:szCs w:val="21"/>
                <w:highlight w:val="none"/>
              </w:rPr>
              <w:t>联合体投标的，诚信综合评价得分以联合体主办方得分为准。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auto"/>
                <w:highlight w:val="none"/>
              </w:rPr>
            </w:pPr>
            <w:r>
              <w:rPr>
                <w:rFonts w:hint="eastAsia"/>
                <w:color w:val="auto"/>
                <w:highlight w:val="none"/>
              </w:rPr>
              <w:t>2.2.4</w:t>
            </w:r>
          </w:p>
          <w:p>
            <w:pPr>
              <w:spacing w:line="400" w:lineRule="exact"/>
              <w:rPr>
                <w:color w:val="auto"/>
                <w:highlight w:val="none"/>
              </w:rPr>
            </w:pPr>
            <w:r>
              <w:rPr>
                <w:rFonts w:hint="eastAsia"/>
                <w:color w:val="auto"/>
                <w:highlight w:val="none"/>
              </w:rPr>
              <w:t>说明</w:t>
            </w:r>
          </w:p>
        </w:tc>
        <w:tc>
          <w:tcPr>
            <w:tcW w:w="8456" w:type="dxa"/>
            <w:gridSpan w:val="3"/>
            <w:tcBorders>
              <w:top w:val="single" w:color="auto" w:sz="4" w:space="0"/>
              <w:left w:val="single" w:color="auto" w:sz="4" w:space="0"/>
              <w:bottom w:val="single" w:color="auto" w:sz="4" w:space="0"/>
              <w:right w:val="single" w:color="auto" w:sz="4" w:space="0"/>
            </w:tcBorders>
            <w:vAlign w:val="center"/>
          </w:tcPr>
          <w:p>
            <w:pPr>
              <w:jc w:val="left"/>
              <w:rPr>
                <w:color w:val="auto"/>
                <w:highlight w:val="none"/>
              </w:rPr>
            </w:pPr>
            <w:r>
              <w:rPr>
                <w:rFonts w:hint="eastAsia"/>
                <w:color w:val="auto"/>
                <w:highlight w:val="none"/>
              </w:rPr>
              <w:t>说明：1、投标人的综合得分为各评委的评分去掉一个最高分和一个最低分后计取的算术平均分（分数出现小数点时，保留小数点后二位，第三位小数四舍五入）。</w:t>
            </w:r>
          </w:p>
          <w:p>
            <w:pPr>
              <w:jc w:val="left"/>
              <w:rPr>
                <w:color w:val="auto"/>
                <w:highlight w:val="none"/>
              </w:rPr>
            </w:pPr>
            <w:r>
              <w:rPr>
                <w:rFonts w:hint="eastAsia"/>
                <w:color w:val="auto"/>
                <w:highlight w:val="none"/>
              </w:rPr>
              <w:t>2、本项目的项目负责人与技术负责人不能为同一人。如委派项目负责人与技术负责人为同一人，以项目负责人评分项计算得分、技术负责人评分项零分。</w:t>
            </w:r>
          </w:p>
          <w:p>
            <w:pPr>
              <w:jc w:val="left"/>
              <w:rPr>
                <w:color w:val="auto"/>
                <w:highlight w:val="none"/>
              </w:rPr>
            </w:pPr>
            <w:r>
              <w:rPr>
                <w:rFonts w:hint="eastAsia"/>
                <w:color w:val="auto"/>
                <w:highlight w:val="none"/>
              </w:rPr>
              <w:t>3、本项目拟派人员应附上2022年3月有效的所在投标单位社保证明材料（社保证明需能反映参保人在该投标单位缴纳社保），否则不得分。本项目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jc w:val="left"/>
              <w:rPr>
                <w:color w:val="auto"/>
                <w:highlight w:val="none"/>
              </w:rPr>
            </w:pPr>
            <w:r>
              <w:rPr>
                <w:rFonts w:hint="eastAsia"/>
                <w:color w:val="auto"/>
                <w:highlight w:val="none"/>
              </w:rPr>
              <w:t>4</w:t>
            </w:r>
            <w:r>
              <w:rPr>
                <w:color w:val="auto"/>
                <w:highlight w:val="none"/>
              </w:rPr>
              <w:t>、“A级纳税人称号”以“国家税务总局”官网（http://www.chinatax.gov.cn/index.html）查询结果为准，纳税人等级只计算投标人自身（不计算投标人的分公司和子公司）。投标人须提供在上述官网网站的有效查询路径及查询结果网页截图（不符合条件或未提交截图的不计分）。时间以国家税务总局官网公布的获奖年度（评价年度）为准。</w:t>
            </w:r>
          </w:p>
          <w:p>
            <w:pPr>
              <w:jc w:val="left"/>
              <w:rPr>
                <w:color w:val="auto"/>
                <w:highlight w:val="none"/>
              </w:rPr>
            </w:pPr>
            <w:r>
              <w:rPr>
                <w:rFonts w:hint="eastAsia"/>
                <w:color w:val="auto"/>
                <w:highlight w:val="none"/>
              </w:rPr>
              <w:t>5</w:t>
            </w:r>
            <w:r>
              <w:rPr>
                <w:color w:val="auto"/>
                <w:highlight w:val="none"/>
              </w:rPr>
              <w:t>、</w:t>
            </w:r>
            <w:r>
              <w:rPr>
                <w:rFonts w:hint="eastAsia" w:ascii="宋体" w:hAnsi="宋体" w:cs="宋体"/>
                <w:color w:val="auto"/>
                <w:highlight w:val="none"/>
              </w:rPr>
              <w:t>联合体投标的，资信业绩部分除业绩和主要的技术人员可合并计算以外，其他评审内容按主办方单位进行评审。</w:t>
            </w:r>
          </w:p>
          <w:p>
            <w:pPr>
              <w:pStyle w:val="40"/>
              <w:ind w:firstLine="0"/>
              <w:rPr>
                <w:color w:val="auto"/>
                <w:highlight w:val="none"/>
              </w:rPr>
            </w:pPr>
            <w:r>
              <w:rPr>
                <w:rFonts w:hint="eastAsia" w:ascii="宋体" w:hAnsi="宋体" w:cs="宋体"/>
                <w:color w:val="auto"/>
                <w:kern w:val="2"/>
                <w:sz w:val="21"/>
                <w:szCs w:val="22"/>
                <w:highlight w:val="none"/>
              </w:rPr>
              <w:t>6、联合体投标的，项目负责人、技术负责人须为主办方正式员工。</w:t>
            </w:r>
          </w:p>
        </w:tc>
      </w:tr>
    </w:tbl>
    <w:p>
      <w:pPr>
        <w:spacing w:line="200" w:lineRule="exact"/>
        <w:rPr>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评标委员（签名）：                     日期：</w:t>
      </w:r>
    </w:p>
    <w:p>
      <w:pPr>
        <w:jc w:val="center"/>
        <w:rPr>
          <w:color w:val="auto"/>
          <w:highlight w:val="none"/>
        </w:rPr>
      </w:pPr>
      <w:r>
        <w:rPr>
          <w:color w:val="auto"/>
          <w:highlight w:val="none"/>
        </w:rPr>
        <w:br w:type="page"/>
      </w:r>
    </w:p>
    <w:p>
      <w:pPr>
        <w:pStyle w:val="5"/>
        <w:rPr>
          <w:color w:val="auto"/>
          <w:highlight w:val="none"/>
        </w:rPr>
      </w:pPr>
      <w:bookmarkStart w:id="387" w:name="_Toc529196583"/>
      <w:bookmarkStart w:id="388" w:name="_Toc97798602"/>
      <w:bookmarkStart w:id="389" w:name="_Toc515205256"/>
      <w:r>
        <w:rPr>
          <w:color w:val="auto"/>
          <w:highlight w:val="none"/>
        </w:rPr>
        <w:t>1. 评标方法</w:t>
      </w:r>
      <w:bookmarkEnd w:id="387"/>
      <w:bookmarkEnd w:id="388"/>
      <w:bookmarkEnd w:id="389"/>
    </w:p>
    <w:p>
      <w:pPr>
        <w:spacing w:line="360" w:lineRule="auto"/>
        <w:ind w:firstLine="480" w:firstLineChars="200"/>
        <w:rPr>
          <w:color w:val="auto"/>
          <w:sz w:val="24"/>
          <w:highlight w:val="none"/>
        </w:rPr>
      </w:pPr>
      <w:r>
        <w:rPr>
          <w:color w:val="auto"/>
          <w:sz w:val="24"/>
          <w:highlight w:val="none"/>
        </w:rPr>
        <w:t>本次评标采用综合评估法。评标委员会对满足招标文件实质性要求的投标文件，按照本章第2.2款规定的评分标准进行打分，并按得分由高到低顺序推荐中标候选人，但投标报价低于其成本的除</w:t>
      </w:r>
      <w:bookmarkStart w:id="390" w:name="_Toc247527623"/>
      <w:bookmarkStart w:id="391" w:name="_Toc361508646"/>
      <w:bookmarkStart w:id="392" w:name="_Toc152042375"/>
      <w:bookmarkStart w:id="393" w:name="_Toc152045598"/>
      <w:bookmarkStart w:id="394" w:name="_Toc144974565"/>
      <w:bookmarkStart w:id="395" w:name="_Toc247514022"/>
      <w:bookmarkStart w:id="396" w:name="_Toc300835008"/>
      <w:bookmarkStart w:id="397" w:name="_Toc384308272"/>
      <w:bookmarkStart w:id="398" w:name="_Toc4497"/>
      <w:bookmarkStart w:id="399" w:name="_Toc352691533"/>
      <w:bookmarkStart w:id="400" w:name="_Toc369531577"/>
      <w:r>
        <w:rPr>
          <w:color w:val="auto"/>
          <w:sz w:val="24"/>
          <w:highlight w:val="none"/>
        </w:rPr>
        <w:t>外。综合评分相等</w:t>
      </w:r>
      <w:bookmarkEnd w:id="390"/>
      <w:bookmarkEnd w:id="391"/>
      <w:bookmarkEnd w:id="392"/>
      <w:bookmarkEnd w:id="393"/>
      <w:bookmarkEnd w:id="394"/>
      <w:bookmarkEnd w:id="395"/>
      <w:bookmarkEnd w:id="396"/>
      <w:bookmarkEnd w:id="397"/>
      <w:r>
        <w:rPr>
          <w:color w:val="auto"/>
          <w:sz w:val="24"/>
          <w:highlight w:val="none"/>
        </w:rPr>
        <w:t>时，</w:t>
      </w:r>
      <w:bookmarkEnd w:id="398"/>
      <w:bookmarkEnd w:id="399"/>
      <w:bookmarkEnd w:id="400"/>
      <w:r>
        <w:rPr>
          <w:color w:val="auto"/>
          <w:sz w:val="24"/>
          <w:highlight w:val="none"/>
        </w:rPr>
        <w:t>按照评标办法前附表的规定确定中标候选人顺序。</w:t>
      </w:r>
    </w:p>
    <w:p>
      <w:pPr>
        <w:pStyle w:val="5"/>
        <w:rPr>
          <w:color w:val="auto"/>
          <w:highlight w:val="none"/>
        </w:rPr>
      </w:pPr>
      <w:bookmarkStart w:id="401" w:name="_Toc529196584"/>
      <w:bookmarkStart w:id="402" w:name="_Toc515205257"/>
      <w:bookmarkStart w:id="403" w:name="_Toc97798603"/>
      <w:r>
        <w:rPr>
          <w:color w:val="auto"/>
          <w:highlight w:val="none"/>
        </w:rPr>
        <w:t>2. 评审标准</w:t>
      </w:r>
      <w:bookmarkEnd w:id="401"/>
      <w:bookmarkEnd w:id="402"/>
      <w:bookmarkEnd w:id="403"/>
    </w:p>
    <w:p>
      <w:pPr>
        <w:pStyle w:val="5"/>
        <w:ind w:firstLine="137"/>
        <w:rPr>
          <w:color w:val="auto"/>
          <w:highlight w:val="none"/>
        </w:rPr>
      </w:pPr>
      <w:bookmarkStart w:id="404" w:name="_Toc529196585"/>
      <w:bookmarkStart w:id="405" w:name="_Toc97798604"/>
      <w:bookmarkStart w:id="406" w:name="_Toc515205258"/>
      <w:r>
        <w:rPr>
          <w:color w:val="auto"/>
          <w:highlight w:val="none"/>
        </w:rPr>
        <w:t>2.1 初步评审标准</w:t>
      </w:r>
      <w:bookmarkEnd w:id="404"/>
      <w:bookmarkEnd w:id="405"/>
      <w:bookmarkEnd w:id="406"/>
    </w:p>
    <w:p>
      <w:pPr>
        <w:spacing w:line="360" w:lineRule="auto"/>
        <w:ind w:firstLine="480" w:firstLineChars="200"/>
        <w:rPr>
          <w:color w:val="auto"/>
          <w:sz w:val="24"/>
          <w:highlight w:val="none"/>
        </w:rPr>
      </w:pPr>
      <w:r>
        <w:rPr>
          <w:color w:val="auto"/>
          <w:sz w:val="24"/>
          <w:highlight w:val="none"/>
        </w:rPr>
        <w:t>2.1.1 形式评审标准：见评标办法前附表。</w:t>
      </w:r>
    </w:p>
    <w:p>
      <w:pPr>
        <w:spacing w:line="360" w:lineRule="auto"/>
        <w:ind w:firstLine="480" w:firstLineChars="200"/>
        <w:rPr>
          <w:color w:val="auto"/>
          <w:sz w:val="24"/>
          <w:highlight w:val="none"/>
        </w:rPr>
      </w:pPr>
      <w:r>
        <w:rPr>
          <w:color w:val="auto"/>
          <w:sz w:val="24"/>
          <w:highlight w:val="none"/>
        </w:rPr>
        <w:t>2.1.2 资格评审标准：见评标办法前附表。</w:t>
      </w:r>
    </w:p>
    <w:p>
      <w:pPr>
        <w:spacing w:line="360" w:lineRule="auto"/>
        <w:ind w:firstLine="480" w:firstLineChars="200"/>
        <w:rPr>
          <w:color w:val="auto"/>
          <w:sz w:val="24"/>
          <w:highlight w:val="none"/>
        </w:rPr>
      </w:pPr>
      <w:r>
        <w:rPr>
          <w:color w:val="auto"/>
          <w:sz w:val="24"/>
          <w:highlight w:val="none"/>
        </w:rPr>
        <w:t>2.1.3 响应性评审标准：见评标办法前附表。</w:t>
      </w:r>
    </w:p>
    <w:p>
      <w:pPr>
        <w:pStyle w:val="5"/>
        <w:ind w:firstLine="137"/>
        <w:rPr>
          <w:color w:val="auto"/>
          <w:highlight w:val="none"/>
        </w:rPr>
      </w:pPr>
      <w:bookmarkStart w:id="407" w:name="_Toc529196586"/>
      <w:bookmarkStart w:id="408" w:name="_Toc97798605"/>
      <w:bookmarkStart w:id="409" w:name="_Toc515205259"/>
      <w:r>
        <w:rPr>
          <w:color w:val="auto"/>
          <w:highlight w:val="none"/>
        </w:rPr>
        <w:t>2.2 分值构成与评分标准</w:t>
      </w:r>
      <w:bookmarkEnd w:id="407"/>
      <w:bookmarkEnd w:id="408"/>
      <w:bookmarkEnd w:id="409"/>
    </w:p>
    <w:p>
      <w:pPr>
        <w:spacing w:line="360" w:lineRule="auto"/>
        <w:ind w:firstLine="480" w:firstLineChars="200"/>
        <w:rPr>
          <w:color w:val="auto"/>
          <w:sz w:val="24"/>
          <w:highlight w:val="none"/>
        </w:rPr>
      </w:pPr>
      <w:r>
        <w:rPr>
          <w:color w:val="auto"/>
          <w:sz w:val="24"/>
          <w:highlight w:val="none"/>
        </w:rPr>
        <w:t>2.2.1 分值构成</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（1）资信业绩部分：见评标办法前附表；</w:t>
      </w:r>
    </w:p>
    <w:p>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检测方案</w:t>
      </w:r>
      <w:r>
        <w:rPr>
          <w:color w:val="auto"/>
          <w:sz w:val="24"/>
          <w:highlight w:val="none"/>
        </w:rPr>
        <w:t>部分：见评标办法前附表；</w:t>
      </w:r>
    </w:p>
    <w:p>
      <w:pPr>
        <w:spacing w:line="360" w:lineRule="auto"/>
        <w:ind w:firstLine="480" w:firstLineChars="200"/>
        <w:rPr>
          <w:color w:val="auto"/>
          <w:sz w:val="24"/>
          <w:highlight w:val="none"/>
        </w:rPr>
      </w:pPr>
      <w:r>
        <w:rPr>
          <w:color w:val="auto"/>
          <w:sz w:val="24"/>
          <w:highlight w:val="none"/>
        </w:rPr>
        <w:t>（3）投标报价：见评标办法前附表；</w:t>
      </w:r>
    </w:p>
    <w:p>
      <w:pPr>
        <w:spacing w:line="360" w:lineRule="auto"/>
        <w:ind w:firstLine="480" w:firstLineChars="200"/>
        <w:rPr>
          <w:color w:val="auto"/>
          <w:sz w:val="24"/>
          <w:highlight w:val="none"/>
        </w:rPr>
      </w:pPr>
      <w:r>
        <w:rPr>
          <w:color w:val="auto"/>
          <w:sz w:val="24"/>
          <w:highlight w:val="none"/>
        </w:rPr>
        <w:t>（4）其他评分因素：见评标办法前附表。</w:t>
      </w:r>
    </w:p>
    <w:p>
      <w:pPr>
        <w:spacing w:line="360" w:lineRule="auto"/>
        <w:ind w:firstLine="480" w:firstLineChars="200"/>
        <w:rPr>
          <w:color w:val="auto"/>
          <w:sz w:val="24"/>
          <w:highlight w:val="none"/>
        </w:rPr>
      </w:pPr>
      <w:r>
        <w:rPr>
          <w:color w:val="auto"/>
          <w:sz w:val="24"/>
          <w:highlight w:val="none"/>
        </w:rPr>
        <w:t>2.2.2 评标基准价计算</w:t>
      </w:r>
    </w:p>
    <w:p>
      <w:pPr>
        <w:spacing w:line="360" w:lineRule="auto"/>
        <w:ind w:firstLine="480" w:firstLineChars="200"/>
        <w:rPr>
          <w:color w:val="auto"/>
          <w:sz w:val="24"/>
          <w:highlight w:val="none"/>
        </w:rPr>
      </w:pPr>
      <w:r>
        <w:rPr>
          <w:color w:val="auto"/>
          <w:sz w:val="24"/>
          <w:highlight w:val="none"/>
        </w:rPr>
        <w:t>评标基准价计算方法：见评标办法前附表。</w:t>
      </w:r>
    </w:p>
    <w:p>
      <w:pPr>
        <w:spacing w:line="360" w:lineRule="auto"/>
        <w:ind w:firstLine="480" w:firstLineChars="200"/>
        <w:rPr>
          <w:color w:val="auto"/>
          <w:sz w:val="24"/>
          <w:highlight w:val="none"/>
        </w:rPr>
      </w:pPr>
      <w:r>
        <w:rPr>
          <w:color w:val="auto"/>
          <w:sz w:val="24"/>
          <w:highlight w:val="none"/>
        </w:rPr>
        <w:t>2.2.3 投标报价的偏差率计算</w:t>
      </w:r>
    </w:p>
    <w:p>
      <w:pPr>
        <w:spacing w:line="360" w:lineRule="auto"/>
        <w:ind w:firstLine="480" w:firstLineChars="200"/>
        <w:rPr>
          <w:color w:val="auto"/>
          <w:sz w:val="24"/>
          <w:highlight w:val="none"/>
        </w:rPr>
      </w:pPr>
      <w:r>
        <w:rPr>
          <w:color w:val="auto"/>
          <w:sz w:val="24"/>
          <w:highlight w:val="none"/>
        </w:rPr>
        <w:t>投标报价的偏差率计算公式：见评标办法前附表。</w:t>
      </w:r>
    </w:p>
    <w:p>
      <w:pPr>
        <w:spacing w:line="360" w:lineRule="auto"/>
        <w:ind w:firstLine="480" w:firstLineChars="200"/>
        <w:rPr>
          <w:color w:val="auto"/>
          <w:sz w:val="24"/>
          <w:highlight w:val="none"/>
        </w:rPr>
      </w:pPr>
      <w:r>
        <w:rPr>
          <w:color w:val="auto"/>
          <w:sz w:val="24"/>
          <w:highlight w:val="none"/>
        </w:rPr>
        <w:t>2.2.4 评分标准</w:t>
      </w:r>
    </w:p>
    <w:p>
      <w:pPr>
        <w:spacing w:line="360" w:lineRule="auto"/>
        <w:ind w:firstLine="480" w:firstLineChars="200"/>
        <w:rPr>
          <w:color w:val="auto"/>
          <w:sz w:val="24"/>
          <w:highlight w:val="none"/>
        </w:rPr>
      </w:pPr>
      <w:r>
        <w:rPr>
          <w:color w:val="auto"/>
          <w:sz w:val="24"/>
          <w:highlight w:val="none"/>
        </w:rPr>
        <w:t>（1）资信业绩评分标准：见评标办法前附表；</w:t>
      </w:r>
    </w:p>
    <w:p>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检测方案</w:t>
      </w:r>
      <w:r>
        <w:rPr>
          <w:color w:val="auto"/>
          <w:sz w:val="24"/>
          <w:highlight w:val="none"/>
        </w:rPr>
        <w:t>评分标准：见评标办法前附表；</w:t>
      </w:r>
    </w:p>
    <w:p>
      <w:pPr>
        <w:spacing w:line="360" w:lineRule="auto"/>
        <w:ind w:firstLine="480" w:firstLineChars="200"/>
        <w:rPr>
          <w:color w:val="auto"/>
          <w:sz w:val="24"/>
          <w:highlight w:val="none"/>
        </w:rPr>
      </w:pPr>
      <w:r>
        <w:rPr>
          <w:color w:val="auto"/>
          <w:sz w:val="24"/>
          <w:highlight w:val="none"/>
        </w:rPr>
        <w:t>（3）投标报价评分标准：见评标办法前附表；</w:t>
      </w:r>
    </w:p>
    <w:p>
      <w:pPr>
        <w:spacing w:line="360" w:lineRule="auto"/>
        <w:ind w:firstLine="480" w:firstLineChars="200"/>
        <w:rPr>
          <w:color w:val="auto"/>
          <w:sz w:val="24"/>
          <w:highlight w:val="none"/>
        </w:rPr>
      </w:pPr>
      <w:r>
        <w:rPr>
          <w:color w:val="auto"/>
          <w:sz w:val="24"/>
          <w:highlight w:val="none"/>
        </w:rPr>
        <w:t>（4）其他因素评分标准：见评标办法前附表。</w:t>
      </w:r>
    </w:p>
    <w:p>
      <w:pPr>
        <w:pStyle w:val="5"/>
        <w:rPr>
          <w:color w:val="auto"/>
          <w:highlight w:val="none"/>
        </w:rPr>
      </w:pPr>
      <w:bookmarkStart w:id="410" w:name="_Toc529196587"/>
      <w:bookmarkStart w:id="411" w:name="_Toc97798606"/>
      <w:bookmarkStart w:id="412" w:name="_Toc515205260"/>
      <w:r>
        <w:rPr>
          <w:color w:val="auto"/>
          <w:highlight w:val="none"/>
        </w:rPr>
        <w:t>3. 评标程序</w:t>
      </w:r>
      <w:bookmarkEnd w:id="410"/>
      <w:bookmarkEnd w:id="411"/>
      <w:bookmarkEnd w:id="412"/>
    </w:p>
    <w:p>
      <w:pPr>
        <w:pStyle w:val="5"/>
        <w:ind w:firstLine="137"/>
        <w:rPr>
          <w:color w:val="auto"/>
          <w:highlight w:val="none"/>
        </w:rPr>
      </w:pPr>
      <w:bookmarkStart w:id="413" w:name="_Toc529196588"/>
      <w:bookmarkStart w:id="414" w:name="_Toc515205261"/>
      <w:bookmarkStart w:id="415" w:name="_Toc97798607"/>
      <w:r>
        <w:rPr>
          <w:color w:val="auto"/>
          <w:highlight w:val="none"/>
        </w:rPr>
        <w:t>3.1 初步评审</w:t>
      </w:r>
      <w:bookmarkEnd w:id="413"/>
      <w:bookmarkEnd w:id="414"/>
      <w:bookmarkEnd w:id="415"/>
    </w:p>
    <w:p>
      <w:pPr>
        <w:spacing w:line="360" w:lineRule="auto"/>
        <w:ind w:firstLine="480" w:firstLineChars="200"/>
        <w:rPr>
          <w:color w:val="auto"/>
          <w:sz w:val="24"/>
          <w:highlight w:val="none"/>
        </w:rPr>
      </w:pPr>
      <w:r>
        <w:rPr>
          <w:color w:val="auto"/>
          <w:sz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80" w:firstLineChars="200"/>
        <w:rPr>
          <w:color w:val="auto"/>
          <w:sz w:val="24"/>
          <w:highlight w:val="none"/>
        </w:rPr>
      </w:pPr>
      <w:r>
        <w:rPr>
          <w:color w:val="auto"/>
          <w:sz w:val="24"/>
          <w:highlight w:val="none"/>
        </w:rPr>
        <w:t>3.1.2 投标人有以下情形之一的，评标委员会应当否决其投标：</w:t>
      </w:r>
    </w:p>
    <w:p>
      <w:pPr>
        <w:spacing w:line="360" w:lineRule="auto"/>
        <w:ind w:firstLine="480" w:firstLineChars="200"/>
        <w:rPr>
          <w:color w:val="auto"/>
          <w:sz w:val="24"/>
          <w:highlight w:val="none"/>
        </w:rPr>
      </w:pPr>
      <w:r>
        <w:rPr>
          <w:color w:val="auto"/>
          <w:sz w:val="24"/>
          <w:highlight w:val="none"/>
        </w:rPr>
        <w:t>（1）投标文件没有对招标文件的实质性要求和条件作出响应，或者对招标文件的偏差超出招标文件规定的偏差范围或最高项数；</w:t>
      </w:r>
    </w:p>
    <w:p>
      <w:pPr>
        <w:spacing w:line="360" w:lineRule="auto"/>
        <w:ind w:firstLine="480" w:firstLineChars="200"/>
        <w:rPr>
          <w:color w:val="auto"/>
          <w:sz w:val="24"/>
          <w:highlight w:val="none"/>
        </w:rPr>
      </w:pPr>
      <w:r>
        <w:rPr>
          <w:color w:val="auto"/>
          <w:sz w:val="24"/>
          <w:highlight w:val="none"/>
        </w:rPr>
        <w:t>（2）有串通投标、弄虚作假、行贿等违法行为。</w:t>
      </w:r>
    </w:p>
    <w:p>
      <w:pPr>
        <w:spacing w:line="360" w:lineRule="auto"/>
        <w:ind w:firstLine="480" w:firstLineChars="200"/>
        <w:rPr>
          <w:color w:val="auto"/>
          <w:sz w:val="24"/>
          <w:highlight w:val="none"/>
        </w:rPr>
      </w:pPr>
      <w:r>
        <w:rPr>
          <w:color w:val="auto"/>
          <w:sz w:val="24"/>
          <w:highlight w:val="none"/>
        </w:rPr>
        <w:t>3.1.3 投标报价有算术错误及其他错误的，评标委员会按以下原则要求投标人对投标报价进</w:t>
      </w:r>
      <w:bookmarkStart w:id="416" w:name="_Toc144974570"/>
      <w:bookmarkStart w:id="417" w:name="_Toc361508651"/>
      <w:bookmarkStart w:id="418" w:name="_Toc2907"/>
      <w:bookmarkStart w:id="419" w:name="_Toc384308277"/>
      <w:bookmarkStart w:id="420" w:name="_Toc247514027"/>
      <w:bookmarkStart w:id="421" w:name="_Toc152045603"/>
      <w:bookmarkStart w:id="422" w:name="_Toc352691538"/>
      <w:bookmarkStart w:id="423" w:name="_Toc369531582"/>
      <w:bookmarkStart w:id="424" w:name="_Toc152042380"/>
      <w:bookmarkStart w:id="425" w:name="_Toc300835013"/>
      <w:bookmarkStart w:id="426" w:name="_Toc247527628"/>
      <w:r>
        <w:rPr>
          <w:color w:val="auto"/>
          <w:sz w:val="24"/>
          <w:highlight w:val="none"/>
        </w:rPr>
        <w:t>行修正，并要求投标人书面澄清确认。</w:t>
      </w:r>
      <w:bookmarkEnd w:id="416"/>
      <w:bookmarkEnd w:id="417"/>
      <w:bookmarkEnd w:id="418"/>
      <w:bookmarkEnd w:id="419"/>
      <w:bookmarkEnd w:id="420"/>
      <w:bookmarkEnd w:id="421"/>
      <w:bookmarkEnd w:id="422"/>
      <w:bookmarkEnd w:id="423"/>
      <w:bookmarkEnd w:id="424"/>
      <w:bookmarkEnd w:id="425"/>
      <w:bookmarkEnd w:id="426"/>
      <w:r>
        <w:rPr>
          <w:color w:val="auto"/>
          <w:sz w:val="24"/>
          <w:highlight w:val="none"/>
        </w:rPr>
        <w:t>投标人拒不澄清确认的，评标委员会应当否决其投标：</w:t>
      </w:r>
    </w:p>
    <w:p>
      <w:pPr>
        <w:spacing w:line="360" w:lineRule="auto"/>
        <w:ind w:firstLine="480" w:firstLineChars="200"/>
        <w:rPr>
          <w:color w:val="auto"/>
          <w:sz w:val="24"/>
          <w:highlight w:val="none"/>
        </w:rPr>
      </w:pPr>
      <w:r>
        <w:rPr>
          <w:color w:val="auto"/>
          <w:sz w:val="24"/>
          <w:highlight w:val="none"/>
        </w:rPr>
        <w:t>（1）投标文件中的大写金额与小写金额不一致的，以大写金额为准；</w:t>
      </w:r>
    </w:p>
    <w:p>
      <w:pPr>
        <w:spacing w:line="360" w:lineRule="auto"/>
        <w:ind w:firstLine="480" w:firstLineChars="200"/>
        <w:rPr>
          <w:color w:val="auto"/>
          <w:sz w:val="24"/>
          <w:highlight w:val="none"/>
        </w:rPr>
      </w:pPr>
      <w:r>
        <w:rPr>
          <w:color w:val="auto"/>
          <w:sz w:val="24"/>
          <w:highlight w:val="none"/>
        </w:rPr>
        <w:t>（2）总价金额与单价金额不一致的，以单价金额为准，但单价金额小数点有明显错误的除外</w:t>
      </w:r>
      <w:r>
        <w:rPr>
          <w:rFonts w:hint="eastAsia"/>
          <w:color w:val="auto"/>
          <w:sz w:val="24"/>
          <w:highlight w:val="none"/>
        </w:rPr>
        <w:t>。</w:t>
      </w:r>
    </w:p>
    <w:p>
      <w:pPr>
        <w:pStyle w:val="5"/>
        <w:ind w:firstLine="137"/>
        <w:rPr>
          <w:color w:val="auto"/>
          <w:highlight w:val="none"/>
        </w:rPr>
      </w:pPr>
      <w:bookmarkStart w:id="427" w:name="_Toc529196589"/>
      <w:bookmarkStart w:id="428" w:name="_Toc97798608"/>
      <w:bookmarkStart w:id="429" w:name="_Toc515205262"/>
      <w:r>
        <w:rPr>
          <w:color w:val="auto"/>
          <w:highlight w:val="none"/>
        </w:rPr>
        <w:t>3.2 详细评审</w:t>
      </w:r>
      <w:bookmarkEnd w:id="427"/>
      <w:bookmarkEnd w:id="428"/>
      <w:bookmarkEnd w:id="429"/>
    </w:p>
    <w:p>
      <w:pPr>
        <w:spacing w:line="360" w:lineRule="auto"/>
        <w:ind w:firstLine="480" w:firstLineChars="200"/>
        <w:rPr>
          <w:color w:val="auto"/>
          <w:sz w:val="24"/>
          <w:highlight w:val="none"/>
        </w:rPr>
      </w:pPr>
      <w:r>
        <w:rPr>
          <w:color w:val="auto"/>
          <w:sz w:val="24"/>
          <w:highlight w:val="none"/>
        </w:rPr>
        <w:t>3.2.1 评标委员会按本章第2.2款规定的量化因素和分值进行打分，并计算出综合评估得分。</w:t>
      </w:r>
    </w:p>
    <w:p>
      <w:pPr>
        <w:spacing w:line="360" w:lineRule="auto"/>
        <w:ind w:firstLine="480" w:firstLineChars="200"/>
        <w:rPr>
          <w:color w:val="auto"/>
          <w:sz w:val="24"/>
          <w:highlight w:val="none"/>
        </w:rPr>
      </w:pPr>
      <w:r>
        <w:rPr>
          <w:rFonts w:hint="eastAsia"/>
          <w:color w:val="auto"/>
          <w:sz w:val="24"/>
          <w:highlight w:val="none"/>
        </w:rPr>
        <w:t>（1）按本章第 2.2.4（1）目规定的评审因素和分值对资信业绩部分计算出得分 A；</w:t>
      </w:r>
    </w:p>
    <w:p>
      <w:pPr>
        <w:spacing w:line="360" w:lineRule="auto"/>
        <w:ind w:firstLine="480" w:firstLineChars="200"/>
        <w:rPr>
          <w:color w:val="auto"/>
          <w:sz w:val="24"/>
          <w:highlight w:val="none"/>
        </w:rPr>
      </w:pPr>
      <w:r>
        <w:rPr>
          <w:rFonts w:hint="eastAsia"/>
          <w:color w:val="auto"/>
          <w:sz w:val="24"/>
          <w:highlight w:val="none"/>
        </w:rPr>
        <w:t>（2）按本章第 2.2.4（2）目规定的评审因素和分值对检测方案部分计算出得分 B；</w:t>
      </w:r>
    </w:p>
    <w:p>
      <w:pPr>
        <w:spacing w:line="360" w:lineRule="auto"/>
        <w:ind w:firstLine="480" w:firstLineChars="200"/>
        <w:rPr>
          <w:color w:val="auto"/>
          <w:sz w:val="24"/>
          <w:highlight w:val="none"/>
        </w:rPr>
      </w:pPr>
      <w:r>
        <w:rPr>
          <w:rFonts w:hint="eastAsia"/>
          <w:color w:val="auto"/>
          <w:sz w:val="24"/>
          <w:highlight w:val="none"/>
        </w:rPr>
        <w:t>（3）按本章第 2.2.4（3）目规定的评审因素和分值对投标报价计算出得分 C；</w:t>
      </w:r>
    </w:p>
    <w:p>
      <w:pPr>
        <w:spacing w:line="360" w:lineRule="auto"/>
        <w:ind w:firstLine="480" w:firstLineChars="200"/>
        <w:rPr>
          <w:color w:val="auto"/>
          <w:sz w:val="24"/>
          <w:highlight w:val="none"/>
        </w:rPr>
      </w:pPr>
      <w:r>
        <w:rPr>
          <w:rFonts w:hint="eastAsia"/>
          <w:color w:val="auto"/>
          <w:sz w:val="24"/>
          <w:highlight w:val="none"/>
        </w:rPr>
        <w:t>（4）按本章第 2.2.4（4）目规定的评审因素和分值对其他部分计算出得分 D。</w:t>
      </w:r>
    </w:p>
    <w:p>
      <w:pPr>
        <w:spacing w:line="360" w:lineRule="auto"/>
        <w:ind w:firstLine="480" w:firstLineChars="200"/>
        <w:rPr>
          <w:color w:val="auto"/>
          <w:sz w:val="24"/>
          <w:highlight w:val="none"/>
        </w:rPr>
      </w:pPr>
      <w:r>
        <w:rPr>
          <w:color w:val="auto"/>
          <w:sz w:val="24"/>
          <w:highlight w:val="none"/>
        </w:rPr>
        <w:t>3.2.2 评分分值计算保留小数点后两位，小数点后第三位“四舍五入”。</w:t>
      </w:r>
    </w:p>
    <w:p>
      <w:pPr>
        <w:spacing w:line="360" w:lineRule="auto"/>
        <w:ind w:firstLine="480" w:firstLineChars="200"/>
        <w:rPr>
          <w:color w:val="auto"/>
          <w:sz w:val="24"/>
          <w:highlight w:val="none"/>
        </w:rPr>
      </w:pPr>
      <w:r>
        <w:rPr>
          <w:color w:val="auto"/>
          <w:sz w:val="24"/>
          <w:highlight w:val="none"/>
        </w:rPr>
        <w:t>3.2.3 投标人得分</w:t>
      </w:r>
      <w:r>
        <w:rPr>
          <w:rFonts w:hint="eastAsia"/>
          <w:color w:val="auto"/>
          <w:sz w:val="24"/>
          <w:highlight w:val="none"/>
        </w:rPr>
        <w:t>：</w:t>
      </w:r>
      <w:r>
        <w:rPr>
          <w:color w:val="auto"/>
          <w:sz w:val="24"/>
          <w:highlight w:val="none"/>
        </w:rPr>
        <w:t>见评标办法前附表</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ind w:firstLine="137"/>
        <w:rPr>
          <w:color w:val="auto"/>
          <w:highlight w:val="none"/>
        </w:rPr>
      </w:pPr>
      <w:bookmarkStart w:id="430" w:name="_Toc515205263"/>
      <w:bookmarkStart w:id="431" w:name="_Toc529196590"/>
      <w:bookmarkStart w:id="432" w:name="_Toc97798609"/>
      <w:r>
        <w:rPr>
          <w:color w:val="auto"/>
          <w:highlight w:val="none"/>
        </w:rPr>
        <w:t>3.3 投标文件的澄清</w:t>
      </w:r>
      <w:bookmarkEnd w:id="430"/>
      <w:bookmarkEnd w:id="431"/>
      <w:bookmarkEnd w:id="432"/>
    </w:p>
    <w:p>
      <w:pPr>
        <w:spacing w:line="360" w:lineRule="auto"/>
        <w:ind w:firstLine="480" w:firstLineChars="200"/>
        <w:rPr>
          <w:color w:val="auto"/>
          <w:sz w:val="24"/>
          <w:highlight w:val="none"/>
        </w:rPr>
      </w:pPr>
      <w:r>
        <w:rPr>
          <w:color w:val="auto"/>
          <w:sz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color w:val="auto"/>
          <w:sz w:val="24"/>
          <w:highlight w:val="none"/>
        </w:rPr>
      </w:pPr>
      <w:r>
        <w:rPr>
          <w:color w:val="auto"/>
          <w:sz w:val="24"/>
          <w:highlight w:val="none"/>
        </w:rPr>
        <w:t>3.3.2 澄清、说明或补正不得超出投标文件的范围且不得改变投标文件的实质性内容，并构成投标文件的组成部分。</w:t>
      </w:r>
    </w:p>
    <w:p>
      <w:pPr>
        <w:spacing w:line="360" w:lineRule="auto"/>
        <w:ind w:firstLine="480" w:firstLineChars="200"/>
        <w:rPr>
          <w:color w:val="auto"/>
          <w:sz w:val="24"/>
          <w:highlight w:val="none"/>
        </w:rPr>
      </w:pPr>
      <w:r>
        <w:rPr>
          <w:color w:val="auto"/>
          <w:sz w:val="24"/>
          <w:highlight w:val="none"/>
        </w:rPr>
        <w:t>3.3.3 评标委员会对投标人提交的澄清、说明或补正有疑问的，可以要求投标人进一步澄清、说明或补正，直至满足评标委员会的要求。</w:t>
      </w:r>
    </w:p>
    <w:p>
      <w:pPr>
        <w:pStyle w:val="5"/>
        <w:ind w:firstLine="137"/>
        <w:rPr>
          <w:color w:val="auto"/>
          <w:highlight w:val="none"/>
        </w:rPr>
      </w:pPr>
      <w:bookmarkStart w:id="433" w:name="_Toc529196591"/>
      <w:bookmarkStart w:id="434" w:name="_Toc515205264"/>
      <w:bookmarkStart w:id="435" w:name="_Toc97798610"/>
      <w:r>
        <w:rPr>
          <w:color w:val="auto"/>
          <w:highlight w:val="none"/>
        </w:rPr>
        <w:t>3.4 评标结果</w:t>
      </w:r>
      <w:bookmarkEnd w:id="433"/>
      <w:bookmarkEnd w:id="434"/>
      <w:bookmarkEnd w:id="435"/>
    </w:p>
    <w:p>
      <w:pPr>
        <w:spacing w:line="360" w:lineRule="auto"/>
        <w:ind w:firstLine="480" w:firstLineChars="200"/>
        <w:rPr>
          <w:b/>
          <w:color w:val="auto"/>
          <w:sz w:val="24"/>
          <w:highlight w:val="none"/>
        </w:rPr>
      </w:pPr>
      <w:r>
        <w:rPr>
          <w:color w:val="auto"/>
          <w:sz w:val="24"/>
          <w:highlight w:val="none"/>
        </w:rPr>
        <w:t>3.4.1 除第二章“投标人须知”前附表授权直接确定中标人外，评标委员会按照得分由高到低的顺序推荐中标候选人，并标明排序。</w:t>
      </w:r>
    </w:p>
    <w:p>
      <w:pPr>
        <w:spacing w:line="360" w:lineRule="auto"/>
        <w:ind w:firstLine="482"/>
        <w:rPr>
          <w:color w:val="auto"/>
          <w:sz w:val="24"/>
          <w:highlight w:val="none"/>
        </w:rPr>
      </w:pPr>
      <w:r>
        <w:rPr>
          <w:color w:val="auto"/>
          <w:sz w:val="24"/>
          <w:highlight w:val="none"/>
        </w:rPr>
        <w:t>3.4.2 评标委员会完成评标后，应当向招标人提交书面评标报告和中标候选人名单。</w:t>
      </w:r>
    </w:p>
    <w:p>
      <w:pPr>
        <w:rPr>
          <w:color w:val="auto"/>
          <w:highlight w:val="none"/>
        </w:rPr>
      </w:pPr>
      <w:r>
        <w:rPr>
          <w:rFonts w:hint="eastAsia"/>
          <w:color w:val="auto"/>
          <w:highlight w:val="none"/>
        </w:rPr>
        <w:br w:type="page"/>
      </w:r>
    </w:p>
    <w:p>
      <w:pPr>
        <w:spacing w:line="200" w:lineRule="exact"/>
        <w:rPr>
          <w:color w:val="auto"/>
          <w:highlight w:val="none"/>
        </w:rPr>
      </w:pPr>
    </w:p>
    <w:p>
      <w:pPr>
        <w:spacing w:line="502" w:lineRule="exact"/>
        <w:jc w:val="center"/>
        <w:outlineLvl w:val="1"/>
        <w:rPr>
          <w:b/>
          <w:color w:val="auto"/>
          <w:sz w:val="44"/>
          <w:highlight w:val="none"/>
        </w:rPr>
      </w:pPr>
      <w:bookmarkStart w:id="436" w:name="_Toc97798611"/>
      <w:r>
        <w:rPr>
          <w:b/>
          <w:color w:val="auto"/>
          <w:sz w:val="44"/>
          <w:highlight w:val="none"/>
        </w:rPr>
        <w:t>第四章合同条款及格式</w:t>
      </w:r>
      <w:bookmarkEnd w:id="436"/>
    </w:p>
    <w:p>
      <w:pPr>
        <w:spacing w:line="324" w:lineRule="exact"/>
        <w:rPr>
          <w:color w:val="auto"/>
          <w:highlight w:val="none"/>
        </w:rPr>
      </w:pPr>
    </w:p>
    <w:p>
      <w:pPr>
        <w:spacing w:before="120" w:after="120" w:line="360" w:lineRule="auto"/>
        <w:jc w:val="center"/>
        <w:rPr>
          <w:color w:val="auto"/>
          <w:highlight w:val="none"/>
        </w:rPr>
        <w:sectPr>
          <w:pgSz w:w="11907" w:h="16839"/>
          <w:pgMar w:top="1440" w:right="1440" w:bottom="1418" w:left="1440" w:header="993" w:footer="749" w:gutter="0"/>
          <w:cols w:space="720" w:num="1"/>
          <w:titlePg/>
          <w:docGrid w:linePitch="360" w:charSpace="0"/>
        </w:sectPr>
      </w:pPr>
      <w:r>
        <w:rPr>
          <w:rFonts w:hint="eastAsia"/>
          <w:b/>
          <w:bCs/>
          <w:color w:val="auto"/>
          <w:sz w:val="32"/>
          <w:szCs w:val="32"/>
          <w:highlight w:val="none"/>
        </w:rPr>
        <w:t>（另册</w:t>
      </w:r>
      <w:r>
        <w:rPr>
          <w:b/>
          <w:bCs/>
          <w:color w:val="auto"/>
          <w:sz w:val="32"/>
          <w:szCs w:val="32"/>
          <w:highlight w:val="none"/>
        </w:rPr>
        <w:t>）</w:t>
      </w: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pStyle w:val="2"/>
        <w:rPr>
          <w:color w:val="auto"/>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p>
    <w:p>
      <w:pPr>
        <w:spacing w:line="502" w:lineRule="exact"/>
        <w:jc w:val="center"/>
        <w:outlineLvl w:val="1"/>
        <w:rPr>
          <w:b/>
          <w:color w:val="auto"/>
          <w:sz w:val="44"/>
          <w:highlight w:val="none"/>
        </w:rPr>
      </w:pPr>
      <w:bookmarkStart w:id="437" w:name="_Toc97798612"/>
      <w:r>
        <w:rPr>
          <w:b/>
          <w:color w:val="auto"/>
          <w:sz w:val="44"/>
          <w:highlight w:val="none"/>
        </w:rPr>
        <w:t>第五章 委托人要求</w:t>
      </w:r>
      <w:bookmarkEnd w:id="437"/>
    </w:p>
    <w:p>
      <w:pPr>
        <w:widowControl/>
        <w:shd w:val="clear" w:color="auto" w:fill="FFFFFF"/>
        <w:snapToGrid w:val="0"/>
        <w:spacing w:line="360" w:lineRule="auto"/>
        <w:ind w:firstLine="480" w:firstLineChars="200"/>
        <w:jc w:val="left"/>
        <w:rPr>
          <w:rFonts w:ascii="宋体" w:hAnsi="宋体"/>
          <w:snapToGrid w:val="0"/>
          <w:color w:val="auto"/>
          <w:kern w:val="28"/>
          <w:sz w:val="24"/>
          <w:szCs w:val="24"/>
          <w:highlight w:val="none"/>
        </w:rPr>
      </w:pPr>
    </w:p>
    <w:p>
      <w:pPr>
        <w:keepNext/>
        <w:keepLines/>
        <w:spacing w:before="260" w:line="360" w:lineRule="auto"/>
        <w:outlineLvl w:val="1"/>
        <w:rPr>
          <w:rFonts w:ascii="Arial" w:hAnsi="Arial"/>
          <w:b/>
          <w:color w:val="auto"/>
          <w:sz w:val="28"/>
          <w:szCs w:val="28"/>
          <w:highlight w:val="none"/>
        </w:rPr>
      </w:pPr>
      <w:bookmarkStart w:id="438" w:name="_Toc97798613"/>
      <w:r>
        <w:rPr>
          <w:rFonts w:hint="eastAsia" w:ascii="Arial" w:hAnsi="Arial" w:eastAsia="黑体"/>
          <w:b/>
          <w:color w:val="auto"/>
          <w:sz w:val="28"/>
          <w:szCs w:val="28"/>
          <w:highlight w:val="none"/>
        </w:rPr>
        <w:t>一、项目概况</w:t>
      </w:r>
      <w:bookmarkEnd w:id="438"/>
    </w:p>
    <w:p>
      <w:pPr>
        <w:spacing w:before="240" w:line="360" w:lineRule="auto"/>
        <w:ind w:firstLine="560" w:firstLineChars="200"/>
        <w:rPr>
          <w:rFonts w:asci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、项目地点</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广州市中心城区地下综合管廊（沿轨道交通十一号线）主线(非试点段）工程途经海珠、天河、白云、越秀和荔湾等中心城区，主要沿新滘路、科韵路、广园路、芳村大道等城市道路布置，全部采用地下敷设方式，总长度约42.6公里，设控制中心1座、工作井40座，地下管廊采用外径6米、内径5.4米的盾构圆形断面，分为上、下两舱，上部为电力舱，下部为给水通信舱，可容纳220kV/110kV电缆，DN1600供水管，并预留通信管位。</w:t>
      </w:r>
    </w:p>
    <w:p>
      <w:pPr>
        <w:spacing w:before="240" w:line="360" w:lineRule="auto"/>
        <w:ind w:firstLine="560" w:firstLineChars="200"/>
        <w:rPr>
          <w:rFonts w:asci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、项目内容</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按照</w:t>
      </w:r>
      <w:bookmarkStart w:id="439" w:name="_Hlk36729624"/>
      <w:r>
        <w:rPr>
          <w:rFonts w:hint="eastAsia" w:ascii="宋体" w:hAnsi="宋体"/>
          <w:color w:val="auto"/>
          <w:sz w:val="28"/>
          <w:szCs w:val="28"/>
          <w:highlight w:val="none"/>
        </w:rPr>
        <w:t>《建设工程质量检测管理办法》（中华人民共和国建设部令第1</w:t>
      </w:r>
      <w:r>
        <w:rPr>
          <w:rFonts w:ascii="宋体" w:hAnsi="宋体"/>
          <w:color w:val="auto"/>
          <w:sz w:val="28"/>
          <w:szCs w:val="28"/>
          <w:highlight w:val="none"/>
        </w:rPr>
        <w:t>41号</w:t>
      </w:r>
      <w:r>
        <w:rPr>
          <w:rFonts w:hint="eastAsia" w:ascii="宋体" w:hAnsi="宋体"/>
          <w:color w:val="auto"/>
          <w:sz w:val="28"/>
          <w:szCs w:val="28"/>
          <w:highlight w:val="none"/>
        </w:rPr>
        <w:t>）、广州市建设工程行政主管部门的</w:t>
      </w:r>
      <w:bookmarkEnd w:id="439"/>
      <w:r>
        <w:rPr>
          <w:rFonts w:hint="eastAsia" w:ascii="宋体" w:hAnsi="宋体"/>
          <w:color w:val="auto"/>
          <w:sz w:val="28"/>
          <w:szCs w:val="28"/>
          <w:highlight w:val="none"/>
        </w:rPr>
        <w:t>要求，开展广州市中心城区地下综合管廊（沿轨道交通十一号线）</w:t>
      </w:r>
      <w:r>
        <w:rPr>
          <w:rFonts w:hint="eastAsia" w:ascii="宋体" w:hAnsi="宋体" w:cs="宋体"/>
          <w:color w:val="auto"/>
          <w:sz w:val="28"/>
          <w:szCs w:val="28"/>
          <w:highlight w:val="none"/>
        </w:rPr>
        <w:t>主</w:t>
      </w:r>
      <w:r>
        <w:rPr>
          <w:rFonts w:hint="eastAsia" w:ascii="宋体" w:hAnsi="宋体"/>
          <w:color w:val="auto"/>
          <w:sz w:val="28"/>
          <w:szCs w:val="28"/>
          <w:highlight w:val="none"/>
        </w:rPr>
        <w:t>线</w:t>
      </w:r>
      <w:r>
        <w:rPr>
          <w:rFonts w:ascii="宋体" w:hAnsi="宋体"/>
          <w:color w:val="auto"/>
          <w:sz w:val="28"/>
          <w:szCs w:val="28"/>
          <w:highlight w:val="none"/>
        </w:rPr>
        <w:t>建筑节</w:t>
      </w:r>
      <w:r>
        <w:rPr>
          <w:rFonts w:hint="eastAsia" w:ascii="宋体" w:hAnsi="宋体"/>
          <w:color w:val="auto"/>
          <w:sz w:val="28"/>
          <w:szCs w:val="28"/>
          <w:highlight w:val="none"/>
        </w:rPr>
        <w:t>能、</w:t>
      </w:r>
      <w:r>
        <w:rPr>
          <w:rFonts w:ascii="宋体" w:hAnsi="宋体"/>
          <w:color w:val="auto"/>
          <w:sz w:val="28"/>
          <w:szCs w:val="28"/>
          <w:highlight w:val="none"/>
        </w:rPr>
        <w:t>智能</w:t>
      </w:r>
      <w:r>
        <w:rPr>
          <w:rFonts w:hint="eastAsia" w:ascii="宋体" w:hAnsi="宋体"/>
          <w:color w:val="auto"/>
          <w:sz w:val="28"/>
          <w:szCs w:val="28"/>
          <w:highlight w:val="none"/>
        </w:rPr>
        <w:t>建筑、消防、附属结构第三方检测工作，出具相应的第三方检测报告，通过广州市建设工程行政主管部门的审查，顺利通过竣工验收。</w:t>
      </w:r>
    </w:p>
    <w:p>
      <w:pPr>
        <w:keepNext/>
        <w:keepLines/>
        <w:spacing w:before="260" w:line="360" w:lineRule="auto"/>
        <w:outlineLvl w:val="1"/>
        <w:rPr>
          <w:rFonts w:ascii="Arial" w:hAnsi="Arial" w:eastAsia="黑体"/>
          <w:b/>
          <w:color w:val="auto"/>
          <w:sz w:val="28"/>
          <w:szCs w:val="28"/>
          <w:highlight w:val="none"/>
        </w:rPr>
      </w:pPr>
      <w:bookmarkStart w:id="440" w:name="_Toc97798614"/>
      <w:r>
        <w:rPr>
          <w:rFonts w:hint="eastAsia" w:ascii="Arial" w:hAnsi="Arial" w:eastAsia="黑体"/>
          <w:b/>
          <w:color w:val="auto"/>
          <w:sz w:val="28"/>
          <w:szCs w:val="28"/>
          <w:highlight w:val="none"/>
        </w:rPr>
        <w:t>二、项目实施条件</w:t>
      </w:r>
      <w:bookmarkEnd w:id="440"/>
    </w:p>
    <w:p>
      <w:pPr>
        <w:spacing w:line="360" w:lineRule="auto"/>
        <w:ind w:firstLine="560" w:firstLineChars="200"/>
        <w:rPr>
          <w:rFonts w:ascii="宋体"/>
          <w:color w:val="auto"/>
          <w:sz w:val="28"/>
          <w:szCs w:val="28"/>
          <w:highlight w:val="none"/>
        </w:rPr>
      </w:pPr>
      <w:r>
        <w:rPr>
          <w:rFonts w:hint="eastAsia" w:ascii="宋体" w:hAnsi="宋体"/>
          <w:color w:val="auto"/>
          <w:sz w:val="28"/>
          <w:szCs w:val="28"/>
          <w:highlight w:val="none"/>
        </w:rPr>
        <w:t>甲方提供本项目涉及的相关图纸及其他资料，资料接收方须做好保密，未经甲方授权不得外传。</w:t>
      </w:r>
      <w:bookmarkStart w:id="441" w:name="_Hlk36730213"/>
      <w:r>
        <w:rPr>
          <w:rFonts w:hint="eastAsia" w:ascii="宋体" w:hAnsi="宋体" w:cs="宋体"/>
          <w:bCs/>
          <w:color w:val="auto"/>
          <w:sz w:val="28"/>
          <w:szCs w:val="28"/>
          <w:highlight w:val="none"/>
        </w:rPr>
        <w:t>其中</w:t>
      </w:r>
      <w:r>
        <w:rPr>
          <w:rFonts w:hint="eastAsia" w:ascii="宋体" w:hAnsi="宋体" w:cs="宋体"/>
          <w:color w:val="auto"/>
          <w:sz w:val="28"/>
          <w:szCs w:val="28"/>
          <w:highlight w:val="none"/>
        </w:rPr>
        <w:t>主</w:t>
      </w:r>
      <w:r>
        <w:rPr>
          <w:rFonts w:hint="eastAsia" w:ascii="宋体" w:hAnsi="宋体"/>
          <w:color w:val="auto"/>
          <w:sz w:val="28"/>
          <w:szCs w:val="28"/>
          <w:highlight w:val="none"/>
        </w:rPr>
        <w:t>线</w:t>
      </w:r>
      <w:r>
        <w:rPr>
          <w:rFonts w:ascii="宋体" w:hAnsi="宋体"/>
          <w:color w:val="auto"/>
          <w:sz w:val="28"/>
          <w:szCs w:val="28"/>
          <w:highlight w:val="none"/>
        </w:rPr>
        <w:t>建筑节</w:t>
      </w:r>
      <w:r>
        <w:rPr>
          <w:rFonts w:hint="eastAsia" w:ascii="宋体" w:hAnsi="宋体"/>
          <w:color w:val="auto"/>
          <w:sz w:val="28"/>
          <w:szCs w:val="28"/>
          <w:highlight w:val="none"/>
        </w:rPr>
        <w:t>能、</w:t>
      </w:r>
      <w:r>
        <w:rPr>
          <w:rFonts w:ascii="宋体" w:hAnsi="宋体"/>
          <w:color w:val="auto"/>
          <w:sz w:val="28"/>
          <w:szCs w:val="28"/>
          <w:highlight w:val="none"/>
        </w:rPr>
        <w:t>智能</w:t>
      </w:r>
      <w:r>
        <w:rPr>
          <w:rFonts w:hint="eastAsia" w:ascii="宋体" w:hAnsi="宋体"/>
          <w:color w:val="auto"/>
          <w:sz w:val="28"/>
          <w:szCs w:val="28"/>
          <w:highlight w:val="none"/>
        </w:rPr>
        <w:t>建筑、消防在</w:t>
      </w:r>
      <w:r>
        <w:rPr>
          <w:rFonts w:hint="eastAsia"/>
          <w:color w:val="auto"/>
          <w:sz w:val="28"/>
          <w:szCs w:val="21"/>
          <w:highlight w:val="none"/>
        </w:rPr>
        <w:t>各项设备系统在安装工程完工后，所有系统设备在设计工况下正常运转、各系统联合试运转及平衡调试后进行。</w:t>
      </w:r>
      <w:bookmarkEnd w:id="441"/>
    </w:p>
    <w:p>
      <w:pPr>
        <w:keepNext/>
        <w:keepLines/>
        <w:spacing w:before="260" w:line="360" w:lineRule="auto"/>
        <w:outlineLvl w:val="1"/>
        <w:rPr>
          <w:rFonts w:ascii="Arial" w:hAnsi="Arial" w:eastAsia="黑体"/>
          <w:b/>
          <w:color w:val="auto"/>
          <w:sz w:val="28"/>
          <w:szCs w:val="28"/>
          <w:highlight w:val="none"/>
        </w:rPr>
      </w:pPr>
      <w:bookmarkStart w:id="442" w:name="_Toc97798616"/>
      <w:r>
        <w:rPr>
          <w:rFonts w:hint="eastAsia" w:ascii="Arial" w:hAnsi="Arial" w:eastAsia="黑体"/>
          <w:b/>
          <w:color w:val="auto"/>
          <w:sz w:val="28"/>
          <w:szCs w:val="28"/>
          <w:highlight w:val="none"/>
        </w:rPr>
        <w:t>三、技术要求</w:t>
      </w:r>
      <w:bookmarkEnd w:id="442"/>
    </w:p>
    <w:p>
      <w:pPr>
        <w:spacing w:line="360" w:lineRule="auto"/>
        <w:ind w:firstLine="560" w:firstLineChars="200"/>
        <w:rPr>
          <w:color w:val="auto"/>
          <w:sz w:val="28"/>
          <w:szCs w:val="21"/>
          <w:highlight w:val="none"/>
        </w:rPr>
      </w:pPr>
      <w:r>
        <w:rPr>
          <w:rFonts w:hint="eastAsia"/>
          <w:color w:val="auto"/>
          <w:sz w:val="28"/>
          <w:szCs w:val="21"/>
          <w:highlight w:val="none"/>
        </w:rPr>
        <w:t>1、编制检测工作大纲，并有针对性的对各工点具体检测工程数量进行核实，检测工程数量必须符合相应规范要求，对于超出规范规定要求的工作量的增减，检测单位应取得业主的书面批准，方可实施检测。</w:t>
      </w:r>
    </w:p>
    <w:p>
      <w:pPr>
        <w:spacing w:line="360" w:lineRule="auto"/>
        <w:ind w:firstLine="560" w:firstLineChars="200"/>
        <w:rPr>
          <w:color w:val="auto"/>
          <w:sz w:val="28"/>
          <w:szCs w:val="21"/>
          <w:highlight w:val="none"/>
        </w:rPr>
      </w:pPr>
      <w:r>
        <w:rPr>
          <w:rFonts w:hint="eastAsia"/>
          <w:color w:val="auto"/>
          <w:sz w:val="28"/>
          <w:szCs w:val="21"/>
          <w:highlight w:val="none"/>
        </w:rPr>
        <w:t xml:space="preserve">2、检测工作需按业主要求在规定时间内进行检测，并在相应规定的时间和业主指定的时间内保质保量完成，提供具有法定效力的检测试验报告，不能影响工程其他工序的实施。若不能按相应规定的时间和业主要求的时间进行检测的，将按违约扣罚对应检测款。 </w:t>
      </w:r>
    </w:p>
    <w:p>
      <w:pPr>
        <w:spacing w:line="360" w:lineRule="auto"/>
        <w:ind w:firstLine="560" w:firstLineChars="200"/>
        <w:rPr>
          <w:rFonts w:ascii="宋体" w:hAnsi="宋体" w:cs="仿宋_GB2312"/>
          <w:color w:val="auto"/>
          <w:sz w:val="28"/>
          <w:szCs w:val="28"/>
          <w:highlight w:val="none"/>
        </w:rPr>
      </w:pPr>
      <w:r>
        <w:rPr>
          <w:rFonts w:hint="eastAsia"/>
          <w:color w:val="auto"/>
          <w:sz w:val="28"/>
          <w:szCs w:val="21"/>
          <w:highlight w:val="none"/>
        </w:rPr>
        <w:t>3、</w:t>
      </w:r>
      <w:r>
        <w:rPr>
          <w:rFonts w:hint="eastAsia" w:ascii="宋体" w:hAnsi="宋体" w:cs="宋体"/>
          <w:color w:val="auto"/>
          <w:sz w:val="28"/>
          <w:szCs w:val="28"/>
          <w:highlight w:val="none"/>
        </w:rPr>
        <w:t>主</w:t>
      </w:r>
      <w:r>
        <w:rPr>
          <w:rFonts w:hint="eastAsia" w:ascii="宋体" w:hAnsi="宋体"/>
          <w:color w:val="auto"/>
          <w:sz w:val="28"/>
          <w:szCs w:val="28"/>
          <w:highlight w:val="none"/>
        </w:rPr>
        <w:t>线</w:t>
      </w:r>
      <w:r>
        <w:rPr>
          <w:rFonts w:ascii="宋体" w:hAnsi="宋体"/>
          <w:color w:val="auto"/>
          <w:sz w:val="28"/>
          <w:szCs w:val="28"/>
          <w:highlight w:val="none"/>
        </w:rPr>
        <w:t>建筑节</w:t>
      </w:r>
      <w:r>
        <w:rPr>
          <w:rFonts w:hint="eastAsia" w:ascii="宋体" w:hAnsi="宋体"/>
          <w:color w:val="auto"/>
          <w:sz w:val="28"/>
          <w:szCs w:val="28"/>
          <w:highlight w:val="none"/>
        </w:rPr>
        <w:t>能、</w:t>
      </w:r>
      <w:r>
        <w:rPr>
          <w:rFonts w:ascii="宋体" w:hAnsi="宋体"/>
          <w:color w:val="auto"/>
          <w:sz w:val="28"/>
          <w:szCs w:val="28"/>
          <w:highlight w:val="none"/>
        </w:rPr>
        <w:t>智能</w:t>
      </w:r>
      <w:r>
        <w:rPr>
          <w:rFonts w:hint="eastAsia" w:ascii="宋体" w:hAnsi="宋体"/>
          <w:color w:val="auto"/>
          <w:sz w:val="28"/>
          <w:szCs w:val="28"/>
          <w:highlight w:val="none"/>
        </w:rPr>
        <w:t>建筑、消防检测在</w:t>
      </w:r>
      <w:r>
        <w:rPr>
          <w:rFonts w:hint="eastAsia"/>
          <w:color w:val="auto"/>
          <w:sz w:val="28"/>
          <w:szCs w:val="21"/>
          <w:highlight w:val="none"/>
        </w:rPr>
        <w:t>各项设备系统安装工程完工后，所有系统设备在设计工况下正常运转、各系统联合试运转及平衡调试后进行检测。对检测数据</w:t>
      </w:r>
      <w:r>
        <w:rPr>
          <w:rFonts w:hint="eastAsia" w:ascii="宋体" w:hAnsi="宋体" w:cs="仿宋_GB2312"/>
          <w:color w:val="auto"/>
          <w:sz w:val="28"/>
          <w:szCs w:val="28"/>
          <w:highlight w:val="none"/>
        </w:rPr>
        <w:t>进行计算及分析，出具相应的第三方检测报告。协助委托方报送的相关检测方案等通过专项验收。</w:t>
      </w:r>
    </w:p>
    <w:p>
      <w:pPr>
        <w:spacing w:line="360" w:lineRule="auto"/>
        <w:ind w:firstLine="560" w:firstLineChars="200"/>
        <w:rPr>
          <w:rFonts w:ascii="宋体" w:cs="仿宋_GB2312"/>
          <w:color w:val="auto"/>
          <w:sz w:val="28"/>
          <w:szCs w:val="28"/>
          <w:highlight w:val="none"/>
        </w:rPr>
      </w:pPr>
      <w:r>
        <w:rPr>
          <w:rFonts w:hint="eastAsia" w:ascii="宋体" w:hAnsi="宋体" w:cs="仿宋_GB2312"/>
          <w:color w:val="auto"/>
          <w:sz w:val="28"/>
          <w:szCs w:val="28"/>
          <w:highlight w:val="none"/>
        </w:rPr>
        <w:t>4、</w:t>
      </w:r>
      <w:r>
        <w:rPr>
          <w:rFonts w:hint="eastAsia" w:ascii="宋体" w:hAnsi="宋体" w:cs="宋体"/>
          <w:color w:val="auto"/>
          <w:sz w:val="28"/>
          <w:szCs w:val="28"/>
          <w:highlight w:val="none"/>
        </w:rPr>
        <w:t>若检测过程中，乙方提出有不符合相应规范/标准需业主整改的问题时，需附上所违反的具体规范/标准名称及条款内容，并及时通知业主组织整改；本项目结束（消防验收备案）日期前，业主完成整改后将通知承包商进行复检，承包商需无偿进行复检，不得以任何理由拒绝进行复检。</w:t>
      </w:r>
    </w:p>
    <w:p>
      <w:pPr>
        <w:keepNext/>
        <w:keepLines/>
        <w:tabs>
          <w:tab w:val="left" w:pos="1134"/>
          <w:tab w:val="left" w:pos="1701"/>
        </w:tabs>
        <w:spacing w:before="260" w:line="360" w:lineRule="auto"/>
        <w:outlineLvl w:val="1"/>
        <w:rPr>
          <w:rFonts w:ascii="Arial" w:hAnsi="Arial" w:eastAsia="黑体"/>
          <w:b/>
          <w:color w:val="auto"/>
          <w:sz w:val="28"/>
          <w:szCs w:val="28"/>
          <w:highlight w:val="none"/>
        </w:rPr>
      </w:pPr>
      <w:bookmarkStart w:id="443" w:name="_Toc97798618"/>
      <w:r>
        <w:rPr>
          <w:rFonts w:hint="eastAsia" w:ascii="Arial" w:hAnsi="Arial" w:eastAsia="黑体"/>
          <w:b/>
          <w:color w:val="auto"/>
          <w:sz w:val="28"/>
          <w:szCs w:val="28"/>
          <w:highlight w:val="none"/>
        </w:rPr>
        <w:t>四、工程量清单</w:t>
      </w:r>
      <w:bookmarkEnd w:id="443"/>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附件1 建筑节能检测数量表；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附件2 智能建筑检测数量表；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附件3消防设施检测数量表；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附件4附属结构检测数量表</w:t>
      </w:r>
    </w:p>
    <w:p>
      <w:pPr>
        <w:spacing w:line="360" w:lineRule="auto"/>
        <w:ind w:firstLine="560" w:firstLineChars="200"/>
        <w:jc w:val="left"/>
        <w:rPr>
          <w:b/>
          <w:color w:val="auto"/>
          <w:sz w:val="44"/>
          <w:highlight w:val="none"/>
        </w:rPr>
      </w:pPr>
      <w:r>
        <w:rPr>
          <w:rFonts w:hint="eastAsia" w:ascii="宋体" w:hAnsi="宋体"/>
          <w:color w:val="auto"/>
          <w:sz w:val="28"/>
          <w:szCs w:val="28"/>
          <w:highlight w:val="none"/>
        </w:rPr>
        <w:t>具体以现场实际数量为准。</w:t>
      </w:r>
      <w:r>
        <w:rPr>
          <w:rFonts w:hint="eastAsia" w:ascii="宋体" w:hAnsi="宋体" w:cs="宋体"/>
          <w:b/>
          <w:color w:val="auto"/>
          <w:sz w:val="43"/>
          <w:highlight w:val="none"/>
        </w:rPr>
        <w:br w:type="page"/>
      </w:r>
    </w:p>
    <w:p>
      <w:pPr>
        <w:spacing w:line="502" w:lineRule="exact"/>
        <w:jc w:val="center"/>
        <w:outlineLvl w:val="1"/>
        <w:rPr>
          <w:b/>
          <w:color w:val="auto"/>
          <w:sz w:val="44"/>
          <w:highlight w:val="none"/>
        </w:rPr>
      </w:pPr>
    </w:p>
    <w:p>
      <w:pPr>
        <w:numPr>
          <w:ilvl w:val="0"/>
          <w:numId w:val="3"/>
        </w:numPr>
        <w:spacing w:line="502" w:lineRule="exact"/>
        <w:jc w:val="center"/>
        <w:outlineLvl w:val="1"/>
        <w:rPr>
          <w:b/>
          <w:color w:val="auto"/>
          <w:sz w:val="44"/>
          <w:highlight w:val="none"/>
        </w:rPr>
      </w:pPr>
      <w:bookmarkStart w:id="444" w:name="_Toc97798619"/>
      <w:r>
        <w:rPr>
          <w:b/>
          <w:color w:val="auto"/>
          <w:sz w:val="44"/>
          <w:highlight w:val="none"/>
        </w:rPr>
        <w:t>检测服务清单</w:t>
      </w:r>
      <w:bookmarkEnd w:id="444"/>
    </w:p>
    <w:p>
      <w:pPr>
        <w:pStyle w:val="13"/>
        <w:numPr>
          <w:ilvl w:val="-1"/>
          <w:numId w:val="0"/>
        </w:numPr>
        <w:ind w:firstLine="0"/>
        <w:rPr>
          <w:b/>
          <w:color w:val="auto"/>
          <w:sz w:val="44"/>
          <w:highlight w:val="none"/>
        </w:rPr>
      </w:pPr>
    </w:p>
    <w:p>
      <w:pPr>
        <w:pStyle w:val="13"/>
        <w:numPr>
          <w:ilvl w:val="-1"/>
          <w:numId w:val="0"/>
        </w:numPr>
        <w:ind w:firstLine="0"/>
        <w:jc w:val="center"/>
        <w:rPr>
          <w:rFonts w:hint="eastAsia" w:ascii="宋体" w:hAnsi="宋体" w:cs="宋体"/>
          <w:b/>
          <w:bCs/>
          <w:color w:val="auto"/>
          <w:kern w:val="0"/>
          <w:sz w:val="30"/>
          <w:szCs w:val="30"/>
          <w:highlight w:val="none"/>
          <w:lang w:bidi="ar"/>
        </w:rPr>
      </w:pPr>
    </w:p>
    <w:tbl>
      <w:tblPr>
        <w:tblStyle w:val="4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54"/>
        <w:gridCol w:w="273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78" w:type="dxa"/>
            <w:gridSpan w:val="4"/>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p>
          <w:p>
            <w:pPr>
              <w:pStyle w:val="13"/>
              <w:widowControl/>
              <w:numPr>
                <w:ilvl w:val="0"/>
                <w:numId w:val="0"/>
              </w:numP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0"/>
                <w:sz w:val="28"/>
                <w:szCs w:val="28"/>
                <w:highlight w:val="none"/>
                <w:lang w:bidi="ar"/>
              </w:rPr>
              <w:t>广州市中心城区地下综合管廊（沿轨道交通十一号线）主线建筑节能、智能建筑、消防、附属结构检测服务项目检测服务清单汇总表</w:t>
            </w:r>
          </w:p>
          <w:p>
            <w:pPr>
              <w:pStyle w:val="13"/>
              <w:numPr>
                <w:ilvl w:val="-1"/>
                <w:numId w:val="0"/>
              </w:numPr>
              <w:jc w:val="center"/>
              <w:rPr>
                <w:rFonts w:hint="eastAsia" w:ascii="宋体" w:hAnsi="宋体" w:eastAsia="宋体" w:cs="宋体"/>
                <w:b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4" w:type="dxa"/>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bidi="ar"/>
              </w:rPr>
              <w:t>序号</w:t>
            </w:r>
          </w:p>
        </w:tc>
        <w:tc>
          <w:tcPr>
            <w:tcW w:w="3354" w:type="dxa"/>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bidi="ar"/>
              </w:rPr>
              <w:t>检测内容</w:t>
            </w:r>
          </w:p>
        </w:tc>
        <w:tc>
          <w:tcPr>
            <w:tcW w:w="2739" w:type="dxa"/>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bidi="ar"/>
              </w:rPr>
              <w:t>金额（元）</w:t>
            </w:r>
          </w:p>
        </w:tc>
        <w:tc>
          <w:tcPr>
            <w:tcW w:w="1751" w:type="dxa"/>
            <w:vAlign w:val="center"/>
          </w:tcPr>
          <w:p>
            <w:pPr>
              <w:pStyle w:val="13"/>
              <w:numPr>
                <w:ilvl w:val="-1"/>
                <w:numId w:val="0"/>
              </w:numPr>
              <w:ind w:left="0" w:leftChars="0" w:firstLine="0" w:firstLineChars="0"/>
              <w:jc w:val="center"/>
              <w:rPr>
                <w:rFonts w:hint="eastAsia" w:ascii="宋体" w:hAnsi="宋体" w:eastAsia="宋体" w:cs="宋体"/>
                <w:b w:val="0"/>
                <w:color w:val="auto"/>
                <w:kern w:val="0"/>
                <w:sz w:val="24"/>
                <w:szCs w:val="24"/>
                <w:highlight w:val="none"/>
                <w:vertAlign w:val="baseline"/>
                <w:lang w:val="en-US" w:eastAsia="zh-CN" w:bidi="ar"/>
              </w:rPr>
            </w:pPr>
            <w:r>
              <w:rPr>
                <w:rFonts w:hint="eastAsia" w:ascii="宋体" w:hAnsi="宋体" w:cs="宋体"/>
                <w:b w:val="0"/>
                <w:color w:val="auto"/>
                <w:kern w:val="0"/>
                <w:sz w:val="24"/>
                <w:szCs w:val="24"/>
                <w:highlight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4"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highlight w:val="none"/>
                <w:lang w:bidi="ar"/>
              </w:rPr>
              <w:t>一</w:t>
            </w:r>
          </w:p>
        </w:tc>
        <w:tc>
          <w:tcPr>
            <w:tcW w:w="3354"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建筑节能检测</w:t>
            </w:r>
          </w:p>
        </w:tc>
        <w:tc>
          <w:tcPr>
            <w:tcW w:w="2739" w:type="dxa"/>
            <w:vAlign w:val="center"/>
          </w:tcPr>
          <w:p>
            <w:pPr>
              <w:jc w:val="center"/>
              <w:rPr>
                <w:rFonts w:hint="eastAsia" w:ascii="宋体" w:hAnsi="宋体" w:eastAsia="宋体" w:cs="宋体"/>
                <w:b/>
                <w:bCs/>
                <w:color w:val="auto"/>
                <w:kern w:val="2"/>
                <w:sz w:val="22"/>
                <w:szCs w:val="22"/>
                <w:highlight w:val="none"/>
                <w:lang w:val="en-US" w:eastAsia="zh-CN" w:bidi="ar-SA"/>
              </w:rPr>
            </w:pPr>
          </w:p>
        </w:tc>
        <w:tc>
          <w:tcPr>
            <w:tcW w:w="1751" w:type="dxa"/>
            <w:vAlign w:val="center"/>
          </w:tcPr>
          <w:p>
            <w:pPr>
              <w:pStyle w:val="13"/>
              <w:numPr>
                <w:ilvl w:val="-1"/>
                <w:numId w:val="0"/>
              </w:numPr>
              <w:jc w:val="center"/>
              <w:rPr>
                <w:rFonts w:hint="eastAsia" w:ascii="宋体" w:hAnsi="宋体" w:cs="宋体"/>
                <w:b w:val="0"/>
                <w:color w:val="auto"/>
                <w:kern w:val="0"/>
                <w:sz w:val="24"/>
                <w:szCs w:val="2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34"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highlight w:val="none"/>
                <w:lang w:bidi="ar"/>
              </w:rPr>
              <w:t>二</w:t>
            </w:r>
          </w:p>
        </w:tc>
        <w:tc>
          <w:tcPr>
            <w:tcW w:w="3354"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智能建筑检测</w:t>
            </w:r>
          </w:p>
        </w:tc>
        <w:tc>
          <w:tcPr>
            <w:tcW w:w="2739" w:type="dxa"/>
            <w:vAlign w:val="center"/>
          </w:tcPr>
          <w:p>
            <w:pPr>
              <w:jc w:val="center"/>
              <w:rPr>
                <w:rFonts w:hint="eastAsia" w:ascii="宋体" w:hAnsi="宋体" w:eastAsia="宋体" w:cs="宋体"/>
                <w:b/>
                <w:bCs/>
                <w:color w:val="auto"/>
                <w:kern w:val="2"/>
                <w:sz w:val="22"/>
                <w:szCs w:val="22"/>
                <w:highlight w:val="none"/>
                <w:lang w:val="en-US" w:eastAsia="zh-CN" w:bidi="ar-SA"/>
              </w:rPr>
            </w:pPr>
          </w:p>
        </w:tc>
        <w:tc>
          <w:tcPr>
            <w:tcW w:w="1751" w:type="dxa"/>
            <w:vAlign w:val="center"/>
          </w:tcPr>
          <w:p>
            <w:pPr>
              <w:pStyle w:val="13"/>
              <w:numPr>
                <w:ilvl w:val="-1"/>
                <w:numId w:val="0"/>
              </w:numPr>
              <w:jc w:val="center"/>
              <w:rPr>
                <w:rFonts w:hint="eastAsia" w:ascii="宋体" w:hAnsi="宋体" w:cs="宋体"/>
                <w:b w:val="0"/>
                <w:color w:val="auto"/>
                <w:kern w:val="0"/>
                <w:sz w:val="24"/>
                <w:szCs w:val="2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4"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highlight w:val="none"/>
                <w:lang w:bidi="ar"/>
              </w:rPr>
              <w:t>三</w:t>
            </w:r>
          </w:p>
        </w:tc>
        <w:tc>
          <w:tcPr>
            <w:tcW w:w="3354"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消防设施检测</w:t>
            </w:r>
          </w:p>
        </w:tc>
        <w:tc>
          <w:tcPr>
            <w:tcW w:w="2739" w:type="dxa"/>
            <w:vAlign w:val="center"/>
          </w:tcPr>
          <w:p>
            <w:pPr>
              <w:jc w:val="center"/>
              <w:rPr>
                <w:rFonts w:hint="eastAsia" w:ascii="宋体" w:hAnsi="宋体" w:eastAsia="宋体" w:cs="宋体"/>
                <w:b/>
                <w:bCs/>
                <w:color w:val="auto"/>
                <w:kern w:val="2"/>
                <w:sz w:val="22"/>
                <w:szCs w:val="22"/>
                <w:highlight w:val="none"/>
                <w:lang w:val="en-US" w:eastAsia="zh-CN" w:bidi="ar-SA"/>
              </w:rPr>
            </w:pPr>
          </w:p>
        </w:tc>
        <w:tc>
          <w:tcPr>
            <w:tcW w:w="1751" w:type="dxa"/>
            <w:vAlign w:val="center"/>
          </w:tcPr>
          <w:p>
            <w:pPr>
              <w:pStyle w:val="13"/>
              <w:numPr>
                <w:ilvl w:val="-1"/>
                <w:numId w:val="0"/>
              </w:numPr>
              <w:jc w:val="center"/>
              <w:rPr>
                <w:rFonts w:hint="eastAsia" w:ascii="宋体" w:hAnsi="宋体" w:cs="宋体"/>
                <w:b w:val="0"/>
                <w:color w:val="auto"/>
                <w:kern w:val="0"/>
                <w:sz w:val="24"/>
                <w:szCs w:val="2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34"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highlight w:val="none"/>
                <w:lang w:bidi="ar"/>
              </w:rPr>
              <w:t>四</w:t>
            </w:r>
          </w:p>
        </w:tc>
        <w:tc>
          <w:tcPr>
            <w:tcW w:w="3354"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附属结构检测</w:t>
            </w:r>
          </w:p>
        </w:tc>
        <w:tc>
          <w:tcPr>
            <w:tcW w:w="2739" w:type="dxa"/>
            <w:vAlign w:val="center"/>
          </w:tcPr>
          <w:p>
            <w:pPr>
              <w:jc w:val="center"/>
              <w:rPr>
                <w:rFonts w:hint="eastAsia" w:ascii="宋体" w:hAnsi="宋体" w:eastAsia="宋体" w:cs="宋体"/>
                <w:b/>
                <w:bCs/>
                <w:color w:val="auto"/>
                <w:kern w:val="2"/>
                <w:sz w:val="22"/>
                <w:szCs w:val="22"/>
                <w:highlight w:val="none"/>
                <w:lang w:val="en-US" w:eastAsia="zh-CN" w:bidi="ar-SA"/>
              </w:rPr>
            </w:pPr>
          </w:p>
        </w:tc>
        <w:tc>
          <w:tcPr>
            <w:tcW w:w="1751" w:type="dxa"/>
            <w:vAlign w:val="center"/>
          </w:tcPr>
          <w:p>
            <w:pPr>
              <w:pStyle w:val="13"/>
              <w:numPr>
                <w:ilvl w:val="-1"/>
                <w:numId w:val="0"/>
              </w:numPr>
              <w:jc w:val="center"/>
              <w:rPr>
                <w:rFonts w:hint="eastAsia" w:ascii="宋体" w:hAnsi="宋体" w:cs="宋体"/>
                <w:b w:val="0"/>
                <w:color w:val="auto"/>
                <w:kern w:val="0"/>
                <w:sz w:val="24"/>
                <w:szCs w:val="2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34" w:type="dxa"/>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五</w:t>
            </w:r>
          </w:p>
        </w:tc>
        <w:tc>
          <w:tcPr>
            <w:tcW w:w="3354" w:type="dxa"/>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总计（一+二+三+四）（元）</w:t>
            </w:r>
          </w:p>
        </w:tc>
        <w:tc>
          <w:tcPr>
            <w:tcW w:w="2739" w:type="dxa"/>
            <w:vAlign w:val="center"/>
          </w:tcPr>
          <w:p>
            <w:pPr>
              <w:jc w:val="center"/>
              <w:rPr>
                <w:rFonts w:hint="eastAsia" w:ascii="宋体" w:hAnsi="宋体" w:eastAsia="宋体" w:cs="宋体"/>
                <w:b/>
                <w:bCs/>
                <w:color w:val="auto"/>
                <w:kern w:val="2"/>
                <w:sz w:val="22"/>
                <w:szCs w:val="22"/>
                <w:highlight w:val="none"/>
                <w:lang w:val="en-US" w:eastAsia="zh-CN" w:bidi="ar-SA"/>
              </w:rPr>
            </w:pPr>
          </w:p>
        </w:tc>
        <w:tc>
          <w:tcPr>
            <w:tcW w:w="1751" w:type="dxa"/>
            <w:vAlign w:val="center"/>
          </w:tcPr>
          <w:p>
            <w:pPr>
              <w:pStyle w:val="13"/>
              <w:numPr>
                <w:ilvl w:val="-1"/>
                <w:numId w:val="0"/>
              </w:numPr>
              <w:jc w:val="center"/>
              <w:rPr>
                <w:rFonts w:hint="eastAsia" w:ascii="宋体" w:hAnsi="宋体" w:cs="宋体"/>
                <w:b w:val="0"/>
                <w:color w:val="auto"/>
                <w:kern w:val="0"/>
                <w:sz w:val="24"/>
                <w:szCs w:val="24"/>
                <w:highlight w:val="none"/>
                <w:vertAlign w:val="baseline"/>
                <w:lang w:bidi="ar"/>
              </w:rPr>
            </w:pPr>
          </w:p>
        </w:tc>
      </w:tr>
    </w:tbl>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b/>
          <w:color w:val="auto"/>
          <w:sz w:val="44"/>
          <w:highlight w:val="none"/>
        </w:rPr>
      </w:pPr>
    </w:p>
    <w:p>
      <w:pPr>
        <w:pStyle w:val="13"/>
        <w:numPr>
          <w:ilvl w:val="-1"/>
          <w:numId w:val="0"/>
        </w:numPr>
        <w:ind w:firstLine="0"/>
        <w:rPr>
          <w:rFonts w:hint="eastAsia" w:ascii="宋体" w:hAnsi="宋体" w:cs="宋体"/>
          <w:b w:val="0"/>
          <w:color w:val="auto"/>
          <w:kern w:val="0"/>
          <w:sz w:val="24"/>
          <w:szCs w:val="24"/>
          <w:highlight w:val="none"/>
          <w:u w:val="none"/>
          <w:lang w:bidi="ar"/>
        </w:rPr>
      </w:pPr>
    </w:p>
    <w:p>
      <w:pPr>
        <w:widowControl/>
        <w:jc w:val="both"/>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cs="宋体"/>
          <w:b w:val="0"/>
          <w:bCs w:val="0"/>
          <w:color w:val="auto"/>
          <w:kern w:val="0"/>
          <w:sz w:val="24"/>
          <w:szCs w:val="24"/>
          <w:highlight w:val="none"/>
          <w:u w:val="none"/>
          <w:lang w:val="en-US" w:eastAsia="zh-CN" w:bidi="ar"/>
        </w:rPr>
        <w:t>附件1</w:t>
      </w:r>
    </w:p>
    <w:tbl>
      <w:tblPr>
        <w:tblStyle w:val="42"/>
        <w:tblW w:w="8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058"/>
        <w:gridCol w:w="1272"/>
        <w:gridCol w:w="814"/>
        <w:gridCol w:w="1297"/>
        <w:gridCol w:w="1125"/>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801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3534" w:firstLineChars="11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建筑节能检测数量表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检测项目</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抽检数量</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综合单价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风管严密性及强度</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系统总风量</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风口风量</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风机单位耗功率</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轴流风机（系统无生产负荷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联合试运转）</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低噪声箱式离心风机（系统无生产负荷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联合试运转）</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平均照度</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照明功率密度</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电源质量</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隧道环境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参数</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湿度</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47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小计（元）</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auto"/>
                <w:sz w:val="24"/>
                <w:szCs w:val="24"/>
                <w:highlight w:val="none"/>
                <w:u w:val="none"/>
              </w:rPr>
            </w:pPr>
          </w:p>
        </w:tc>
      </w:tr>
    </w:tbl>
    <w:p>
      <w:pPr>
        <w:widowControl/>
        <w:jc w:val="center"/>
        <w:rPr>
          <w:rFonts w:ascii="宋体" w:hAnsi="宋体" w:cs="宋体"/>
          <w:b/>
          <w:bCs/>
          <w:color w:val="auto"/>
          <w:kern w:val="0"/>
          <w:sz w:val="32"/>
          <w:szCs w:val="32"/>
          <w:highlight w:val="none"/>
        </w:rPr>
      </w:pPr>
    </w:p>
    <w:p>
      <w:pPr>
        <w:widowControl/>
        <w:jc w:val="center"/>
        <w:rPr>
          <w:rFonts w:ascii="宋体" w:hAnsi="宋体" w:cs="宋体"/>
          <w:b/>
          <w:bCs/>
          <w:color w:val="auto"/>
          <w:kern w:val="0"/>
          <w:sz w:val="32"/>
          <w:szCs w:val="32"/>
          <w:highlight w:val="none"/>
        </w:rPr>
      </w:pPr>
    </w:p>
    <w:p>
      <w:pPr>
        <w:pStyle w:val="2"/>
        <w:rPr>
          <w:rFonts w:ascii="宋体" w:hAnsi="宋体" w:cs="宋体"/>
          <w:b/>
          <w:bCs/>
          <w:color w:val="auto"/>
          <w:kern w:val="0"/>
          <w:sz w:val="32"/>
          <w:szCs w:val="32"/>
          <w:highlight w:val="none"/>
        </w:rPr>
      </w:pPr>
    </w:p>
    <w:p>
      <w:pPr>
        <w:pStyle w:val="2"/>
        <w:rPr>
          <w:rFonts w:ascii="宋体" w:hAnsi="宋体" w:cs="宋体"/>
          <w:b/>
          <w:bCs/>
          <w:color w:val="auto"/>
          <w:kern w:val="0"/>
          <w:sz w:val="32"/>
          <w:szCs w:val="32"/>
          <w:highlight w:val="none"/>
        </w:rPr>
      </w:pPr>
    </w:p>
    <w:p>
      <w:pPr>
        <w:pStyle w:val="2"/>
        <w:rPr>
          <w:rFonts w:ascii="宋体" w:hAnsi="宋体" w:cs="宋体"/>
          <w:b/>
          <w:bCs/>
          <w:color w:val="auto"/>
          <w:kern w:val="0"/>
          <w:sz w:val="32"/>
          <w:szCs w:val="32"/>
          <w:highlight w:val="none"/>
        </w:rPr>
      </w:pPr>
    </w:p>
    <w:p>
      <w:pPr>
        <w:pStyle w:val="2"/>
        <w:rPr>
          <w:rFonts w:ascii="宋体" w:hAnsi="宋体" w:cs="宋体"/>
          <w:b/>
          <w:bCs/>
          <w:color w:val="auto"/>
          <w:kern w:val="0"/>
          <w:sz w:val="32"/>
          <w:szCs w:val="32"/>
          <w:highlight w:val="none"/>
        </w:rPr>
      </w:pPr>
    </w:p>
    <w:p>
      <w:pPr>
        <w:pStyle w:val="2"/>
        <w:rPr>
          <w:rFonts w:ascii="宋体" w:hAnsi="宋体" w:cs="宋体"/>
          <w:b/>
          <w:bCs/>
          <w:color w:val="auto"/>
          <w:kern w:val="0"/>
          <w:sz w:val="32"/>
          <w:szCs w:val="32"/>
          <w:highlight w:val="none"/>
        </w:rPr>
      </w:pPr>
    </w:p>
    <w:p>
      <w:pPr>
        <w:pStyle w:val="13"/>
        <w:ind w:firstLine="0"/>
        <w:rPr>
          <w:color w:val="auto"/>
          <w:highlight w:val="none"/>
        </w:rPr>
      </w:pPr>
    </w:p>
    <w:p>
      <w:pPr>
        <w:widowControl/>
        <w:jc w:val="both"/>
        <w:rPr>
          <w:rFonts w:ascii="宋体" w:hAnsi="宋体" w:cs="宋体"/>
          <w:b/>
          <w:bCs/>
          <w:color w:val="auto"/>
          <w:kern w:val="0"/>
          <w:sz w:val="32"/>
          <w:szCs w:val="32"/>
          <w:highlight w:val="none"/>
        </w:rPr>
      </w:pPr>
      <w:r>
        <w:rPr>
          <w:rFonts w:hint="eastAsia" w:ascii="宋体" w:hAnsi="宋体" w:cs="宋体"/>
          <w:b w:val="0"/>
          <w:bCs w:val="0"/>
          <w:color w:val="auto"/>
          <w:kern w:val="0"/>
          <w:sz w:val="24"/>
          <w:szCs w:val="24"/>
          <w:highlight w:val="none"/>
          <w:u w:val="none"/>
          <w:lang w:val="en-US" w:eastAsia="zh-CN" w:bidi="ar"/>
        </w:rPr>
        <w:t>附件2</w:t>
      </w:r>
    </w:p>
    <w:tbl>
      <w:tblPr>
        <w:tblStyle w:val="42"/>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911"/>
        <w:gridCol w:w="1332"/>
        <w:gridCol w:w="1120"/>
        <w:gridCol w:w="1216"/>
        <w:gridCol w:w="1330"/>
        <w:gridCol w:w="1253"/>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87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智能建筑检测数量表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检测项目</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抽检数量</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综合单价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auto"/>
                <w:sz w:val="24"/>
                <w:szCs w:val="24"/>
                <w:highlight w:val="none"/>
                <w:u w:val="none"/>
              </w:rPr>
            </w:pPr>
            <w:r>
              <w:rPr>
                <w:rFonts w:hint="default" w:ascii="Calibri" w:hAnsi="Calibri" w:eastAsia="宋体" w:cs="Calibri"/>
                <w:i w:val="0"/>
                <w:iCs w:val="0"/>
                <w:color w:val="auto"/>
                <w:kern w:val="0"/>
                <w:sz w:val="24"/>
                <w:szCs w:val="24"/>
                <w:highlight w:val="none"/>
                <w:u w:val="none"/>
                <w:lang w:val="en-US" w:eastAsia="zh-CN" w:bidi="ar"/>
              </w:rPr>
              <w:t>1</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设备监控</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系统主控功能</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潜污泵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温湿度传感器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氧含量传感器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水位传感器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highlight w:val="none"/>
                <w:u w:val="none"/>
              </w:rPr>
            </w:pPr>
            <w:r>
              <w:rPr>
                <w:rFonts w:hint="default" w:ascii="Calibri" w:hAnsi="Calibri" w:eastAsia="宋体" w:cs="Calibri"/>
                <w:i w:val="0"/>
                <w:iCs w:val="0"/>
                <w:color w:val="auto"/>
                <w:kern w:val="0"/>
                <w:sz w:val="24"/>
                <w:szCs w:val="24"/>
                <w:highlight w:val="none"/>
                <w:u w:val="none"/>
                <w:lang w:val="en-US" w:eastAsia="zh-CN" w:bidi="ar"/>
              </w:rPr>
              <w:t>2</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无线局域网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网络边缘场强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网络传输速率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highlight w:val="none"/>
                <w:u w:val="none"/>
              </w:rPr>
            </w:pPr>
            <w:r>
              <w:rPr>
                <w:rFonts w:hint="default" w:ascii="Calibri" w:hAnsi="Calibri" w:eastAsia="宋体" w:cs="Calibri"/>
                <w:i w:val="0"/>
                <w:iCs w:val="0"/>
                <w:color w:val="auto"/>
                <w:kern w:val="0"/>
                <w:sz w:val="24"/>
                <w:szCs w:val="24"/>
                <w:highlight w:val="none"/>
                <w:u w:val="none"/>
                <w:lang w:val="en-US" w:eastAsia="zh-CN" w:bidi="ar"/>
              </w:rPr>
              <w:t>3</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视频安防监控系统</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系统管理功能</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highlight w:val="none"/>
                <w:u w:val="none"/>
              </w:rPr>
            </w:pPr>
            <w:r>
              <w:rPr>
                <w:rFonts w:hint="default" w:ascii="Calibri" w:hAnsi="Calibri" w:eastAsia="宋体" w:cs="Calibri"/>
                <w:i w:val="0"/>
                <w:iCs w:val="0"/>
                <w:color w:val="auto"/>
                <w:kern w:val="0"/>
                <w:sz w:val="24"/>
                <w:szCs w:val="24"/>
                <w:highlight w:val="none"/>
                <w:u w:val="none"/>
                <w:lang w:val="en-US" w:eastAsia="zh-CN" w:bidi="ar"/>
              </w:rPr>
              <w:t>4</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出入口控制系统</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主控系统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读卡器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按钮</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highlight w:val="none"/>
                <w:u w:val="none"/>
              </w:rPr>
            </w:pPr>
            <w:r>
              <w:rPr>
                <w:rFonts w:hint="default" w:ascii="Calibri" w:hAnsi="Calibri" w:eastAsia="宋体" w:cs="Calibri"/>
                <w:i w:val="0"/>
                <w:iCs w:val="0"/>
                <w:color w:val="auto"/>
                <w:kern w:val="0"/>
                <w:sz w:val="24"/>
                <w:szCs w:val="24"/>
                <w:highlight w:val="none"/>
                <w:u w:val="none"/>
                <w:lang w:val="en-US" w:eastAsia="zh-CN" w:bidi="ar"/>
              </w:rPr>
              <w:t>5</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入侵报警系统</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主控系统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双鉴探测器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声光探测器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highlight w:val="none"/>
                <w:u w:val="none"/>
              </w:rPr>
            </w:pPr>
            <w:r>
              <w:rPr>
                <w:rFonts w:hint="default" w:ascii="Calibri" w:hAnsi="Calibri" w:eastAsia="宋体" w:cs="Calibri"/>
                <w:i w:val="0"/>
                <w:iCs w:val="0"/>
                <w:color w:val="auto"/>
                <w:kern w:val="0"/>
                <w:sz w:val="24"/>
                <w:szCs w:val="24"/>
                <w:highlight w:val="none"/>
                <w:u w:val="none"/>
                <w:lang w:val="en-US" w:eastAsia="zh-CN" w:bidi="ar"/>
              </w:rPr>
              <w:t>6</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电子巡查系统</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系统管理功能</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巡更终端</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highlight w:val="none"/>
                <w:u w:val="none"/>
              </w:rPr>
            </w:pPr>
            <w:r>
              <w:rPr>
                <w:rFonts w:hint="default" w:ascii="Calibri" w:hAnsi="Calibri" w:eastAsia="宋体" w:cs="Calibri"/>
                <w:i w:val="0"/>
                <w:iCs w:val="0"/>
                <w:color w:val="auto"/>
                <w:kern w:val="0"/>
                <w:sz w:val="24"/>
                <w:szCs w:val="24"/>
                <w:highlight w:val="none"/>
                <w:u w:val="none"/>
                <w:lang w:val="en-US" w:eastAsia="zh-CN" w:bidi="ar"/>
              </w:rPr>
              <w:t>7</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防雷与接地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highlight w:val="none"/>
                <w:u w:val="none"/>
              </w:rPr>
            </w:pPr>
            <w:r>
              <w:rPr>
                <w:rFonts w:hint="default" w:ascii="Calibri" w:hAnsi="Calibri" w:eastAsia="宋体" w:cs="Calibri"/>
                <w:i w:val="0"/>
                <w:iCs w:val="0"/>
                <w:color w:val="auto"/>
                <w:kern w:val="0"/>
                <w:sz w:val="24"/>
                <w:szCs w:val="24"/>
                <w:highlight w:val="none"/>
                <w:u w:val="none"/>
                <w:lang w:val="en-US" w:eastAsia="zh-CN" w:bidi="ar"/>
              </w:rPr>
              <w:t>8</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机房</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小计（元）</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bl>
    <w:p>
      <w:pPr>
        <w:widowControl/>
        <w:jc w:val="both"/>
        <w:rPr>
          <w:rFonts w:hint="eastAsia" w:ascii="宋体" w:hAnsi="宋体" w:eastAsia="宋体" w:cs="宋体"/>
          <w:i w:val="0"/>
          <w:iCs w:val="0"/>
          <w:color w:val="auto"/>
          <w:kern w:val="0"/>
          <w:sz w:val="24"/>
          <w:szCs w:val="24"/>
          <w:highlight w:val="none"/>
          <w:u w:val="none"/>
          <w:lang w:val="en-US" w:eastAsia="zh-CN" w:bidi="ar"/>
        </w:rPr>
      </w:pPr>
    </w:p>
    <w:p>
      <w:pPr>
        <w:widowControl/>
        <w:jc w:val="both"/>
        <w:rPr>
          <w:rFonts w:hint="eastAsia" w:ascii="宋体" w:hAnsi="宋体" w:eastAsia="宋体" w:cs="宋体"/>
          <w:i w:val="0"/>
          <w:iCs w:val="0"/>
          <w:color w:val="auto"/>
          <w:kern w:val="0"/>
          <w:sz w:val="24"/>
          <w:szCs w:val="24"/>
          <w:highlight w:val="none"/>
          <w:u w:val="none"/>
          <w:lang w:val="en-US" w:eastAsia="zh-CN" w:bidi="ar"/>
        </w:rPr>
      </w:pPr>
    </w:p>
    <w:p>
      <w:pPr>
        <w:widowControl/>
        <w:jc w:val="both"/>
        <w:rPr>
          <w:rFonts w:ascii="宋体" w:hAnsi="宋体" w:cs="宋体"/>
          <w:b/>
          <w:bCs/>
          <w:color w:val="auto"/>
          <w:kern w:val="0"/>
          <w:sz w:val="32"/>
          <w:szCs w:val="32"/>
          <w:highlight w:val="none"/>
        </w:rPr>
      </w:pPr>
      <w:r>
        <w:rPr>
          <w:rFonts w:hint="eastAsia" w:ascii="宋体" w:hAnsi="宋体" w:eastAsia="宋体" w:cs="宋体"/>
          <w:i w:val="0"/>
          <w:iCs w:val="0"/>
          <w:color w:val="auto"/>
          <w:kern w:val="0"/>
          <w:sz w:val="24"/>
          <w:szCs w:val="24"/>
          <w:highlight w:val="none"/>
          <w:u w:val="none"/>
          <w:lang w:val="en-US" w:eastAsia="zh-CN" w:bidi="ar"/>
        </w:rPr>
        <w:t>附件3</w:t>
      </w:r>
    </w:p>
    <w:tbl>
      <w:tblPr>
        <w:tblStyle w:val="42"/>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2860"/>
        <w:gridCol w:w="942"/>
        <w:gridCol w:w="947"/>
        <w:gridCol w:w="1233"/>
        <w:gridCol w:w="931"/>
        <w:gridCol w:w="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888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消防设施检测数量表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4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一、火灾自动报警系统</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暂定总数</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综合单价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消防立柜(600*600*2000)</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架</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智能光电感烟探测器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智能光电感温探测器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手动报警按钮</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防水型手动报警按钮</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声光报警器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防水型声光报警器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感温电缆控制器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感温电缆</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分布式光纤测温主机</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感温光纤</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防火门监控器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防火门监控模块</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防火门门磁</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二、自动灭火控制系统</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分区灭火控制盘</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手拉启动器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紧急释放装置</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紧急停止按钮</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手/自动转换开关</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智能光电感烟探测器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智能光电感温探测器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警铃</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声光报警器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释放指示灯</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三、通风系统</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防火阀</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余压阀</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止回风阀</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排烟风机</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排风风机</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低噪声箱式离心风机</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补风机</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加压送风机</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42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四、气体灭火系统</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柜式七氟丙烷气体灭火装置</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立方米</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16280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42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五、超细干粉灭火系统</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非贮压式超细干粉灭火装置（反馈及联动）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24325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温控启动装置（反馈及联动）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24325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系统控制装置（控制箱功能）</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声光报警器（指向）</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放气指示灯</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手动控制器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消防电源箱</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42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六、控制中心水消防系统</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消火栓系统增压设备</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消火栓系统稳压设备</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喷淋系统增压设备</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喷淋系统稳压设备</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消火栓箱</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水泵接合器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消防水池</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高位消防水箱</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灭火器箱</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湿式报警阀</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水流指示器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信号阀</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末端试水装置</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试水阀</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自动喷水喷头</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七、建筑灭火器</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手提式灭火器及箱</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16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小计（一+二+</w:t>
            </w:r>
            <w:r>
              <w:rPr>
                <w:rFonts w:hint="default" w:ascii="Arial" w:hAnsi="Arial" w:cs="Arial"/>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+七）（元）</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bl>
    <w:p>
      <w:pPr>
        <w:widowControl/>
        <w:jc w:val="center"/>
        <w:rPr>
          <w:rFonts w:ascii="宋体" w:hAnsi="宋体" w:cs="宋体"/>
          <w:b/>
          <w:bCs/>
          <w:color w:val="auto"/>
          <w:kern w:val="0"/>
          <w:sz w:val="32"/>
          <w:szCs w:val="32"/>
          <w:highlight w:val="none"/>
        </w:rPr>
      </w:pPr>
    </w:p>
    <w:p>
      <w:pPr>
        <w:pStyle w:val="13"/>
        <w:ind w:firstLine="0"/>
        <w:rPr>
          <w:rFonts w:hint="eastAsia" w:ascii="宋体" w:hAnsi="宋体" w:eastAsia="宋体" w:cs="宋体"/>
          <w:i w:val="0"/>
          <w:iCs w:val="0"/>
          <w:color w:val="auto"/>
          <w:kern w:val="0"/>
          <w:sz w:val="24"/>
          <w:szCs w:val="24"/>
          <w:highlight w:val="none"/>
          <w:u w:val="none"/>
          <w:lang w:val="en-US" w:eastAsia="zh-CN" w:bidi="ar"/>
        </w:rPr>
      </w:pPr>
    </w:p>
    <w:p>
      <w:pPr>
        <w:pStyle w:val="13"/>
        <w:ind w:firstLine="0"/>
        <w:rPr>
          <w:rFonts w:hint="eastAsia" w:ascii="宋体" w:hAnsi="宋体" w:eastAsia="宋体" w:cs="宋体"/>
          <w:i w:val="0"/>
          <w:iCs w:val="0"/>
          <w:color w:val="auto"/>
          <w:kern w:val="0"/>
          <w:sz w:val="24"/>
          <w:szCs w:val="24"/>
          <w:highlight w:val="none"/>
          <w:u w:val="none"/>
          <w:lang w:val="en-US" w:eastAsia="zh-CN" w:bidi="ar"/>
        </w:rPr>
      </w:pPr>
    </w:p>
    <w:p>
      <w:pPr>
        <w:pStyle w:val="13"/>
        <w:ind w:firstLine="0"/>
        <w:rPr>
          <w:rFonts w:hint="eastAsia" w:ascii="宋体" w:hAnsi="宋体" w:eastAsia="宋体" w:cs="宋体"/>
          <w:i w:val="0"/>
          <w:iCs w:val="0"/>
          <w:color w:val="auto"/>
          <w:kern w:val="0"/>
          <w:sz w:val="24"/>
          <w:szCs w:val="24"/>
          <w:highlight w:val="none"/>
          <w:u w:val="none"/>
          <w:lang w:val="en-US" w:eastAsia="zh-CN" w:bidi="ar"/>
        </w:rPr>
      </w:pPr>
    </w:p>
    <w:p>
      <w:pPr>
        <w:pStyle w:val="13"/>
        <w:ind w:firstLine="0"/>
        <w:rPr>
          <w:rFonts w:hint="eastAsia" w:ascii="宋体" w:hAnsi="宋体" w:eastAsia="宋体" w:cs="宋体"/>
          <w:i w:val="0"/>
          <w:iCs w:val="0"/>
          <w:color w:val="auto"/>
          <w:kern w:val="0"/>
          <w:sz w:val="24"/>
          <w:szCs w:val="24"/>
          <w:highlight w:val="none"/>
          <w:u w:val="none"/>
          <w:lang w:val="en-US" w:eastAsia="zh-CN" w:bidi="ar"/>
        </w:rPr>
      </w:pPr>
    </w:p>
    <w:p>
      <w:pPr>
        <w:pStyle w:val="13"/>
        <w:ind w:firstLine="0"/>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附件</w:t>
      </w:r>
      <w:r>
        <w:rPr>
          <w:rFonts w:hint="eastAsia" w:ascii="宋体" w:hAnsi="宋体" w:cs="宋体"/>
          <w:i w:val="0"/>
          <w:iCs w:val="0"/>
          <w:color w:val="auto"/>
          <w:kern w:val="0"/>
          <w:sz w:val="24"/>
          <w:szCs w:val="24"/>
          <w:highlight w:val="none"/>
          <w:u w:val="none"/>
          <w:lang w:val="en-US" w:eastAsia="zh-CN" w:bidi="ar"/>
        </w:rPr>
        <w:t>4</w:t>
      </w:r>
    </w:p>
    <w:tbl>
      <w:tblPr>
        <w:tblStyle w:val="42"/>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473"/>
        <w:gridCol w:w="1424"/>
        <w:gridCol w:w="828"/>
        <w:gridCol w:w="1134"/>
        <w:gridCol w:w="1134"/>
        <w:gridCol w:w="1134"/>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89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附属结构检测数量表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检测数量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综合单价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（元）</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钢牛腿超声波探伤</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二级焊缝探伤</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钢结构防腐涂层</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厚度检测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构件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后扩底螺栓原材料检测</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常规检测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后扩底螺栓现场非破损检测</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现场拉拔检测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混凝土实体</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保护层厚度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构件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预埋槽道</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常规检测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混凝土实体</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钢筋间距</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构件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55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小计（元）</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bl>
    <w:p>
      <w:pPr>
        <w:widowControl/>
        <w:spacing w:line="360" w:lineRule="auto"/>
        <w:jc w:val="center"/>
        <w:rPr>
          <w:rFonts w:ascii="宋体" w:hAnsi="宋体" w:cs="宋体"/>
          <w:b/>
          <w:bCs/>
          <w:color w:val="auto"/>
          <w:kern w:val="0"/>
          <w:sz w:val="32"/>
          <w:szCs w:val="32"/>
          <w:highlight w:val="none"/>
        </w:rPr>
      </w:pPr>
    </w:p>
    <w:p>
      <w:pPr>
        <w:spacing w:line="36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检测内容包括但不限于上表中的内容，具体以检测规范、规程及项目要求为准。</w:t>
      </w:r>
    </w:p>
    <w:p>
      <w:pPr>
        <w:pStyle w:val="2"/>
        <w:rPr>
          <w:rFonts w:hint="eastAsia" w:eastAsia="宋体"/>
          <w:color w:val="auto"/>
          <w:highlight w:val="none"/>
          <w:lang w:val="en-US" w:eastAsia="zh-CN"/>
        </w:rPr>
      </w:pPr>
    </w:p>
    <w:p>
      <w:pPr>
        <w:spacing w:line="0" w:lineRule="atLeast"/>
        <w:jc w:val="center"/>
        <w:rPr>
          <w:color w:val="auto"/>
          <w:sz w:val="18"/>
          <w:highlight w:val="none"/>
        </w:rPr>
      </w:pPr>
    </w:p>
    <w:p>
      <w:pPr>
        <w:spacing w:line="0" w:lineRule="atLeast"/>
        <w:rPr>
          <w:color w:val="auto"/>
          <w:sz w:val="18"/>
          <w:highlight w:val="none"/>
        </w:rPr>
        <w:sectPr>
          <w:type w:val="continuous"/>
          <w:pgSz w:w="11907" w:h="16839"/>
          <w:pgMar w:top="1418" w:right="1440" w:bottom="1440" w:left="1440" w:header="0" w:footer="595" w:gutter="0"/>
          <w:cols w:space="720" w:num="1"/>
          <w:docGrid w:linePitch="360" w:charSpace="0"/>
        </w:sectPr>
      </w:pPr>
    </w:p>
    <w:p>
      <w:pPr>
        <w:spacing w:line="9"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502" w:lineRule="exact"/>
        <w:jc w:val="center"/>
        <w:outlineLvl w:val="1"/>
        <w:rPr>
          <w:b/>
          <w:color w:val="auto"/>
          <w:sz w:val="44"/>
          <w:highlight w:val="none"/>
        </w:rPr>
      </w:pPr>
      <w:bookmarkStart w:id="445" w:name="_Toc97798620"/>
      <w:r>
        <w:rPr>
          <w:b/>
          <w:color w:val="auto"/>
          <w:sz w:val="44"/>
          <w:highlight w:val="none"/>
        </w:rPr>
        <w:t>第七章 投标文件格式</w:t>
      </w:r>
      <w:bookmarkEnd w:id="445"/>
    </w:p>
    <w:p>
      <w:pPr>
        <w:spacing w:line="491" w:lineRule="exact"/>
        <w:jc w:val="center"/>
        <w:rPr>
          <w:b/>
          <w:color w:val="auto"/>
          <w:sz w:val="43"/>
          <w:highlight w:val="none"/>
        </w:rPr>
        <w:sectPr>
          <w:pgSz w:w="11907" w:h="16839"/>
          <w:pgMar w:top="1440" w:right="1440" w:bottom="1418" w:left="1440" w:header="0" w:footer="736" w:gutter="0"/>
          <w:cols w:space="720" w:num="1"/>
          <w:docGrid w:linePitch="360" w:charSpace="0"/>
        </w:sectPr>
      </w:pPr>
    </w:p>
    <w:p>
      <w:pPr>
        <w:spacing w:line="200" w:lineRule="exact"/>
        <w:rPr>
          <w:color w:val="auto"/>
          <w:highlight w:val="none"/>
        </w:rPr>
      </w:pPr>
    </w:p>
    <w:p>
      <w:pPr>
        <w:spacing w:line="0" w:lineRule="atLeast"/>
        <w:jc w:val="center"/>
        <w:rPr>
          <w:color w:val="auto"/>
          <w:sz w:val="18"/>
          <w:highlight w:val="none"/>
        </w:rPr>
        <w:sectPr>
          <w:type w:val="continuous"/>
          <w:pgSz w:w="11907" w:h="16839"/>
          <w:pgMar w:top="1440" w:right="1440" w:bottom="1418" w:left="1440" w:header="0" w:footer="736" w:gutter="0"/>
          <w:cols w:space="720" w:num="1"/>
          <w:docGrid w:linePitch="360" w:charSpace="0"/>
        </w:sectPr>
      </w:pPr>
    </w:p>
    <w:p>
      <w:pPr>
        <w:spacing w:line="360" w:lineRule="auto"/>
        <w:rPr>
          <w:color w:val="auto"/>
          <w:sz w:val="30"/>
          <w:szCs w:val="30"/>
          <w:highlight w:val="none"/>
          <w:u w:val="single"/>
        </w:rPr>
      </w:pPr>
    </w:p>
    <w:p>
      <w:pPr>
        <w:spacing w:line="360" w:lineRule="auto"/>
        <w:rPr>
          <w:color w:val="auto"/>
          <w:sz w:val="30"/>
          <w:szCs w:val="30"/>
          <w:highlight w:val="none"/>
          <w:u w:val="single"/>
        </w:rPr>
      </w:pPr>
    </w:p>
    <w:p>
      <w:pPr>
        <w:spacing w:line="360" w:lineRule="auto"/>
        <w:rPr>
          <w:color w:val="auto"/>
          <w:sz w:val="30"/>
          <w:szCs w:val="30"/>
          <w:highlight w:val="none"/>
          <w:u w:val="single"/>
        </w:rPr>
      </w:pPr>
    </w:p>
    <w:p>
      <w:pPr>
        <w:spacing w:line="502" w:lineRule="exact"/>
        <w:jc w:val="center"/>
        <w:rPr>
          <w:color w:val="auto"/>
          <w:sz w:val="44"/>
          <w:highlight w:val="none"/>
          <w:u w:val="single"/>
        </w:rPr>
      </w:pPr>
      <w:r>
        <w:rPr>
          <w:rFonts w:hint="eastAsia"/>
          <w:color w:val="auto"/>
          <w:sz w:val="44"/>
          <w:highlight w:val="none"/>
          <w:u w:val="single"/>
        </w:rPr>
        <w:t>(项目名称)</w:t>
      </w:r>
    </w:p>
    <w:p>
      <w:pPr>
        <w:pStyle w:val="40"/>
        <w:rPr>
          <w:color w:val="auto"/>
          <w:sz w:val="44"/>
          <w:highlight w:val="none"/>
        </w:rPr>
      </w:pPr>
    </w:p>
    <w:p>
      <w:pPr>
        <w:pStyle w:val="40"/>
        <w:rPr>
          <w:color w:val="auto"/>
          <w:sz w:val="44"/>
          <w:highlight w:val="none"/>
        </w:rPr>
      </w:pPr>
    </w:p>
    <w:p>
      <w:pPr>
        <w:spacing w:line="502" w:lineRule="exact"/>
        <w:jc w:val="center"/>
        <w:rPr>
          <w:color w:val="auto"/>
          <w:sz w:val="44"/>
          <w:highlight w:val="none"/>
        </w:rPr>
      </w:pPr>
      <w:r>
        <w:rPr>
          <w:color w:val="auto"/>
          <w:sz w:val="44"/>
          <w:highlight w:val="none"/>
        </w:rPr>
        <w:t>投 标 文 件</w:t>
      </w: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308" w:lineRule="exact"/>
        <w:rPr>
          <w:color w:val="auto"/>
          <w:highlight w:val="none"/>
        </w:rPr>
      </w:pPr>
    </w:p>
    <w:p>
      <w:pPr>
        <w:tabs>
          <w:tab w:val="left" w:pos="7200"/>
        </w:tabs>
        <w:spacing w:line="308" w:lineRule="exact"/>
        <w:ind w:left="1480"/>
        <w:rPr>
          <w:color w:val="auto"/>
          <w:sz w:val="27"/>
          <w:highlight w:val="none"/>
        </w:rPr>
      </w:pPr>
      <w:r>
        <w:rPr>
          <w:color w:val="auto"/>
          <w:sz w:val="27"/>
          <w:highlight w:val="none"/>
        </w:rPr>
        <w:t>投标人：（盖单位章）</w:t>
      </w:r>
    </w:p>
    <w:p>
      <w:pPr>
        <w:spacing w:line="20" w:lineRule="exact"/>
        <w:rPr>
          <w:color w:val="auto"/>
          <w:highlight w:val="none"/>
        </w:rPr>
      </w:pPr>
      <w:r>
        <w:rPr>
          <w:color w:val="auto"/>
          <w:highlight w:val="none"/>
        </w:rPr>
        <w:pict>
          <v:line id="_x0000_s1026" o:spid="_x0000_s1026" o:spt="20" style="position:absolute;left:0pt;margin-left:130.2pt;margin-top:-0.45pt;height:0pt;width:230.9pt;z-index:-251657216;mso-width-relative:page;mso-height-relative:page;"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Iy0XNMAAAAHAQAA&#10;DwAAAAAAAAABACAAAAAiAAAAZHJzL2Rvd25yZXYueG1sUEsBAhQAFAAAAAgAh07iQAoIKXHlAQAA&#10;rAMAAA4AAAAAAAAAAQAgAAAAIgEAAGRycy9lMm9Eb2MueG1sUEsFBgAAAAAGAAYAWQEAAHkFAAAA&#10;AA==&#10;">
            <v:path arrowok="t"/>
            <v:fill focussize="0,0"/>
            <v:stroke weight="0.47992125984252pt"/>
            <v:imagedata o:title=""/>
            <o:lock v:ext="edit"/>
          </v:line>
        </w:pict>
      </w:r>
    </w:p>
    <w:p>
      <w:pPr>
        <w:spacing w:line="205" w:lineRule="exact"/>
        <w:rPr>
          <w:color w:val="auto"/>
          <w:highlight w:val="none"/>
        </w:rPr>
      </w:pPr>
    </w:p>
    <w:p>
      <w:pPr>
        <w:tabs>
          <w:tab w:val="left" w:pos="5840"/>
        </w:tabs>
        <w:spacing w:line="320" w:lineRule="exact"/>
        <w:ind w:left="1480"/>
        <w:rPr>
          <w:color w:val="auto"/>
          <w:sz w:val="28"/>
          <w:highlight w:val="none"/>
        </w:rPr>
      </w:pPr>
      <w:r>
        <w:rPr>
          <w:color w:val="auto"/>
          <w:sz w:val="28"/>
          <w:highlight w:val="none"/>
        </w:rPr>
        <w:t>法定代表人或其被授权人：</w:t>
      </w:r>
      <w:r>
        <w:rPr>
          <w:color w:val="auto"/>
          <w:highlight w:val="none"/>
        </w:rPr>
        <w:tab/>
      </w:r>
      <w:r>
        <w:rPr>
          <w:color w:val="auto"/>
          <w:sz w:val="28"/>
          <w:highlight w:val="none"/>
        </w:rPr>
        <w:t>（签字</w:t>
      </w:r>
      <w:r>
        <w:rPr>
          <w:rFonts w:hint="eastAsia"/>
          <w:color w:val="auto"/>
          <w:sz w:val="28"/>
          <w:highlight w:val="none"/>
        </w:rPr>
        <w:t>或盖章</w:t>
      </w:r>
      <w:r>
        <w:rPr>
          <w:color w:val="auto"/>
          <w:sz w:val="28"/>
          <w:highlight w:val="none"/>
        </w:rPr>
        <w:t>）</w:t>
      </w:r>
    </w:p>
    <w:p>
      <w:pPr>
        <w:spacing w:line="20" w:lineRule="exact"/>
        <w:rPr>
          <w:color w:val="auto"/>
          <w:highlight w:val="none"/>
        </w:rPr>
      </w:pPr>
      <w:r>
        <w:rPr>
          <w:color w:val="auto"/>
          <w:highlight w:val="none"/>
        </w:rPr>
        <w:pict>
          <v:line id="_x0000_s1030" o:spid="_x0000_s1030" o:spt="20" style="position:absolute;left:0pt;margin-left:256.1pt;margin-top:-0.45pt;height:0pt;width:36.75pt;z-index:-251656192;mso-width-relative:page;mso-height-relative:page;" coordsize="21600,21600" o:allowincell="f" o:gfxdata="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U5IKLWAAAABwEA&#10;AA8AAAAAAAAAAQAgAAAAIgAAAGRycy9kb3ducmV2LnhtbFBLAQIUABQAAAAIAIdO4kCY8tDb4wEA&#10;AKsDAAAOAAAAAAAAAAEAIAAAACUBAABkcnMvZTJvRG9jLnhtbFBLBQYAAAAABgAGAFkBAAB6BQAA&#10;AAA=&#10;">
            <v:path arrowok="t"/>
            <v:fill focussize="0,0"/>
            <v:stroke weight="0.48pt"/>
            <v:imagedata o:title=""/>
            <o:lock v:ext="edit"/>
          </v:line>
        </w:pict>
      </w:r>
    </w:p>
    <w:p>
      <w:pPr>
        <w:spacing w:line="200" w:lineRule="exact"/>
        <w:rPr>
          <w:color w:val="auto"/>
          <w:highlight w:val="none"/>
        </w:rPr>
      </w:pPr>
    </w:p>
    <w:p>
      <w:pPr>
        <w:spacing w:line="368" w:lineRule="exact"/>
        <w:rPr>
          <w:color w:val="auto"/>
          <w:highlight w:val="none"/>
        </w:rPr>
      </w:pPr>
    </w:p>
    <w:p>
      <w:pPr>
        <w:tabs>
          <w:tab w:val="left" w:pos="4880"/>
          <w:tab w:val="left" w:pos="5900"/>
        </w:tabs>
        <w:spacing w:line="320" w:lineRule="exact"/>
        <w:ind w:left="3900"/>
        <w:rPr>
          <w:color w:val="auto"/>
          <w:sz w:val="28"/>
          <w:highlight w:val="none"/>
        </w:rPr>
      </w:pPr>
      <w:r>
        <w:rPr>
          <w:color w:val="auto"/>
          <w:sz w:val="28"/>
          <w:highlight w:val="none"/>
        </w:rPr>
        <w:t>年</w:t>
      </w:r>
      <w:r>
        <w:rPr>
          <w:color w:val="auto"/>
          <w:highlight w:val="none"/>
        </w:rPr>
        <w:tab/>
      </w:r>
      <w:r>
        <w:rPr>
          <w:color w:val="auto"/>
          <w:sz w:val="28"/>
          <w:highlight w:val="none"/>
        </w:rPr>
        <w:t>月</w:t>
      </w:r>
      <w:r>
        <w:rPr>
          <w:color w:val="auto"/>
          <w:highlight w:val="none"/>
        </w:rPr>
        <w:tab/>
      </w:r>
      <w:r>
        <w:rPr>
          <w:color w:val="auto"/>
          <w:sz w:val="28"/>
          <w:highlight w:val="none"/>
        </w:rPr>
        <w:t>日</w:t>
      </w:r>
    </w:p>
    <w:p>
      <w:pPr>
        <w:spacing w:line="20" w:lineRule="exact"/>
        <w:rPr>
          <w:color w:val="auto"/>
          <w:highlight w:val="none"/>
        </w:rPr>
      </w:pPr>
      <w:r>
        <w:rPr>
          <w:color w:val="auto"/>
          <w:highlight w:val="none"/>
        </w:rPr>
        <w:pict>
          <v:line id="_x0000_s1029" o:spid="_x0000_s1029" o:spt="20" style="position:absolute;left:0pt;margin-left:157.85pt;margin-top:-0.45pt;height:0pt;width:36.7pt;z-index:-251655168;mso-width-relative:page;mso-height-relative:page;"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XLB0vTAAAABwEAAA8A&#10;AAAAAAAAAQAgAAAAIgAAAGRycy9kb3ducmV2LnhtbFBLAQIUABQAAAAIAIdO4kC4uqP74wEAAKsD&#10;AAAOAAAAAAAAAAEAIAAAACIBAABkcnMvZTJvRG9jLnhtbFBLBQYAAAAABgAGAFkBAAB3BQAAAAA=&#10;">
            <v:path arrowok="t"/>
            <v:fill focussize="0,0"/>
            <v:stroke weight="0.47992125984252pt"/>
            <v:imagedata o:title=""/>
            <o:lock v:ext="edit"/>
          </v:line>
        </w:pict>
      </w:r>
      <w:r>
        <w:rPr>
          <w:color w:val="auto"/>
          <w:highlight w:val="none"/>
        </w:rPr>
        <w:pict>
          <v:line id="_x0000_s1028" o:spid="_x0000_s1028" o:spt="20" style="position:absolute;left:0pt;margin-left:208.7pt;margin-top:-0.45pt;height:0pt;width:36.6pt;z-index:-251655168;mso-width-relative:page;mso-height-relative:page;"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zoFptMAAAAHAQAA&#10;DwAAAAAAAAABACAAAAAiAAAAZHJzL2Rvd25yZXYueG1sUEsBAhQAFAAAAAgAh07iQHzi7S3lAQAA&#10;qwMAAA4AAAAAAAAAAQAgAAAAIgEAAGRycy9lMm9Eb2MueG1sUEsFBgAAAAAGAAYAWQEAAHkFAAAA&#10;AA==&#10;">
            <v:path arrowok="t"/>
            <v:fill focussize="0,0"/>
            <v:stroke weight="0.47992125984252pt"/>
            <v:imagedata o:title=""/>
            <o:lock v:ext="edit"/>
          </v:line>
        </w:pict>
      </w:r>
      <w:r>
        <w:rPr>
          <w:color w:val="auto"/>
          <w:highlight w:val="none"/>
        </w:rPr>
        <w:pict>
          <v:line id="_x0000_s1027" o:spid="_x0000_s1027" o:spt="20" style="position:absolute;left:0pt;margin-left:259.45pt;margin-top:-0.45pt;height:0pt;width:36.65pt;z-index:-251654144;mso-width-relative:page;mso-height-relative:page;"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ucmL0wAAAAcBAAAP&#10;AAAAAAAAAAEAIAAAACIAAABkcnMvZG93bnJldi54bWxQSwECFAAUAAAACACHTuJAWdWt9uQBAACr&#10;AwAADgAAAAAAAAABACAAAAAiAQAAZHJzL2Uyb0RvYy54bWxQSwUGAAAAAAYABgBZAQAAeAUAAAAA&#10;">
            <v:path arrowok="t"/>
            <v:fill focussize="0,0"/>
            <v:stroke weight="0.47992125984252pt"/>
            <v:imagedata o:title=""/>
            <o:lock v:ext="edit"/>
          </v:line>
        </w:pict>
      </w:r>
    </w:p>
    <w:p>
      <w:pPr>
        <w:spacing w:line="225" w:lineRule="exact"/>
        <w:rPr>
          <w:color w:val="auto"/>
          <w:highlight w:val="none"/>
        </w:rPr>
      </w:pPr>
    </w:p>
    <w:p>
      <w:pPr>
        <w:spacing w:line="0" w:lineRule="atLeast"/>
        <w:jc w:val="center"/>
        <w:rPr>
          <w:color w:val="auto"/>
          <w:sz w:val="18"/>
          <w:highlight w:val="none"/>
        </w:rPr>
        <w:sectPr>
          <w:pgSz w:w="11907" w:h="16839"/>
          <w:pgMar w:top="1440" w:right="1440" w:bottom="1418" w:left="1440" w:header="0" w:footer="736" w:gutter="0"/>
          <w:cols w:space="720" w:num="1"/>
          <w:docGrid w:linePitch="360" w:charSpace="0"/>
        </w:sectPr>
      </w:pPr>
    </w:p>
    <w:p>
      <w:pPr>
        <w:spacing w:line="1" w:lineRule="exact"/>
        <w:rPr>
          <w:color w:val="auto"/>
          <w:highlight w:val="none"/>
        </w:rPr>
      </w:pPr>
    </w:p>
    <w:p>
      <w:pPr>
        <w:spacing w:line="366" w:lineRule="exact"/>
        <w:jc w:val="center"/>
        <w:rPr>
          <w:b/>
          <w:color w:val="auto"/>
          <w:sz w:val="32"/>
          <w:highlight w:val="none"/>
        </w:rPr>
      </w:pPr>
      <w:r>
        <w:rPr>
          <w:b/>
          <w:color w:val="auto"/>
          <w:sz w:val="32"/>
          <w:highlight w:val="none"/>
        </w:rPr>
        <w:t>目录</w:t>
      </w:r>
    </w:p>
    <w:p>
      <w:pPr>
        <w:spacing w:line="360" w:lineRule="auto"/>
        <w:ind w:left="630" w:leftChars="300"/>
        <w:rPr>
          <w:color w:val="auto"/>
          <w:sz w:val="24"/>
          <w:highlight w:val="none"/>
        </w:rPr>
      </w:pPr>
      <w:bookmarkStart w:id="446" w:name="_Toc369531691"/>
      <w:bookmarkStart w:id="447" w:name="_Toc352691655"/>
      <w:bookmarkStart w:id="448" w:name="_Toc7039"/>
    </w:p>
    <w:p>
      <w:pPr>
        <w:spacing w:line="360" w:lineRule="auto"/>
        <w:ind w:firstLine="424" w:firstLineChars="177"/>
        <w:rPr>
          <w:color w:val="auto"/>
          <w:sz w:val="24"/>
          <w:highlight w:val="none"/>
        </w:rPr>
      </w:pPr>
      <w:r>
        <w:rPr>
          <w:color w:val="auto"/>
          <w:sz w:val="24"/>
          <w:highlight w:val="none"/>
        </w:rPr>
        <w:t>一、投标函及投标函附录</w:t>
      </w:r>
    </w:p>
    <w:p>
      <w:pPr>
        <w:spacing w:line="360" w:lineRule="auto"/>
        <w:ind w:firstLine="424" w:firstLineChars="177"/>
        <w:rPr>
          <w:color w:val="auto"/>
          <w:sz w:val="24"/>
          <w:highlight w:val="none"/>
        </w:rPr>
      </w:pPr>
      <w:r>
        <w:rPr>
          <w:color w:val="auto"/>
          <w:sz w:val="24"/>
          <w:highlight w:val="none"/>
        </w:rPr>
        <w:t>二、法定代表人身份证明（适用于无委托代理人的情况）</w:t>
      </w:r>
      <w:r>
        <w:rPr>
          <w:rFonts w:hint="eastAsia"/>
          <w:color w:val="auto"/>
          <w:sz w:val="24"/>
          <w:highlight w:val="none"/>
        </w:rPr>
        <w:t>、</w:t>
      </w:r>
      <w:r>
        <w:rPr>
          <w:color w:val="auto"/>
          <w:sz w:val="24"/>
          <w:highlight w:val="none"/>
        </w:rPr>
        <w:t>授权委托书（适用于有委托代理人的情况）</w:t>
      </w:r>
    </w:p>
    <w:p>
      <w:pPr>
        <w:spacing w:line="360" w:lineRule="auto"/>
        <w:ind w:firstLine="424" w:firstLineChars="177"/>
        <w:rPr>
          <w:color w:val="auto"/>
          <w:sz w:val="24"/>
          <w:highlight w:val="none"/>
        </w:rPr>
      </w:pPr>
      <w:r>
        <w:rPr>
          <w:rFonts w:hint="eastAsia"/>
          <w:color w:val="auto"/>
          <w:sz w:val="24"/>
          <w:highlight w:val="none"/>
        </w:rPr>
        <w:t>三</w:t>
      </w:r>
      <w:r>
        <w:rPr>
          <w:color w:val="auto"/>
          <w:sz w:val="24"/>
          <w:highlight w:val="none"/>
        </w:rPr>
        <w:t>、投标保证金</w:t>
      </w:r>
    </w:p>
    <w:p>
      <w:pPr>
        <w:spacing w:line="360" w:lineRule="auto"/>
        <w:ind w:firstLine="424" w:firstLineChars="177"/>
        <w:rPr>
          <w:color w:val="auto"/>
          <w:sz w:val="24"/>
          <w:highlight w:val="none"/>
        </w:rPr>
      </w:pPr>
      <w:r>
        <w:rPr>
          <w:rFonts w:hint="eastAsia"/>
          <w:color w:val="auto"/>
          <w:sz w:val="24"/>
          <w:highlight w:val="none"/>
        </w:rPr>
        <w:t>四</w:t>
      </w:r>
      <w:r>
        <w:rPr>
          <w:color w:val="auto"/>
          <w:sz w:val="24"/>
          <w:highlight w:val="none"/>
        </w:rPr>
        <w:t>、</w:t>
      </w:r>
      <w:r>
        <w:rPr>
          <w:rFonts w:hint="eastAsia"/>
          <w:color w:val="auto"/>
          <w:sz w:val="24"/>
          <w:highlight w:val="none"/>
        </w:rPr>
        <w:t>投标报价书</w:t>
      </w:r>
    </w:p>
    <w:p>
      <w:pPr>
        <w:spacing w:line="360" w:lineRule="auto"/>
        <w:ind w:firstLine="424" w:firstLineChars="177"/>
        <w:rPr>
          <w:color w:val="auto"/>
          <w:sz w:val="24"/>
          <w:highlight w:val="none"/>
        </w:rPr>
      </w:pPr>
      <w:r>
        <w:rPr>
          <w:rFonts w:hint="eastAsia"/>
          <w:color w:val="auto"/>
          <w:sz w:val="24"/>
          <w:highlight w:val="none"/>
        </w:rPr>
        <w:t>五</w:t>
      </w:r>
      <w:r>
        <w:rPr>
          <w:color w:val="auto"/>
          <w:sz w:val="24"/>
          <w:highlight w:val="none"/>
        </w:rPr>
        <w:t>、</w:t>
      </w:r>
      <w:r>
        <w:rPr>
          <w:rFonts w:hint="eastAsia"/>
          <w:color w:val="auto"/>
          <w:sz w:val="24"/>
          <w:highlight w:val="none"/>
        </w:rPr>
        <w:t>资格</w:t>
      </w:r>
      <w:r>
        <w:rPr>
          <w:color w:val="auto"/>
          <w:sz w:val="24"/>
          <w:highlight w:val="none"/>
        </w:rPr>
        <w:t>审查资料</w:t>
      </w:r>
    </w:p>
    <w:p>
      <w:pPr>
        <w:spacing w:line="360" w:lineRule="auto"/>
        <w:ind w:firstLine="424" w:firstLineChars="177"/>
        <w:rPr>
          <w:color w:val="auto"/>
          <w:sz w:val="24"/>
          <w:highlight w:val="none"/>
        </w:rPr>
      </w:pPr>
      <w:r>
        <w:rPr>
          <w:rFonts w:hint="eastAsia"/>
          <w:color w:val="auto"/>
          <w:sz w:val="24"/>
          <w:highlight w:val="none"/>
        </w:rPr>
        <w:t>六</w:t>
      </w:r>
      <w:r>
        <w:rPr>
          <w:color w:val="auto"/>
          <w:sz w:val="24"/>
          <w:highlight w:val="none"/>
        </w:rPr>
        <w:t>、</w:t>
      </w:r>
      <w:r>
        <w:rPr>
          <w:rFonts w:hint="eastAsia"/>
          <w:color w:val="auto"/>
          <w:sz w:val="24"/>
          <w:highlight w:val="none"/>
        </w:rPr>
        <w:t>企业资信业绩证明资料</w:t>
      </w:r>
    </w:p>
    <w:p>
      <w:pPr>
        <w:spacing w:line="360" w:lineRule="auto"/>
        <w:ind w:firstLine="424" w:firstLineChars="177"/>
        <w:rPr>
          <w:color w:val="auto"/>
          <w:sz w:val="24"/>
          <w:highlight w:val="none"/>
        </w:rPr>
      </w:pPr>
      <w:r>
        <w:rPr>
          <w:rFonts w:hint="eastAsia"/>
          <w:color w:val="auto"/>
          <w:sz w:val="24"/>
          <w:highlight w:val="none"/>
        </w:rPr>
        <w:t>七、检测方案</w:t>
      </w:r>
    </w:p>
    <w:p>
      <w:pPr>
        <w:widowControl/>
        <w:spacing w:line="360" w:lineRule="auto"/>
        <w:ind w:firstLine="480" w:firstLineChars="200"/>
        <w:jc w:val="left"/>
        <w:rPr>
          <w:color w:val="auto"/>
          <w:sz w:val="20"/>
          <w:highlight w:val="none"/>
        </w:rPr>
      </w:pPr>
      <w:r>
        <w:rPr>
          <w:rFonts w:hint="eastAsia"/>
          <w:color w:val="auto"/>
          <w:sz w:val="24"/>
          <w:highlight w:val="none"/>
        </w:rPr>
        <w:t>八、其他资料（投标人认为有必要提交或根据投标人资格和评标办法要求提交的其他资料）。</w:t>
      </w:r>
      <w:r>
        <w:rPr>
          <w:color w:val="auto"/>
          <w:sz w:val="20"/>
          <w:highlight w:val="none"/>
        </w:rPr>
        <w:br w:type="page"/>
      </w:r>
    </w:p>
    <w:bookmarkEnd w:id="446"/>
    <w:bookmarkEnd w:id="447"/>
    <w:bookmarkEnd w:id="448"/>
    <w:p>
      <w:pPr>
        <w:pStyle w:val="4"/>
        <w:spacing w:line="360" w:lineRule="auto"/>
        <w:rPr>
          <w:rFonts w:ascii="Times New Roman" w:hAnsi="Times New Roman" w:eastAsia="宋体"/>
          <w:color w:val="auto"/>
          <w:sz w:val="30"/>
          <w:szCs w:val="30"/>
          <w:highlight w:val="none"/>
        </w:rPr>
      </w:pPr>
      <w:bookmarkStart w:id="449" w:name="_Toc535938751"/>
      <w:bookmarkStart w:id="450" w:name="_Toc97798621"/>
      <w:bookmarkStart w:id="451" w:name="_Toc529196600"/>
      <w:bookmarkStart w:id="452" w:name="_Toc530470642"/>
      <w:r>
        <w:rPr>
          <w:rFonts w:ascii="Times New Roman" w:hAnsi="Times New Roman" w:eastAsia="宋体"/>
          <w:color w:val="auto"/>
          <w:sz w:val="30"/>
          <w:szCs w:val="30"/>
          <w:highlight w:val="none"/>
        </w:rPr>
        <w:t>一、投标</w:t>
      </w:r>
      <w:bookmarkStart w:id="453" w:name="_Toc369531692"/>
      <w:bookmarkStart w:id="454" w:name="_Toc6931"/>
      <w:bookmarkStart w:id="455" w:name="_Toc352691656"/>
      <w:r>
        <w:rPr>
          <w:rFonts w:ascii="Times New Roman" w:hAnsi="Times New Roman" w:eastAsia="宋体"/>
          <w:color w:val="auto"/>
          <w:sz w:val="30"/>
          <w:szCs w:val="30"/>
          <w:highlight w:val="none"/>
        </w:rPr>
        <w:t>函及投标函附录</w:t>
      </w:r>
      <w:bookmarkEnd w:id="449"/>
      <w:bookmarkEnd w:id="450"/>
      <w:bookmarkEnd w:id="451"/>
      <w:bookmarkEnd w:id="452"/>
    </w:p>
    <w:bookmarkEnd w:id="453"/>
    <w:bookmarkEnd w:id="454"/>
    <w:bookmarkEnd w:id="455"/>
    <w:p>
      <w:pPr>
        <w:pStyle w:val="5"/>
        <w:spacing w:beforeLines="50" w:afterLines="50" w:line="360" w:lineRule="auto"/>
        <w:jc w:val="center"/>
        <w:rPr>
          <w:color w:val="auto"/>
          <w:sz w:val="30"/>
          <w:szCs w:val="30"/>
          <w:highlight w:val="none"/>
        </w:rPr>
      </w:pPr>
      <w:bookmarkStart w:id="456" w:name="_Toc482188651"/>
      <w:bookmarkStart w:id="457" w:name="_Toc535938752"/>
      <w:bookmarkStart w:id="458" w:name="_Toc530470643"/>
      <w:bookmarkStart w:id="459" w:name="_Toc370676426"/>
      <w:bookmarkStart w:id="460" w:name="_Toc385943065"/>
      <w:bookmarkStart w:id="461" w:name="_Toc359594235"/>
      <w:bookmarkStart w:id="462" w:name="_Toc97798622"/>
      <w:bookmarkStart w:id="463" w:name="_Toc529196601"/>
      <w:bookmarkStart w:id="464" w:name="_Toc391394111"/>
      <w:r>
        <w:rPr>
          <w:color w:val="auto"/>
          <w:sz w:val="30"/>
          <w:szCs w:val="30"/>
          <w:highlight w:val="none"/>
        </w:rPr>
        <w:t>（一）投标函</w:t>
      </w:r>
      <w:bookmarkEnd w:id="456"/>
      <w:bookmarkEnd w:id="457"/>
      <w:bookmarkEnd w:id="458"/>
      <w:bookmarkEnd w:id="459"/>
      <w:bookmarkEnd w:id="460"/>
      <w:bookmarkEnd w:id="461"/>
      <w:bookmarkEnd w:id="462"/>
      <w:bookmarkEnd w:id="463"/>
      <w:bookmarkEnd w:id="464"/>
    </w:p>
    <w:p>
      <w:pPr>
        <w:spacing w:line="360" w:lineRule="auto"/>
        <w:ind w:firstLine="4725" w:firstLineChars="2250"/>
        <w:rPr>
          <w:color w:val="auto"/>
          <w:szCs w:val="21"/>
          <w:highlight w:val="none"/>
        </w:rPr>
      </w:pPr>
      <w:bookmarkStart w:id="465" w:name="_Toc385943066"/>
      <w:bookmarkStart w:id="466" w:name="_Toc370676427"/>
      <w:bookmarkStart w:id="467" w:name="_Toc391394112"/>
      <w:bookmarkStart w:id="468" w:name="_Toc359594236"/>
      <w:bookmarkStart w:id="469" w:name="_Toc482188652"/>
      <w:bookmarkStart w:id="470" w:name="_Toc144974856"/>
      <w:bookmarkStart w:id="471" w:name="_Toc300835209"/>
      <w:bookmarkStart w:id="472" w:name="_Toc384308375"/>
      <w:bookmarkStart w:id="473" w:name="_Toc247527827"/>
      <w:bookmarkStart w:id="474" w:name="_Toc152045787"/>
      <w:bookmarkStart w:id="475" w:name="_Toc369531697"/>
      <w:bookmarkStart w:id="476" w:name="_Toc352691661"/>
      <w:bookmarkStart w:id="477" w:name="_Toc247514246"/>
      <w:bookmarkStart w:id="478" w:name="_Toc152042576"/>
      <w:bookmarkStart w:id="479" w:name="_Toc361508752"/>
      <w:bookmarkStart w:id="480" w:name="_Toc17960"/>
    </w:p>
    <w:p>
      <w:pPr>
        <w:spacing w:line="360" w:lineRule="auto"/>
        <w:rPr>
          <w:rFonts w:ascii="宋体" w:hAnsi="宋体"/>
          <w:color w:val="auto"/>
          <w:sz w:val="24"/>
          <w:szCs w:val="24"/>
          <w:highlight w:val="none"/>
        </w:rPr>
      </w:pPr>
      <w:bookmarkStart w:id="481" w:name="_Toc530470645"/>
      <w:bookmarkStart w:id="482" w:name="_Toc535938753"/>
      <w:bookmarkStart w:id="483" w:name="_Toc529196602"/>
      <w:r>
        <w:rPr>
          <w:rFonts w:hint="eastAsia" w:ascii="宋体" w:hAnsi="宋体"/>
          <w:color w:val="auto"/>
          <w:sz w:val="24"/>
          <w:szCs w:val="24"/>
          <w:highlight w:val="none"/>
        </w:rPr>
        <w:t xml:space="preserve">致：  </w:t>
      </w:r>
      <w:r>
        <w:rPr>
          <w:rFonts w:hint="eastAsia" w:ascii="宋体" w:hAnsi="宋体"/>
          <w:color w:val="auto"/>
          <w:sz w:val="24"/>
          <w:szCs w:val="24"/>
          <w:highlight w:val="none"/>
          <w:u w:val="single"/>
        </w:rPr>
        <w:t xml:space="preserve">（招标人）          </w:t>
      </w:r>
    </w:p>
    <w:p>
      <w:pPr>
        <w:pStyle w:val="17"/>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 在仔细分析研究了贵单位提供的</w:t>
      </w:r>
      <w:r>
        <w:rPr>
          <w:rFonts w:hint="eastAsia" w:ascii="宋体" w:hAnsi="宋体"/>
          <w:color w:val="auto"/>
          <w:sz w:val="24"/>
          <w:highlight w:val="none"/>
          <w:u w:val="single"/>
        </w:rPr>
        <w:t xml:space="preserve">        （项目名称）</w:t>
      </w:r>
      <w:r>
        <w:rPr>
          <w:rFonts w:hint="eastAsia" w:ascii="宋体" w:hAnsi="宋体"/>
          <w:color w:val="auto"/>
          <w:sz w:val="24"/>
          <w:highlight w:val="none"/>
        </w:rPr>
        <w:t>招标文件后，我方愿意以总价为人民币（大写）（小写</w:t>
      </w:r>
      <w:r>
        <w:rPr>
          <w:rFonts w:hint="eastAsia" w:ascii="宋体" w:hAnsi="宋体"/>
          <w:color w:val="auto"/>
          <w:sz w:val="24"/>
          <w:highlight w:val="none"/>
          <w:u w:val="single"/>
        </w:rPr>
        <w:t>　　　　　</w:t>
      </w:r>
      <w:r>
        <w:rPr>
          <w:rFonts w:hint="eastAsia" w:ascii="宋体" w:hAnsi="宋体"/>
          <w:color w:val="auto"/>
          <w:sz w:val="24"/>
          <w:highlight w:val="none"/>
        </w:rPr>
        <w:t>）作为</w:t>
      </w:r>
      <w:r>
        <w:rPr>
          <w:rFonts w:hint="eastAsia" w:ascii="宋体" w:hAnsi="宋体"/>
          <w:color w:val="auto"/>
          <w:sz w:val="24"/>
          <w:highlight w:val="none"/>
          <w:u w:val="single"/>
        </w:rPr>
        <w:t xml:space="preserve">      （项目名称）         </w:t>
      </w:r>
      <w:r>
        <w:rPr>
          <w:rFonts w:hint="eastAsia" w:ascii="宋体" w:hAnsi="宋体"/>
          <w:color w:val="auto"/>
          <w:sz w:val="24"/>
          <w:highlight w:val="none"/>
        </w:rPr>
        <w:t>服务费的总价，并遵照招标文件的有关规定要求，承担全部服务任务工作。</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3.如果贵单位接受我方的投标，我方保证按合同规定的期限内开始本工程的检测工作并按投标书中规定的期限内完成合同规定的全部任务。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4.我方同意在从规定的</w:t>
      </w:r>
      <w:r>
        <w:rPr>
          <w:rFonts w:hint="eastAsia" w:ascii="宋体" w:hAnsi="宋体"/>
          <w:b/>
          <w:bCs/>
          <w:color w:val="auto"/>
          <w:sz w:val="24"/>
          <w:szCs w:val="24"/>
          <w:highlight w:val="none"/>
        </w:rPr>
        <w:t>递交投标文件截止之日起9</w:t>
      </w:r>
      <w:r>
        <w:rPr>
          <w:rFonts w:ascii="宋体" w:hAnsi="宋体"/>
          <w:b/>
          <w:bCs/>
          <w:color w:val="auto"/>
          <w:sz w:val="24"/>
          <w:szCs w:val="24"/>
          <w:highlight w:val="none"/>
        </w:rPr>
        <w:t>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5.在合同协议制定和签署之前，本投标书连同贵单位的中标通知书、双方签认的补充、修正或澄清文件及其他文件和附件应成为约束贵、我双方的合同文件。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6.我们理解，贵单位不一定接受最低标价的投标文件或可能接受其他任何投标文件，同时也理解，贵单位不负担我们的任何投标费用。</w:t>
      </w:r>
    </w:p>
    <w:p>
      <w:pPr>
        <w:spacing w:line="440" w:lineRule="exact"/>
        <w:ind w:firstLine="2520" w:firstLineChars="1200"/>
        <w:jc w:val="left"/>
        <w:rPr>
          <w:rFonts w:ascii="宋体" w:hAnsi="宋体"/>
          <w:color w:val="auto"/>
          <w:szCs w:val="21"/>
          <w:highlight w:val="none"/>
        </w:rPr>
      </w:pPr>
    </w:p>
    <w:p>
      <w:pPr>
        <w:pStyle w:val="17"/>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pPr>
        <w:spacing w:before="13"/>
        <w:rPr>
          <w:rFonts w:ascii="宋体" w:hAnsi="宋体" w:cs="宋体"/>
          <w:color w:val="auto"/>
          <w:sz w:val="24"/>
          <w:szCs w:val="24"/>
          <w:highlight w:val="none"/>
        </w:rPr>
      </w:pPr>
    </w:p>
    <w:p>
      <w:pPr>
        <w:pStyle w:val="17"/>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pPr>
        <w:spacing w:before="10"/>
        <w:rPr>
          <w:rFonts w:ascii="宋体" w:hAnsi="宋体" w:cs="宋体"/>
          <w:color w:val="auto"/>
          <w:sz w:val="24"/>
          <w:szCs w:val="24"/>
          <w:highlight w:val="none"/>
        </w:rPr>
      </w:pPr>
    </w:p>
    <w:p>
      <w:pPr>
        <w:spacing w:line="440" w:lineRule="exact"/>
        <w:ind w:firstLine="5400" w:firstLineChars="2250"/>
        <w:jc w:val="center"/>
        <w:rPr>
          <w:rFonts w:ascii="宋体" w:hAnsi="宋体"/>
          <w:color w:val="auto"/>
          <w:sz w:val="24"/>
          <w:szCs w:val="24"/>
          <w:highlight w:val="none"/>
        </w:rPr>
      </w:pP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hint="eastAsia" w:ascii="宋体" w:hAnsi="宋体"/>
          <w:color w:val="auto"/>
          <w:sz w:val="24"/>
          <w:szCs w:val="24"/>
          <w:highlight w:val="none"/>
        </w:rPr>
        <w:t>日</w:t>
      </w:r>
    </w:p>
    <w:p>
      <w:pPr>
        <w:rPr>
          <w:color w:val="auto"/>
          <w:highlight w:val="none"/>
        </w:rPr>
      </w:pPr>
    </w:p>
    <w:p>
      <w:pPr>
        <w:spacing w:line="380" w:lineRule="exact"/>
        <w:ind w:firstLine="482" w:firstLineChars="150"/>
        <w:rPr>
          <w:b/>
          <w:bCs/>
          <w:color w:val="auto"/>
          <w:sz w:val="32"/>
          <w:szCs w:val="32"/>
          <w:highlight w:val="none"/>
        </w:rPr>
      </w:pPr>
      <w:r>
        <w:rPr>
          <w:b/>
          <w:bCs/>
          <w:color w:val="auto"/>
          <w:sz w:val="32"/>
          <w:szCs w:val="32"/>
          <w:highlight w:val="none"/>
        </w:rPr>
        <w:br w:type="page"/>
      </w:r>
      <w:r>
        <w:rPr>
          <w:b/>
          <w:bCs/>
          <w:color w:val="auto"/>
          <w:sz w:val="32"/>
          <w:szCs w:val="32"/>
          <w:highlight w:val="none"/>
        </w:rPr>
        <w:t>（二）</w:t>
      </w:r>
      <w:r>
        <w:rPr>
          <w:rFonts w:hint="eastAsia"/>
          <w:b/>
          <w:bCs/>
          <w:color w:val="auto"/>
          <w:sz w:val="32"/>
          <w:szCs w:val="32"/>
          <w:highlight w:val="none"/>
        </w:rPr>
        <w:t>投标函附录：</w:t>
      </w:r>
    </w:p>
    <w:p>
      <w:pPr>
        <w:spacing w:line="380" w:lineRule="exact"/>
        <w:ind w:firstLine="482" w:firstLineChars="150"/>
        <w:rPr>
          <w:b/>
          <w:bCs/>
          <w:color w:val="auto"/>
          <w:sz w:val="32"/>
          <w:szCs w:val="32"/>
          <w:highlight w:val="none"/>
        </w:rPr>
      </w:pPr>
    </w:p>
    <w:tbl>
      <w:tblPr>
        <w:tblStyle w:val="42"/>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997" w:type="dxa"/>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项    目</w:t>
            </w:r>
          </w:p>
        </w:tc>
        <w:tc>
          <w:tcPr>
            <w:tcW w:w="5283"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97" w:type="dxa"/>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服务期</w:t>
            </w:r>
          </w:p>
        </w:tc>
        <w:tc>
          <w:tcPr>
            <w:tcW w:w="5283"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97" w:type="dxa"/>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质量标准</w:t>
            </w:r>
          </w:p>
        </w:tc>
        <w:tc>
          <w:tcPr>
            <w:tcW w:w="5283"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97" w:type="dxa"/>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投标有效期</w:t>
            </w:r>
          </w:p>
        </w:tc>
        <w:tc>
          <w:tcPr>
            <w:tcW w:w="5283"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9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highlight w:val="none"/>
              </w:rPr>
            </w:pPr>
            <w:r>
              <w:rPr>
                <w:rFonts w:hint="eastAsia" w:ascii="宋体" w:hAnsi="宋体"/>
                <w:color w:val="auto"/>
                <w:sz w:val="24"/>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97" w:type="dxa"/>
            <w:vMerge w:val="continue"/>
            <w:tcBorders>
              <w:left w:val="single" w:color="auto" w:sz="4" w:space="0"/>
              <w:right w:val="single" w:color="auto" w:sz="4" w:space="0"/>
            </w:tcBorders>
            <w:vAlign w:val="center"/>
          </w:tcPr>
          <w:p>
            <w:pPr>
              <w:spacing w:line="400" w:lineRule="exact"/>
              <w:jc w:val="center"/>
              <w:rPr>
                <w:rFonts w:ascii="宋体" w:hAnsi="宋体"/>
                <w:color w:val="auto"/>
                <w:sz w:val="24"/>
                <w:highlight w:val="none"/>
              </w:rPr>
            </w:pPr>
          </w:p>
        </w:tc>
        <w:tc>
          <w:tcPr>
            <w:tcW w:w="52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highlight w:val="none"/>
              </w:rPr>
            </w:pPr>
            <w:r>
              <w:rPr>
                <w:rFonts w:hint="eastAsia" w:ascii="宋体" w:hAnsi="宋体"/>
                <w:color w:val="auto"/>
                <w:sz w:val="24"/>
                <w:highlight w:val="none"/>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9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highlight w:val="none"/>
              </w:rPr>
            </w:pPr>
          </w:p>
        </w:tc>
        <w:tc>
          <w:tcPr>
            <w:tcW w:w="52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highlight w:val="none"/>
              </w:rPr>
            </w:pPr>
            <w:r>
              <w:rPr>
                <w:rFonts w:hint="eastAsia" w:ascii="宋体" w:hAnsi="宋体"/>
                <w:color w:val="auto"/>
                <w:sz w:val="24"/>
                <w:highlight w:val="none"/>
              </w:rPr>
              <w:t>身份证号码：</w:t>
            </w:r>
          </w:p>
        </w:tc>
      </w:tr>
    </w:tbl>
    <w:p>
      <w:pPr>
        <w:rPr>
          <w:color w:val="auto"/>
          <w:highlight w:val="none"/>
        </w:rPr>
      </w:pPr>
    </w:p>
    <w:p>
      <w:pPr>
        <w:spacing w:line="360" w:lineRule="auto"/>
        <w:rPr>
          <w:rFonts w:ascii="宋体" w:hAnsi="宋体"/>
          <w:color w:val="auto"/>
          <w:sz w:val="24"/>
          <w:highlight w:val="none"/>
        </w:rPr>
      </w:pPr>
    </w:p>
    <w:p>
      <w:pPr>
        <w:spacing w:line="360" w:lineRule="auto"/>
        <w:ind w:left="424" w:leftChars="202"/>
        <w:rPr>
          <w:rFonts w:ascii="宋体" w:hAnsi="宋体"/>
          <w:color w:val="auto"/>
          <w:sz w:val="24"/>
          <w:highlight w:val="none"/>
        </w:rPr>
      </w:pPr>
      <w:r>
        <w:rPr>
          <w:rFonts w:hint="eastAsia" w:ascii="宋体" w:hAnsi="宋体"/>
          <w:color w:val="auto"/>
          <w:sz w:val="24"/>
          <w:highlight w:val="none"/>
        </w:rPr>
        <w:t>投标人（公章）：</w:t>
      </w:r>
    </w:p>
    <w:p>
      <w:pPr>
        <w:spacing w:line="360" w:lineRule="auto"/>
        <w:ind w:left="424" w:leftChars="202"/>
        <w:rPr>
          <w:rFonts w:ascii="宋体" w:hAnsi="宋体"/>
          <w:color w:val="auto"/>
          <w:sz w:val="24"/>
          <w:highlight w:val="none"/>
          <w:u w:val="single"/>
        </w:rPr>
      </w:pPr>
      <w:r>
        <w:rPr>
          <w:rFonts w:hint="eastAsia" w:ascii="宋体" w:hAnsi="宋体"/>
          <w:color w:val="auto"/>
          <w:sz w:val="24"/>
          <w:highlight w:val="none"/>
        </w:rPr>
        <w:t>法定代表人（签字或盖章或签章）：</w:t>
      </w:r>
    </w:p>
    <w:p>
      <w:pPr>
        <w:spacing w:line="360" w:lineRule="auto"/>
        <w:ind w:left="424" w:leftChars="202"/>
        <w:jc w:val="left"/>
        <w:rPr>
          <w:rFonts w:ascii="宋体" w:hAnsi="宋体"/>
          <w:color w:val="auto"/>
          <w:sz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年   月   日</w:t>
      </w:r>
    </w:p>
    <w:p>
      <w:pPr>
        <w:pStyle w:val="40"/>
        <w:spacing w:line="360" w:lineRule="auto"/>
        <w:ind w:left="424" w:leftChars="202"/>
        <w:jc w:val="left"/>
        <w:rPr>
          <w:color w:val="auto"/>
          <w:highlight w:val="none"/>
        </w:rPr>
      </w:pPr>
    </w:p>
    <w:p>
      <w:pPr>
        <w:pStyle w:val="40"/>
        <w:spacing w:line="360" w:lineRule="auto"/>
        <w:ind w:left="424" w:leftChars="202"/>
        <w:jc w:val="left"/>
        <w:rPr>
          <w:color w:val="auto"/>
          <w:highlight w:val="none"/>
        </w:rPr>
      </w:pPr>
    </w:p>
    <w:p>
      <w:pPr>
        <w:pStyle w:val="40"/>
        <w:spacing w:line="360" w:lineRule="auto"/>
        <w:ind w:left="424" w:leftChars="202"/>
        <w:jc w:val="left"/>
        <w:rPr>
          <w:color w:val="auto"/>
          <w:highlight w:val="none"/>
        </w:rPr>
      </w:pPr>
    </w:p>
    <w:p>
      <w:pPr>
        <w:pStyle w:val="40"/>
        <w:spacing w:line="360" w:lineRule="auto"/>
        <w:ind w:left="424" w:leftChars="202"/>
        <w:jc w:val="left"/>
        <w:rPr>
          <w:color w:val="auto"/>
          <w:highlight w:val="none"/>
        </w:rPr>
      </w:pPr>
    </w:p>
    <w:p>
      <w:pPr>
        <w:pStyle w:val="40"/>
        <w:spacing w:line="360" w:lineRule="auto"/>
        <w:ind w:left="424" w:leftChars="202"/>
        <w:jc w:val="left"/>
        <w:rPr>
          <w:color w:val="auto"/>
          <w:highlight w:val="none"/>
        </w:rPr>
      </w:pPr>
    </w:p>
    <w:p>
      <w:pPr>
        <w:pStyle w:val="5"/>
        <w:spacing w:line="480" w:lineRule="auto"/>
        <w:rPr>
          <w:color w:val="auto"/>
          <w:sz w:val="30"/>
          <w:szCs w:val="30"/>
          <w:highlight w:val="none"/>
        </w:rPr>
      </w:pPr>
      <w:r>
        <w:rPr>
          <w:color w:val="auto"/>
          <w:highlight w:val="none"/>
        </w:rPr>
        <w:br w:type="page"/>
      </w:r>
      <w:bookmarkEnd w:id="465"/>
      <w:bookmarkEnd w:id="466"/>
      <w:bookmarkEnd w:id="467"/>
      <w:bookmarkEnd w:id="468"/>
      <w:bookmarkEnd w:id="469"/>
      <w:bookmarkEnd w:id="481"/>
      <w:bookmarkEnd w:id="482"/>
      <w:bookmarkEnd w:id="483"/>
      <w:bookmarkStart w:id="484" w:name="_Toc530470646"/>
      <w:bookmarkStart w:id="485" w:name="_Toc529196603"/>
      <w:bookmarkStart w:id="486" w:name="_Toc535938754"/>
      <w:bookmarkStart w:id="487" w:name="_Toc97798623"/>
      <w:r>
        <w:rPr>
          <w:color w:val="auto"/>
          <w:sz w:val="30"/>
          <w:szCs w:val="30"/>
          <w:highlight w:val="none"/>
        </w:rPr>
        <w:t>二</w:t>
      </w:r>
      <w:bookmarkEnd w:id="470"/>
      <w:bookmarkEnd w:id="471"/>
      <w:bookmarkEnd w:id="472"/>
      <w:bookmarkEnd w:id="473"/>
      <w:bookmarkEnd w:id="474"/>
      <w:bookmarkEnd w:id="475"/>
      <w:bookmarkEnd w:id="476"/>
      <w:bookmarkEnd w:id="477"/>
      <w:bookmarkEnd w:id="478"/>
      <w:bookmarkEnd w:id="479"/>
      <w:bookmarkEnd w:id="480"/>
      <w:r>
        <w:rPr>
          <w:color w:val="auto"/>
          <w:sz w:val="30"/>
          <w:szCs w:val="30"/>
          <w:highlight w:val="none"/>
        </w:rPr>
        <w:t>、法定代表人身份证明</w:t>
      </w:r>
      <w:r>
        <w:rPr>
          <w:rFonts w:hint="eastAsia"/>
          <w:color w:val="auto"/>
          <w:sz w:val="30"/>
          <w:szCs w:val="30"/>
          <w:highlight w:val="none"/>
        </w:rPr>
        <w:t>或授权委托书（格式可自定）</w:t>
      </w:r>
      <w:bookmarkEnd w:id="484"/>
      <w:bookmarkEnd w:id="485"/>
      <w:bookmarkEnd w:id="486"/>
      <w:bookmarkEnd w:id="487"/>
    </w:p>
    <w:p>
      <w:pPr>
        <w:spacing w:line="360" w:lineRule="auto"/>
        <w:jc w:val="center"/>
        <w:rPr>
          <w:b/>
          <w:color w:val="auto"/>
          <w:sz w:val="28"/>
          <w:szCs w:val="28"/>
          <w:highlight w:val="none"/>
        </w:rPr>
      </w:pPr>
      <w:r>
        <w:rPr>
          <w:rFonts w:hint="eastAsia"/>
          <w:b/>
          <w:color w:val="auto"/>
          <w:sz w:val="28"/>
          <w:szCs w:val="28"/>
          <w:highlight w:val="none"/>
        </w:rPr>
        <w:t>法定代表人身份证明</w:t>
      </w:r>
    </w:p>
    <w:p>
      <w:pPr>
        <w:spacing w:line="440" w:lineRule="exact"/>
        <w:rPr>
          <w:color w:val="auto"/>
          <w:sz w:val="24"/>
          <w:highlight w:val="none"/>
        </w:rPr>
      </w:pPr>
      <w:r>
        <w:rPr>
          <w:color w:val="auto"/>
          <w:sz w:val="24"/>
          <w:highlight w:val="none"/>
        </w:rPr>
        <w:t>投标人名称：</w:t>
      </w:r>
    </w:p>
    <w:p>
      <w:pPr>
        <w:spacing w:line="440" w:lineRule="exact"/>
        <w:rPr>
          <w:color w:val="auto"/>
          <w:sz w:val="24"/>
          <w:highlight w:val="none"/>
        </w:rPr>
      </w:pPr>
      <w:r>
        <w:rPr>
          <w:color w:val="auto"/>
          <w:sz w:val="24"/>
          <w:highlight w:val="none"/>
        </w:rPr>
        <w:t>姓名：性别：</w:t>
      </w:r>
      <w:bookmarkStart w:id="488" w:name="_Toc369531698"/>
      <w:bookmarkStart w:id="489" w:name="_Toc27897"/>
      <w:bookmarkStart w:id="490" w:name="_Toc352691662"/>
      <w:r>
        <w:rPr>
          <w:color w:val="auto"/>
          <w:sz w:val="24"/>
          <w:highlight w:val="none"/>
        </w:rPr>
        <w:t>年</w:t>
      </w:r>
      <w:bookmarkEnd w:id="488"/>
      <w:bookmarkEnd w:id="489"/>
      <w:bookmarkEnd w:id="490"/>
      <w:r>
        <w:rPr>
          <w:color w:val="auto"/>
          <w:sz w:val="24"/>
          <w:highlight w:val="none"/>
        </w:rPr>
        <w:t>龄</w:t>
      </w:r>
      <w:bookmarkStart w:id="491" w:name="_Toc15573"/>
      <w:bookmarkStart w:id="492" w:name="_Toc361508754"/>
      <w:bookmarkStart w:id="493" w:name="_Toc152045789"/>
      <w:bookmarkStart w:id="494" w:name="_Toc247527829"/>
      <w:bookmarkStart w:id="495" w:name="_Toc144974858"/>
      <w:bookmarkStart w:id="496" w:name="_Toc384308377"/>
      <w:bookmarkStart w:id="497" w:name="_Toc300835211"/>
      <w:bookmarkStart w:id="498" w:name="_Toc352691663"/>
      <w:bookmarkStart w:id="499" w:name="_Toc247514248"/>
      <w:bookmarkStart w:id="500" w:name="_Toc152042578"/>
      <w:bookmarkStart w:id="501" w:name="_Toc369531699"/>
      <w:r>
        <w:rPr>
          <w:color w:val="auto"/>
          <w:sz w:val="24"/>
          <w:highlight w:val="none"/>
        </w:rPr>
        <w:t>：</w:t>
      </w:r>
      <w:bookmarkEnd w:id="491"/>
      <w:bookmarkEnd w:id="492"/>
      <w:bookmarkEnd w:id="493"/>
      <w:bookmarkEnd w:id="494"/>
      <w:bookmarkEnd w:id="495"/>
      <w:bookmarkEnd w:id="496"/>
      <w:bookmarkEnd w:id="497"/>
      <w:bookmarkEnd w:id="498"/>
      <w:bookmarkEnd w:id="499"/>
      <w:bookmarkEnd w:id="500"/>
      <w:bookmarkEnd w:id="501"/>
      <w:r>
        <w:rPr>
          <w:color w:val="auto"/>
          <w:sz w:val="24"/>
          <w:highlight w:val="none"/>
        </w:rPr>
        <w:t>职务：</w:t>
      </w:r>
    </w:p>
    <w:p>
      <w:pPr>
        <w:spacing w:line="440" w:lineRule="exact"/>
        <w:rPr>
          <w:color w:val="auto"/>
          <w:sz w:val="24"/>
          <w:highlight w:val="none"/>
        </w:rPr>
      </w:pPr>
      <w:r>
        <w:rPr>
          <w:color w:val="auto"/>
          <w:sz w:val="24"/>
          <w:highlight w:val="none"/>
        </w:rPr>
        <w:t>系（投标人名称）的法定代表人。</w:t>
      </w:r>
    </w:p>
    <w:p>
      <w:pPr>
        <w:spacing w:line="440" w:lineRule="exact"/>
        <w:ind w:firstLine="480" w:firstLineChars="200"/>
        <w:rPr>
          <w:color w:val="auto"/>
          <w:sz w:val="24"/>
          <w:highlight w:val="none"/>
        </w:rPr>
      </w:pPr>
      <w:r>
        <w:rPr>
          <w:color w:val="auto"/>
          <w:sz w:val="24"/>
          <w:highlight w:val="none"/>
        </w:rPr>
        <w:t>特此证明。</w:t>
      </w:r>
    </w:p>
    <w:p>
      <w:pPr>
        <w:spacing w:line="440" w:lineRule="exact"/>
        <w:rPr>
          <w:color w:val="auto"/>
          <w:sz w:val="24"/>
          <w:highlight w:val="none"/>
        </w:rPr>
      </w:pPr>
    </w:p>
    <w:p>
      <w:pPr>
        <w:spacing w:line="440" w:lineRule="exact"/>
        <w:rPr>
          <w:color w:val="auto"/>
          <w:sz w:val="24"/>
          <w:highlight w:val="none"/>
        </w:rPr>
      </w:pPr>
      <w:r>
        <w:rPr>
          <w:color w:val="auto"/>
          <w:sz w:val="24"/>
          <w:highlight w:val="none"/>
        </w:rPr>
        <w:t>附：法定代表人身份证</w:t>
      </w:r>
      <w:r>
        <w:rPr>
          <w:rFonts w:hint="eastAsia"/>
          <w:color w:val="auto"/>
          <w:sz w:val="24"/>
          <w:highlight w:val="none"/>
        </w:rPr>
        <w:t>扫描</w:t>
      </w:r>
      <w:r>
        <w:rPr>
          <w:color w:val="auto"/>
          <w:sz w:val="24"/>
          <w:highlight w:val="none"/>
        </w:rPr>
        <w:t>件。</w:t>
      </w:r>
    </w:p>
    <w:p>
      <w:pPr>
        <w:spacing w:line="440" w:lineRule="exact"/>
        <w:ind w:firstLine="480" w:firstLineChars="200"/>
        <w:rPr>
          <w:color w:val="auto"/>
          <w:sz w:val="24"/>
          <w:highlight w:val="none"/>
        </w:rPr>
      </w:pPr>
    </w:p>
    <w:p>
      <w:pPr>
        <w:spacing w:line="440" w:lineRule="exact"/>
        <w:rPr>
          <w:color w:val="auto"/>
          <w:sz w:val="24"/>
          <w:highlight w:val="none"/>
        </w:rPr>
      </w:pPr>
      <w:r>
        <w:rPr>
          <w:color w:val="auto"/>
          <w:sz w:val="24"/>
          <w:highlight w:val="none"/>
        </w:rPr>
        <w:t>注：本身份证明需由投标人加盖单位公章。</w:t>
      </w:r>
    </w:p>
    <w:p>
      <w:pPr>
        <w:spacing w:line="440" w:lineRule="exact"/>
        <w:rPr>
          <w:color w:val="auto"/>
          <w:sz w:val="24"/>
          <w:highlight w:val="none"/>
        </w:rPr>
      </w:pPr>
    </w:p>
    <w:p>
      <w:pPr>
        <w:spacing w:line="440" w:lineRule="exact"/>
        <w:rPr>
          <w:color w:val="auto"/>
          <w:sz w:val="24"/>
          <w:highlight w:val="none"/>
        </w:rPr>
      </w:pPr>
    </w:p>
    <w:p>
      <w:pPr>
        <w:spacing w:line="440" w:lineRule="exact"/>
        <w:jc w:val="center"/>
        <w:rPr>
          <w:color w:val="auto"/>
          <w:sz w:val="24"/>
          <w:highlight w:val="none"/>
        </w:rPr>
      </w:pPr>
      <w:r>
        <w:rPr>
          <w:color w:val="auto"/>
          <w:sz w:val="24"/>
          <w:highlight w:val="none"/>
        </w:rPr>
        <w:t xml:space="preserve">                              投标人：</w:t>
      </w:r>
      <w:r>
        <w:rPr>
          <w:color w:val="auto"/>
          <w:sz w:val="24"/>
          <w:highlight w:val="none"/>
          <w:u w:val="single"/>
        </w:rPr>
        <w:tab/>
      </w:r>
      <w:r>
        <w:rPr>
          <w:color w:val="auto"/>
          <w:sz w:val="24"/>
          <w:highlight w:val="none"/>
        </w:rPr>
        <w:t>（</w:t>
      </w:r>
      <w:r>
        <w:rPr>
          <w:rFonts w:hint="eastAsia"/>
          <w:color w:val="auto"/>
          <w:sz w:val="24"/>
          <w:highlight w:val="none"/>
        </w:rPr>
        <w:t>盖</w:t>
      </w:r>
      <w:r>
        <w:rPr>
          <w:color w:val="auto"/>
          <w:sz w:val="24"/>
          <w:highlight w:val="none"/>
        </w:rPr>
        <w:t>单位</w:t>
      </w:r>
      <w:r>
        <w:rPr>
          <w:rFonts w:hint="eastAsia"/>
          <w:color w:val="auto"/>
          <w:sz w:val="24"/>
          <w:highlight w:val="none"/>
        </w:rPr>
        <w:t>章</w:t>
      </w:r>
      <w:r>
        <w:rPr>
          <w:color w:val="auto"/>
          <w:sz w:val="24"/>
          <w:highlight w:val="none"/>
        </w:rPr>
        <w:t>）</w:t>
      </w:r>
    </w:p>
    <w:p>
      <w:pPr>
        <w:spacing w:line="440" w:lineRule="exact"/>
        <w:rPr>
          <w:color w:val="auto"/>
          <w:sz w:val="24"/>
          <w:highlight w:val="none"/>
        </w:rPr>
      </w:pPr>
    </w:p>
    <w:p>
      <w:pPr>
        <w:spacing w:line="440" w:lineRule="exact"/>
        <w:ind w:firstLine="5280" w:firstLineChars="2200"/>
        <w:rPr>
          <w:color w:val="auto"/>
          <w:sz w:val="24"/>
          <w:highlight w:val="none"/>
        </w:rPr>
      </w:pPr>
      <w:r>
        <w:rPr>
          <w:color w:val="auto"/>
          <w:sz w:val="24"/>
          <w:highlight w:val="none"/>
        </w:rPr>
        <w:t>年月日</w:t>
      </w:r>
    </w:p>
    <w:p>
      <w:pPr>
        <w:spacing w:line="440" w:lineRule="exact"/>
        <w:rPr>
          <w:color w:val="auto"/>
          <w:sz w:val="24"/>
          <w:highlight w:val="none"/>
        </w:rPr>
      </w:pPr>
    </w:p>
    <w:p>
      <w:pPr>
        <w:spacing w:line="360" w:lineRule="auto"/>
        <w:jc w:val="center"/>
        <w:rPr>
          <w:b/>
          <w:color w:val="auto"/>
          <w:sz w:val="28"/>
          <w:szCs w:val="28"/>
          <w:highlight w:val="none"/>
        </w:rPr>
      </w:pPr>
      <w:bookmarkStart w:id="502" w:name="_Toc529196604"/>
      <w:bookmarkStart w:id="503" w:name="_Toc530470647"/>
      <w:r>
        <w:rPr>
          <w:b/>
          <w:bCs/>
          <w:color w:val="auto"/>
          <w:sz w:val="20"/>
          <w:highlight w:val="none"/>
        </w:rPr>
        <w:br w:type="page"/>
      </w:r>
      <w:bookmarkEnd w:id="502"/>
      <w:bookmarkEnd w:id="503"/>
      <w:bookmarkStart w:id="504" w:name="_Toc535938755"/>
      <w:bookmarkEnd w:id="504"/>
      <w:r>
        <w:rPr>
          <w:rFonts w:hint="eastAsia"/>
          <w:b/>
          <w:color w:val="auto"/>
          <w:sz w:val="28"/>
          <w:szCs w:val="28"/>
          <w:highlight w:val="none"/>
        </w:rPr>
        <w:t>授权委托书</w:t>
      </w:r>
    </w:p>
    <w:p>
      <w:pPr>
        <w:topLinePunct/>
        <w:spacing w:line="440" w:lineRule="exact"/>
        <w:ind w:firstLine="480" w:firstLineChars="200"/>
        <w:rPr>
          <w:color w:val="auto"/>
          <w:sz w:val="24"/>
          <w:highlight w:val="none"/>
        </w:rPr>
      </w:pPr>
      <w:r>
        <w:rPr>
          <w:color w:val="auto"/>
          <w:sz w:val="24"/>
          <w:highlight w:val="none"/>
        </w:rPr>
        <w:t>本人（姓名）系（投标人名称）的法定代表人，现委托（姓名）为我方代理人。代理人根据授权，以我方名义签署、澄清确认、递交、撤回、修改招标项目投标文件、签订合同和处理有关事宜，其法律后果由我方承担。</w:t>
      </w:r>
    </w:p>
    <w:p>
      <w:pPr>
        <w:spacing w:line="440" w:lineRule="exact"/>
        <w:ind w:firstLine="480" w:firstLineChars="200"/>
        <w:rPr>
          <w:color w:val="auto"/>
          <w:sz w:val="24"/>
          <w:highlight w:val="none"/>
        </w:rPr>
      </w:pPr>
      <w:r>
        <w:rPr>
          <w:color w:val="auto"/>
          <w:sz w:val="24"/>
          <w:highlight w:val="none"/>
        </w:rPr>
        <w:t>委托期限：。</w:t>
      </w:r>
    </w:p>
    <w:p>
      <w:pPr>
        <w:spacing w:line="440" w:lineRule="exact"/>
        <w:ind w:firstLine="480" w:firstLineChars="200"/>
        <w:rPr>
          <w:color w:val="auto"/>
          <w:sz w:val="24"/>
          <w:highlight w:val="none"/>
        </w:rPr>
      </w:pPr>
      <w:r>
        <w:rPr>
          <w:color w:val="auto"/>
          <w:sz w:val="24"/>
          <w:highlight w:val="none"/>
        </w:rPr>
        <w:t>代理人无转委托权。</w:t>
      </w:r>
    </w:p>
    <w:p>
      <w:pPr>
        <w:spacing w:line="440" w:lineRule="exact"/>
        <w:ind w:firstLine="480" w:firstLineChars="200"/>
        <w:rPr>
          <w:color w:val="auto"/>
          <w:sz w:val="24"/>
          <w:highlight w:val="none"/>
        </w:rPr>
      </w:pPr>
    </w:p>
    <w:p>
      <w:pPr>
        <w:spacing w:line="440" w:lineRule="exact"/>
        <w:rPr>
          <w:color w:val="auto"/>
          <w:sz w:val="24"/>
          <w:highlight w:val="none"/>
        </w:rPr>
      </w:pPr>
      <w:r>
        <w:rPr>
          <w:color w:val="auto"/>
          <w:sz w:val="24"/>
          <w:highlight w:val="none"/>
        </w:rPr>
        <w:t>附：法定代表人身份证</w:t>
      </w:r>
      <w:r>
        <w:rPr>
          <w:rFonts w:hint="eastAsia"/>
          <w:color w:val="auto"/>
          <w:sz w:val="24"/>
          <w:highlight w:val="none"/>
        </w:rPr>
        <w:t>扫描</w:t>
      </w:r>
      <w:r>
        <w:rPr>
          <w:color w:val="auto"/>
          <w:sz w:val="24"/>
          <w:highlight w:val="none"/>
        </w:rPr>
        <w:t>件及委托代理人身份证</w:t>
      </w:r>
      <w:r>
        <w:rPr>
          <w:rFonts w:hint="eastAsia"/>
          <w:color w:val="auto"/>
          <w:sz w:val="24"/>
          <w:highlight w:val="none"/>
        </w:rPr>
        <w:t>扫描</w:t>
      </w:r>
      <w:r>
        <w:rPr>
          <w:color w:val="auto"/>
          <w:sz w:val="24"/>
          <w:highlight w:val="none"/>
        </w:rPr>
        <w:t>件</w:t>
      </w:r>
    </w:p>
    <w:p>
      <w:pPr>
        <w:spacing w:line="440" w:lineRule="exact"/>
        <w:rPr>
          <w:color w:val="auto"/>
          <w:sz w:val="24"/>
          <w:highlight w:val="none"/>
        </w:rPr>
      </w:pPr>
    </w:p>
    <w:p>
      <w:pPr>
        <w:spacing w:line="440" w:lineRule="exact"/>
        <w:rPr>
          <w:color w:val="auto"/>
          <w:sz w:val="24"/>
          <w:highlight w:val="none"/>
        </w:rPr>
      </w:pPr>
      <w:r>
        <w:rPr>
          <w:color w:val="auto"/>
          <w:sz w:val="24"/>
          <w:highlight w:val="none"/>
        </w:rPr>
        <w:t>注：本授权委托书需由投标人加盖单位公章并由其法定代表人和委托代理人签字。</w:t>
      </w:r>
    </w:p>
    <w:p>
      <w:pPr>
        <w:spacing w:line="440" w:lineRule="exact"/>
        <w:rPr>
          <w:color w:val="auto"/>
          <w:sz w:val="24"/>
          <w:highlight w:val="none"/>
        </w:rPr>
      </w:pPr>
    </w:p>
    <w:p>
      <w:pPr>
        <w:spacing w:line="440" w:lineRule="exact"/>
        <w:ind w:firstLine="3076" w:firstLineChars="1282"/>
        <w:rPr>
          <w:color w:val="auto"/>
          <w:sz w:val="24"/>
          <w:highlight w:val="none"/>
        </w:rPr>
      </w:pPr>
      <w:r>
        <w:rPr>
          <w:color w:val="auto"/>
          <w:sz w:val="24"/>
          <w:highlight w:val="none"/>
        </w:rPr>
        <w:t>投  标  人：</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rPr>
        <w:t>（</w:t>
      </w:r>
      <w:r>
        <w:rPr>
          <w:rFonts w:hint="eastAsia"/>
          <w:color w:val="auto"/>
          <w:sz w:val="24"/>
          <w:highlight w:val="none"/>
        </w:rPr>
        <w:t>盖</w:t>
      </w:r>
      <w:r>
        <w:rPr>
          <w:color w:val="auto"/>
          <w:sz w:val="24"/>
          <w:highlight w:val="none"/>
        </w:rPr>
        <w:t>单位</w:t>
      </w:r>
      <w:r>
        <w:rPr>
          <w:rFonts w:hint="eastAsia"/>
          <w:color w:val="auto"/>
          <w:sz w:val="24"/>
          <w:highlight w:val="none"/>
        </w:rPr>
        <w:t>章</w:t>
      </w:r>
      <w:r>
        <w:rPr>
          <w:color w:val="auto"/>
          <w:sz w:val="24"/>
          <w:highlight w:val="none"/>
        </w:rPr>
        <w:t>）</w:t>
      </w:r>
    </w:p>
    <w:p>
      <w:pPr>
        <w:spacing w:line="440" w:lineRule="exact"/>
        <w:ind w:firstLine="3076" w:firstLineChars="1282"/>
        <w:rPr>
          <w:color w:val="auto"/>
          <w:sz w:val="24"/>
          <w:highlight w:val="none"/>
        </w:rPr>
      </w:pPr>
    </w:p>
    <w:p>
      <w:pPr>
        <w:spacing w:line="440" w:lineRule="exact"/>
        <w:ind w:firstLine="3074" w:firstLineChars="1281"/>
        <w:rPr>
          <w:color w:val="auto"/>
          <w:sz w:val="24"/>
          <w:highlight w:val="none"/>
        </w:rPr>
      </w:pPr>
      <w:r>
        <w:rPr>
          <w:color w:val="auto"/>
          <w:sz w:val="24"/>
          <w:highlight w:val="none"/>
        </w:rPr>
        <w:t>法定代表人：</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rPr>
        <w:t>（签字）</w:t>
      </w:r>
    </w:p>
    <w:p>
      <w:pPr>
        <w:spacing w:line="440" w:lineRule="exact"/>
        <w:ind w:firstLine="3076" w:firstLineChars="1282"/>
        <w:rPr>
          <w:color w:val="auto"/>
          <w:sz w:val="24"/>
          <w:highlight w:val="none"/>
        </w:rPr>
      </w:pPr>
    </w:p>
    <w:p>
      <w:pPr>
        <w:spacing w:line="440" w:lineRule="exact"/>
        <w:ind w:firstLine="3076" w:firstLineChars="1282"/>
        <w:rPr>
          <w:color w:val="auto"/>
          <w:sz w:val="24"/>
          <w:highlight w:val="none"/>
        </w:rPr>
      </w:pPr>
      <w:r>
        <w:rPr>
          <w:color w:val="auto"/>
          <w:sz w:val="24"/>
          <w:highlight w:val="none"/>
        </w:rPr>
        <w:t>身份证号码：</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spacing w:line="440" w:lineRule="exact"/>
        <w:ind w:firstLine="3076" w:firstLineChars="1282"/>
        <w:rPr>
          <w:color w:val="auto"/>
          <w:sz w:val="24"/>
          <w:highlight w:val="none"/>
        </w:rPr>
      </w:pPr>
    </w:p>
    <w:p>
      <w:pPr>
        <w:spacing w:line="440" w:lineRule="exact"/>
        <w:ind w:firstLine="3076" w:firstLineChars="1282"/>
        <w:rPr>
          <w:color w:val="auto"/>
          <w:sz w:val="24"/>
          <w:highlight w:val="none"/>
        </w:rPr>
      </w:pPr>
      <w:r>
        <w:rPr>
          <w:color w:val="auto"/>
          <w:sz w:val="24"/>
          <w:highlight w:val="none"/>
        </w:rPr>
        <w:t>委托代理人：</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rPr>
        <w:t>（签字）</w:t>
      </w:r>
    </w:p>
    <w:p>
      <w:pPr>
        <w:spacing w:line="440" w:lineRule="exact"/>
        <w:ind w:firstLine="3076" w:firstLineChars="1282"/>
        <w:rPr>
          <w:color w:val="auto"/>
          <w:sz w:val="24"/>
          <w:highlight w:val="none"/>
        </w:rPr>
      </w:pPr>
    </w:p>
    <w:p>
      <w:pPr>
        <w:spacing w:line="440" w:lineRule="exact"/>
        <w:ind w:firstLine="3076" w:firstLineChars="1282"/>
        <w:rPr>
          <w:color w:val="auto"/>
          <w:highlight w:val="none"/>
        </w:rPr>
      </w:pPr>
      <w:r>
        <w:rPr>
          <w:color w:val="auto"/>
          <w:sz w:val="24"/>
          <w:highlight w:val="none"/>
        </w:rPr>
        <w:t>身份证号码：</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spacing w:line="440" w:lineRule="exact"/>
        <w:ind w:firstLine="2692" w:firstLineChars="1282"/>
        <w:rPr>
          <w:color w:val="auto"/>
          <w:highlight w:val="none"/>
        </w:rPr>
      </w:pPr>
    </w:p>
    <w:p>
      <w:pPr>
        <w:spacing w:line="440" w:lineRule="exact"/>
        <w:ind w:firstLine="4057" w:firstLineChars="1932"/>
        <w:jc w:val="right"/>
        <w:rPr>
          <w:color w:val="auto"/>
          <w:highlight w:val="none"/>
        </w:rPr>
      </w:pPr>
      <w:r>
        <w:rPr>
          <w:color w:val="auto"/>
          <w:highlight w:val="none"/>
        </w:rPr>
        <w:t>年月日</w:t>
      </w:r>
    </w:p>
    <w:p>
      <w:pPr>
        <w:spacing w:line="440" w:lineRule="exact"/>
        <w:ind w:firstLine="4057" w:firstLineChars="1932"/>
        <w:jc w:val="right"/>
        <w:rPr>
          <w:color w:val="auto"/>
          <w:highlight w:val="none"/>
        </w:rPr>
      </w:pPr>
    </w:p>
    <w:p>
      <w:pPr>
        <w:rPr>
          <w:rFonts w:ascii="宋体" w:hAnsi="宋体"/>
          <w:color w:val="auto"/>
          <w:highlight w:val="none"/>
        </w:rPr>
      </w:pPr>
      <w:r>
        <w:rPr>
          <w:rFonts w:hint="eastAsia" w:ascii="宋体" w:hAnsi="宋体"/>
          <w:color w:val="auto"/>
          <w:highlight w:val="none"/>
        </w:rPr>
        <w:t>注：联合体投标的，法定代表人身份证明或授权委托书可由联合体主办方出具，“投标人”填写联合体各方名称，由联合体主办方签字或盖章即可。</w:t>
      </w:r>
    </w:p>
    <w:p>
      <w:pPr>
        <w:pStyle w:val="4"/>
        <w:spacing w:line="600" w:lineRule="auto"/>
        <w:rPr>
          <w:rFonts w:ascii="Times New Roman" w:hAnsi="Times New Roman" w:eastAsia="宋体"/>
          <w:color w:val="auto"/>
          <w:sz w:val="30"/>
          <w:szCs w:val="30"/>
          <w:highlight w:val="none"/>
        </w:rPr>
      </w:pPr>
      <w:r>
        <w:rPr>
          <w:rFonts w:ascii="Times New Roman" w:hAnsi="Times New Roman" w:eastAsia="宋体"/>
          <w:color w:val="auto"/>
          <w:highlight w:val="none"/>
        </w:rPr>
        <w:br w:type="page"/>
      </w:r>
      <w:bookmarkStart w:id="505" w:name="_Toc97798624"/>
      <w:bookmarkStart w:id="506" w:name="_Toc530470648"/>
      <w:bookmarkStart w:id="507" w:name="_Toc529196605"/>
      <w:bookmarkStart w:id="508" w:name="_Toc535938756"/>
      <w:r>
        <w:rPr>
          <w:rFonts w:hint="eastAsia" w:ascii="Times New Roman" w:hAnsi="Times New Roman" w:eastAsia="宋体"/>
          <w:color w:val="auto"/>
          <w:sz w:val="30"/>
          <w:szCs w:val="30"/>
          <w:highlight w:val="none"/>
        </w:rPr>
        <w:t>三、投标保证金</w:t>
      </w:r>
      <w:bookmarkEnd w:id="505"/>
      <w:bookmarkEnd w:id="506"/>
      <w:bookmarkEnd w:id="507"/>
      <w:bookmarkEnd w:id="508"/>
    </w:p>
    <w:p>
      <w:pPr>
        <w:spacing w:line="360" w:lineRule="auto"/>
        <w:ind w:firstLine="420" w:firstLineChars="200"/>
        <w:rPr>
          <w:color w:val="auto"/>
          <w:highlight w:val="none"/>
        </w:rPr>
      </w:pPr>
      <w:r>
        <w:rPr>
          <w:rFonts w:hint="eastAsia"/>
          <w:color w:val="auto"/>
          <w:highlight w:val="none"/>
        </w:rPr>
        <w:t>（注：投标人采用投标保函或投标保证保险的形式提交投标保证金的，应提交投标保函或投标保证保险文本的扫描件并加盖投标人电子印章。）</w:t>
      </w:r>
    </w:p>
    <w:p>
      <w:pPr>
        <w:spacing w:line="360" w:lineRule="auto"/>
        <w:jc w:val="center"/>
        <w:rPr>
          <w:b/>
          <w:color w:val="auto"/>
          <w:sz w:val="28"/>
          <w:szCs w:val="28"/>
          <w:highlight w:val="none"/>
        </w:rPr>
      </w:pPr>
    </w:p>
    <w:p>
      <w:pPr>
        <w:spacing w:line="360" w:lineRule="auto"/>
        <w:jc w:val="center"/>
        <w:rPr>
          <w:b/>
          <w:color w:val="auto"/>
          <w:sz w:val="28"/>
          <w:szCs w:val="28"/>
          <w:highlight w:val="none"/>
        </w:rPr>
      </w:pPr>
      <w:r>
        <w:rPr>
          <w:rFonts w:hint="eastAsia"/>
          <w:b/>
          <w:color w:val="auto"/>
          <w:sz w:val="28"/>
          <w:szCs w:val="28"/>
          <w:highlight w:val="none"/>
        </w:rPr>
        <w:t>投标保证金</w:t>
      </w:r>
    </w:p>
    <w:p>
      <w:pPr>
        <w:spacing w:line="200" w:lineRule="exact"/>
        <w:rPr>
          <w:color w:val="auto"/>
          <w:highlight w:val="none"/>
        </w:rPr>
      </w:pPr>
    </w:p>
    <w:p>
      <w:pPr>
        <w:spacing w:line="360" w:lineRule="auto"/>
        <w:rPr>
          <w:color w:val="auto"/>
          <w:sz w:val="24"/>
          <w:highlight w:val="none"/>
          <w:u w:val="single"/>
        </w:rPr>
      </w:pPr>
      <w:r>
        <w:rPr>
          <w:color w:val="auto"/>
          <w:sz w:val="24"/>
          <w:highlight w:val="none"/>
          <w:u w:val="single"/>
        </w:rPr>
        <w:tab/>
      </w:r>
      <w:r>
        <w:rPr>
          <w:color w:val="auto"/>
          <w:sz w:val="24"/>
          <w:highlight w:val="none"/>
          <w:u w:val="single"/>
        </w:rPr>
        <w:tab/>
      </w:r>
      <w:r>
        <w:rPr>
          <w:color w:val="auto"/>
          <w:sz w:val="24"/>
          <w:highlight w:val="none"/>
          <w:u w:val="single"/>
        </w:rPr>
        <w:t>（招标人名称）：</w:t>
      </w:r>
    </w:p>
    <w:p>
      <w:pPr>
        <w:spacing w:line="360" w:lineRule="auto"/>
        <w:rPr>
          <w:color w:val="auto"/>
          <w:sz w:val="24"/>
          <w:highlight w:val="none"/>
          <w:u w:val="single"/>
        </w:rPr>
      </w:pPr>
    </w:p>
    <w:p>
      <w:pPr>
        <w:spacing w:line="360" w:lineRule="auto"/>
        <w:ind w:firstLine="480" w:firstLineChars="200"/>
        <w:rPr>
          <w:color w:val="auto"/>
          <w:sz w:val="24"/>
          <w:highlight w:val="none"/>
          <w:u w:val="single"/>
        </w:rPr>
      </w:pPr>
      <w:r>
        <w:rPr>
          <w:color w:val="auto"/>
          <w:sz w:val="24"/>
          <w:highlight w:val="none"/>
          <w:u w:val="single"/>
        </w:rPr>
        <w:t>我方于年月日参加（项目名称）的投标，现保证：我方在规定的投标有效期内撤销或修改投标文件的，或者在收到中标通知书后无正当理由拒签合同或拒交规定履约担保的，投标保证金不予退还。</w:t>
      </w:r>
    </w:p>
    <w:p>
      <w:pPr>
        <w:spacing w:line="440" w:lineRule="exact"/>
        <w:rPr>
          <w:color w:val="auto"/>
          <w:highlight w:val="none"/>
          <w:u w:val="single"/>
        </w:rPr>
      </w:pPr>
    </w:p>
    <w:tbl>
      <w:tblPr>
        <w:tblStyle w:val="42"/>
        <w:tblW w:w="928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Borders>
              <w:top w:val="single" w:color="auto" w:sz="4" w:space="0"/>
              <w:left w:val="single" w:color="auto" w:sz="4" w:space="0"/>
              <w:bottom w:val="single" w:color="auto" w:sz="4" w:space="0"/>
              <w:right w:val="single" w:color="auto" w:sz="4" w:space="0"/>
            </w:tcBorders>
          </w:tcPr>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jc w:val="center"/>
              <w:rPr>
                <w:b/>
                <w:color w:val="auto"/>
                <w:sz w:val="48"/>
                <w:highlight w:val="none"/>
              </w:rPr>
            </w:pPr>
            <w:r>
              <w:rPr>
                <w:b/>
                <w:color w:val="auto"/>
                <w:sz w:val="48"/>
                <w:highlight w:val="none"/>
              </w:rPr>
              <w:t>粘 贴 处</w:t>
            </w: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tc>
      </w:tr>
    </w:tbl>
    <w:p>
      <w:pPr>
        <w:spacing w:line="1" w:lineRule="exact"/>
        <w:rPr>
          <w:color w:val="auto"/>
          <w:highlight w:val="none"/>
        </w:rPr>
      </w:pPr>
    </w:p>
    <w:p>
      <w:pPr>
        <w:ind w:firstLine="480"/>
        <w:rPr>
          <w:color w:val="auto"/>
          <w:highlight w:val="none"/>
        </w:rPr>
      </w:pPr>
    </w:p>
    <w:p>
      <w:pPr>
        <w:spacing w:line="440" w:lineRule="exact"/>
        <w:ind w:firstLine="4057" w:firstLineChars="1932"/>
        <w:jc w:val="right"/>
        <w:rPr>
          <w:color w:val="auto"/>
          <w:highlight w:val="none"/>
        </w:rPr>
        <w:sectPr>
          <w:footerReference r:id="rId13" w:type="default"/>
          <w:pgSz w:w="12240" w:h="15840"/>
          <w:pgMar w:top="1440" w:right="1425" w:bottom="1440" w:left="1800" w:header="720" w:footer="720" w:gutter="0"/>
          <w:cols w:space="720" w:num="1"/>
          <w:docGrid w:linePitch="285" w:charSpace="0"/>
        </w:sectPr>
      </w:pPr>
    </w:p>
    <w:p>
      <w:pPr>
        <w:pStyle w:val="4"/>
        <w:spacing w:line="600" w:lineRule="auto"/>
        <w:rPr>
          <w:rFonts w:ascii="Times New Roman" w:hAnsi="Times New Roman" w:eastAsia="宋体"/>
          <w:color w:val="auto"/>
          <w:sz w:val="30"/>
          <w:szCs w:val="30"/>
          <w:highlight w:val="none"/>
        </w:rPr>
      </w:pPr>
      <w:bookmarkStart w:id="509" w:name="_Toc530470649"/>
      <w:bookmarkStart w:id="510" w:name="_Toc535938757"/>
      <w:bookmarkStart w:id="511" w:name="_Toc529196606"/>
      <w:bookmarkStart w:id="512" w:name="_Toc97798625"/>
      <w:r>
        <w:rPr>
          <w:rFonts w:hint="eastAsia" w:ascii="Times New Roman" w:hAnsi="Times New Roman" w:eastAsia="宋体"/>
          <w:color w:val="auto"/>
          <w:sz w:val="30"/>
          <w:szCs w:val="30"/>
          <w:highlight w:val="none"/>
        </w:rPr>
        <w:t>四</w:t>
      </w:r>
      <w:r>
        <w:rPr>
          <w:rFonts w:ascii="Times New Roman" w:hAnsi="Times New Roman" w:eastAsia="宋体"/>
          <w:color w:val="auto"/>
          <w:sz w:val="30"/>
          <w:szCs w:val="30"/>
          <w:highlight w:val="none"/>
        </w:rPr>
        <w:t>、</w:t>
      </w:r>
      <w:bookmarkEnd w:id="509"/>
      <w:bookmarkEnd w:id="510"/>
      <w:bookmarkEnd w:id="511"/>
      <w:r>
        <w:rPr>
          <w:rFonts w:hint="eastAsia" w:ascii="Times New Roman" w:hAnsi="Times New Roman" w:eastAsia="宋体"/>
          <w:color w:val="auto"/>
          <w:sz w:val="30"/>
          <w:szCs w:val="30"/>
          <w:highlight w:val="none"/>
        </w:rPr>
        <w:t>投标报价书</w:t>
      </w:r>
      <w:bookmarkEnd w:id="512"/>
    </w:p>
    <w:p>
      <w:pPr>
        <w:pStyle w:val="4"/>
        <w:spacing w:line="600" w:lineRule="auto"/>
        <w:rPr>
          <w:rFonts w:ascii="宋体" w:hAnsi="宋体"/>
          <w:color w:val="auto"/>
          <w:highlight w:val="none"/>
        </w:rPr>
      </w:pPr>
      <w:bookmarkStart w:id="513" w:name="_Toc361508760"/>
    </w:p>
    <w:p>
      <w:pPr>
        <w:rPr>
          <w:color w:val="auto"/>
          <w:highlight w:val="none"/>
        </w:rPr>
      </w:pPr>
    </w:p>
    <w:p>
      <w:pPr>
        <w:rPr>
          <w:color w:val="auto"/>
          <w:highlight w:val="none"/>
        </w:rPr>
      </w:pPr>
    </w:p>
    <w:p>
      <w:pPr>
        <w:spacing w:line="500" w:lineRule="exact"/>
        <w:jc w:val="center"/>
        <w:rPr>
          <w:rFonts w:ascii="宋体" w:hAnsi="宋体"/>
          <w:b/>
          <w:bCs/>
          <w:color w:val="auto"/>
          <w:sz w:val="30"/>
          <w:highlight w:val="none"/>
          <w:u w:val="single"/>
        </w:rPr>
      </w:pPr>
      <w:r>
        <w:rPr>
          <w:rFonts w:hint="eastAsia" w:ascii="宋体" w:hAnsi="宋体"/>
          <w:b/>
          <w:bCs/>
          <w:color w:val="auto"/>
          <w:sz w:val="30"/>
          <w:highlight w:val="none"/>
          <w:u w:val="single"/>
        </w:rPr>
        <w:t>（项目名称）</w:t>
      </w: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pStyle w:val="40"/>
        <w:rPr>
          <w:color w:val="auto"/>
          <w:highlight w:val="none"/>
        </w:rPr>
      </w:pPr>
    </w:p>
    <w:p>
      <w:pPr>
        <w:spacing w:line="600" w:lineRule="exact"/>
        <w:jc w:val="center"/>
        <w:rPr>
          <w:b/>
          <w:bCs/>
          <w:color w:val="auto"/>
          <w:sz w:val="52"/>
          <w:highlight w:val="none"/>
        </w:rPr>
      </w:pPr>
      <w:r>
        <w:rPr>
          <w:rFonts w:hint="eastAsia"/>
          <w:b/>
          <w:bCs/>
          <w:color w:val="auto"/>
          <w:sz w:val="52"/>
          <w:highlight w:val="none"/>
        </w:rPr>
        <w:t>投 标 报 价 书</w:t>
      </w: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rPr>
          <w:rFonts w:ascii="宋体" w:hAnsi="宋体"/>
          <w:b/>
          <w:bCs/>
          <w:color w:val="auto"/>
          <w:sz w:val="30"/>
          <w:highlight w:val="none"/>
        </w:rPr>
      </w:pPr>
    </w:p>
    <w:p>
      <w:pPr>
        <w:spacing w:line="500" w:lineRule="exact"/>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rPr>
          <w:b/>
          <w:bCs/>
          <w:color w:val="auto"/>
          <w:sz w:val="30"/>
          <w:highlight w:val="none"/>
        </w:rPr>
      </w:pPr>
    </w:p>
    <w:p>
      <w:pPr>
        <w:spacing w:line="500" w:lineRule="exact"/>
        <w:ind w:firstLine="1968" w:firstLineChars="700"/>
        <w:rPr>
          <w:b/>
          <w:bCs/>
          <w:color w:val="auto"/>
          <w:sz w:val="28"/>
          <w:highlight w:val="none"/>
        </w:rPr>
      </w:pPr>
      <w:r>
        <w:rPr>
          <w:rFonts w:hint="eastAsia"/>
          <w:b/>
          <w:bCs/>
          <w:color w:val="auto"/>
          <w:sz w:val="28"/>
          <w:highlight w:val="none"/>
        </w:rPr>
        <w:t>投标单位：（公章）</w:t>
      </w:r>
    </w:p>
    <w:p>
      <w:pPr>
        <w:spacing w:line="500" w:lineRule="exact"/>
        <w:jc w:val="center"/>
        <w:rPr>
          <w:b/>
          <w:bCs/>
          <w:color w:val="auto"/>
          <w:sz w:val="28"/>
          <w:highlight w:val="none"/>
          <w:u w:val="single"/>
        </w:rPr>
      </w:pPr>
      <w:r>
        <w:rPr>
          <w:rFonts w:hint="eastAsia"/>
          <w:b/>
          <w:bCs/>
          <w:color w:val="auto"/>
          <w:sz w:val="28"/>
          <w:highlight w:val="none"/>
          <w:u w:val="single"/>
        </w:rPr>
        <w:t xml:space="preserve">   年   月   日</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13"/>
        <w:rPr>
          <w:color w:val="auto"/>
          <w:highlight w:val="none"/>
        </w:rPr>
      </w:pPr>
    </w:p>
    <w:p>
      <w:pPr>
        <w:rPr>
          <w:rFonts w:ascii="宋体" w:hAnsi="宋体"/>
          <w:color w:val="auto"/>
          <w:highlight w:val="none"/>
        </w:rPr>
      </w:pPr>
    </w:p>
    <w:p>
      <w:pPr>
        <w:rPr>
          <w:rFonts w:ascii="宋体" w:hAnsi="宋体"/>
          <w:color w:val="auto"/>
          <w:highlight w:val="none"/>
        </w:rPr>
      </w:pPr>
    </w:p>
    <w:p>
      <w:pPr>
        <w:spacing w:line="500" w:lineRule="exact"/>
        <w:jc w:val="center"/>
        <w:rPr>
          <w:b/>
          <w:bCs/>
          <w:color w:val="auto"/>
          <w:sz w:val="32"/>
          <w:highlight w:val="none"/>
        </w:rPr>
      </w:pPr>
    </w:p>
    <w:p>
      <w:pPr>
        <w:spacing w:line="500" w:lineRule="exact"/>
        <w:jc w:val="center"/>
        <w:rPr>
          <w:b/>
          <w:bCs/>
          <w:color w:val="auto"/>
          <w:sz w:val="32"/>
          <w:highlight w:val="none"/>
        </w:rPr>
      </w:pPr>
      <w:r>
        <w:rPr>
          <w:rFonts w:hint="eastAsia"/>
          <w:b/>
          <w:bCs/>
          <w:color w:val="auto"/>
          <w:sz w:val="32"/>
          <w:highlight w:val="none"/>
        </w:rPr>
        <w:t>报  价  说  明</w:t>
      </w:r>
    </w:p>
    <w:p>
      <w:pPr>
        <w:spacing w:line="500" w:lineRule="exact"/>
        <w:jc w:val="center"/>
        <w:rPr>
          <w:b/>
          <w:bCs/>
          <w:color w:val="auto"/>
          <w:sz w:val="32"/>
          <w:highlight w:val="none"/>
        </w:rPr>
      </w:pPr>
    </w:p>
    <w:p>
      <w:pPr>
        <w:pStyle w:val="25"/>
        <w:spacing w:after="0" w:line="360" w:lineRule="auto"/>
        <w:ind w:left="0" w:leftChars="0" w:firstLine="424" w:firstLineChars="177"/>
        <w:rPr>
          <w:color w:val="auto"/>
          <w:sz w:val="24"/>
          <w:highlight w:val="none"/>
        </w:rPr>
      </w:pPr>
      <w:r>
        <w:rPr>
          <w:rFonts w:hint="eastAsia"/>
          <w:color w:val="auto"/>
          <w:sz w:val="24"/>
          <w:highlight w:val="none"/>
        </w:rPr>
        <w:t>1、在研究了招标文件的所有文件、技术资料、图纸后，我方对</w:t>
      </w:r>
      <w:r>
        <w:rPr>
          <w:rFonts w:hint="eastAsia"/>
          <w:color w:val="auto"/>
          <w:sz w:val="24"/>
          <w:highlight w:val="none"/>
          <w:u w:val="single"/>
        </w:rPr>
        <w:t xml:space="preserve">   （项目名称）   </w:t>
      </w:r>
      <w:r>
        <w:rPr>
          <w:rFonts w:hint="eastAsia"/>
          <w:color w:val="auto"/>
          <w:sz w:val="24"/>
          <w:highlight w:val="none"/>
        </w:rPr>
        <w:t>投标的总报价为（人民币）</w:t>
      </w:r>
      <w:r>
        <w:rPr>
          <w:color w:val="auto"/>
          <w:sz w:val="24"/>
          <w:highlight w:val="none"/>
        </w:rPr>
        <w:t>___________</w:t>
      </w:r>
      <w:r>
        <w:rPr>
          <w:rFonts w:hint="eastAsia"/>
          <w:color w:val="auto"/>
          <w:sz w:val="24"/>
          <w:highlight w:val="none"/>
        </w:rPr>
        <w:t>元（大写：</w:t>
      </w:r>
      <w:r>
        <w:rPr>
          <w:rFonts w:hint="eastAsia"/>
          <w:color w:val="auto"/>
          <w:sz w:val="24"/>
          <w:highlight w:val="none"/>
          <w:u w:val="single"/>
          <w:lang w:val="en-US" w:eastAsia="zh-CN"/>
        </w:rPr>
        <w:t xml:space="preserve">       </w:t>
      </w:r>
      <w:r>
        <w:rPr>
          <w:rFonts w:hint="eastAsia"/>
          <w:color w:val="auto"/>
          <w:sz w:val="24"/>
          <w:highlight w:val="none"/>
        </w:rPr>
        <w:t>），具体详见报价明细。</w:t>
      </w:r>
    </w:p>
    <w:p>
      <w:pPr>
        <w:spacing w:line="360" w:lineRule="auto"/>
        <w:ind w:firstLine="424" w:firstLineChars="177"/>
        <w:rPr>
          <w:color w:val="auto"/>
          <w:sz w:val="28"/>
          <w:highlight w:val="none"/>
        </w:rPr>
      </w:pPr>
      <w:r>
        <w:rPr>
          <w:rFonts w:hint="eastAsia"/>
          <w:color w:val="auto"/>
          <w:sz w:val="24"/>
          <w:highlight w:val="none"/>
        </w:rPr>
        <w:t>2、所有附件均为我们投标报价书的组成部分，我们理解招标单位并不一定非得接受最低价或招标单位可能收到的任何报价书的约束。</w:t>
      </w:r>
    </w:p>
    <w:p>
      <w:pPr>
        <w:spacing w:line="360" w:lineRule="auto"/>
        <w:ind w:firstLine="424" w:firstLineChars="177"/>
        <w:rPr>
          <w:color w:val="auto"/>
          <w:sz w:val="24"/>
          <w:highlight w:val="none"/>
        </w:rPr>
      </w:pPr>
      <w:r>
        <w:rPr>
          <w:rFonts w:hint="eastAsia"/>
          <w:color w:val="auto"/>
          <w:sz w:val="24"/>
          <w:highlight w:val="none"/>
        </w:rPr>
        <w:t>3、本报价币种为人民币。</w:t>
      </w:r>
    </w:p>
    <w:p>
      <w:pPr>
        <w:spacing w:line="360" w:lineRule="auto"/>
        <w:ind w:firstLine="424" w:firstLineChars="177"/>
        <w:rPr>
          <w:color w:val="auto"/>
          <w:sz w:val="24"/>
          <w:highlight w:val="none"/>
        </w:rPr>
      </w:pPr>
      <w:r>
        <w:rPr>
          <w:rFonts w:hint="eastAsia"/>
          <w:color w:val="auto"/>
          <w:sz w:val="24"/>
          <w:highlight w:val="none"/>
        </w:rPr>
        <w:t>4、（投标人需要说明的其他内容，由投标人自行填写）</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投标人（公章）：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法定代表人（签字或盖章或签章）：</w:t>
      </w:r>
    </w:p>
    <w:p>
      <w:pPr>
        <w:spacing w:line="360" w:lineRule="auto"/>
        <w:ind w:firstLine="424" w:firstLineChars="177"/>
        <w:jc w:val="left"/>
        <w:rPr>
          <w:color w:val="auto"/>
          <w:szCs w:val="21"/>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年   月   日</w:t>
      </w:r>
    </w:p>
    <w:p>
      <w:pPr>
        <w:pStyle w:val="4"/>
        <w:jc w:val="center"/>
        <w:rPr>
          <w:rFonts w:ascii="宋体" w:hAnsi="宋体" w:eastAsia="宋体"/>
          <w:color w:val="auto"/>
          <w:sz w:val="32"/>
          <w:highlight w:val="none"/>
        </w:rPr>
      </w:pPr>
      <w:r>
        <w:rPr>
          <w:rFonts w:ascii="Times New Roman" w:hAnsi="Times New Roman"/>
          <w:color w:val="auto"/>
          <w:highlight w:val="none"/>
        </w:rPr>
        <w:br w:type="page"/>
      </w:r>
      <w:bookmarkStart w:id="514" w:name="_Toc97798626"/>
      <w:r>
        <w:rPr>
          <w:rFonts w:hint="eastAsia" w:ascii="宋体" w:hAnsi="宋体" w:eastAsia="宋体"/>
          <w:color w:val="auto"/>
          <w:sz w:val="30"/>
          <w:szCs w:val="30"/>
          <w:highlight w:val="none"/>
        </w:rPr>
        <w:t>工程量清单及投标报价表</w:t>
      </w:r>
      <w:bookmarkEnd w:id="514"/>
    </w:p>
    <w:p>
      <w:pPr>
        <w:widowControl/>
        <w:jc w:val="center"/>
        <w:rPr>
          <w:b/>
          <w:color w:val="auto"/>
          <w:highlight w:val="none"/>
        </w:rPr>
      </w:pPr>
      <w:r>
        <w:rPr>
          <w:rFonts w:hint="eastAsia"/>
          <w:b/>
          <w:color w:val="auto"/>
          <w:highlight w:val="none"/>
        </w:rPr>
        <w:t>（见第六章  检测服务工程量清单）</w:t>
      </w:r>
    </w:p>
    <w:p>
      <w:pPr>
        <w:pStyle w:val="4"/>
        <w:spacing w:line="600" w:lineRule="auto"/>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br w:type="page"/>
      </w:r>
      <w:bookmarkStart w:id="515" w:name="_Toc97798627"/>
      <w:r>
        <w:rPr>
          <w:rFonts w:hint="eastAsia" w:ascii="Times New Roman" w:hAnsi="Times New Roman" w:eastAsia="宋体"/>
          <w:color w:val="auto"/>
          <w:sz w:val="30"/>
          <w:szCs w:val="30"/>
          <w:highlight w:val="none"/>
        </w:rPr>
        <w:t>五</w:t>
      </w:r>
      <w:r>
        <w:rPr>
          <w:rFonts w:ascii="Times New Roman" w:hAnsi="Times New Roman" w:eastAsia="宋体"/>
          <w:color w:val="auto"/>
          <w:sz w:val="30"/>
          <w:szCs w:val="30"/>
          <w:highlight w:val="none"/>
        </w:rPr>
        <w:t>、</w:t>
      </w:r>
      <w:r>
        <w:rPr>
          <w:rFonts w:hint="eastAsia" w:ascii="Times New Roman" w:hAnsi="Times New Roman" w:eastAsia="宋体"/>
          <w:color w:val="auto"/>
          <w:sz w:val="30"/>
          <w:szCs w:val="30"/>
          <w:highlight w:val="none"/>
        </w:rPr>
        <w:t>资格审查资料</w:t>
      </w:r>
      <w:bookmarkEnd w:id="515"/>
    </w:p>
    <w:p>
      <w:pPr>
        <w:rPr>
          <w:b/>
          <w:color w:val="auto"/>
          <w:sz w:val="28"/>
          <w:szCs w:val="28"/>
          <w:highlight w:val="none"/>
        </w:rPr>
      </w:pPr>
      <w:bookmarkStart w:id="516" w:name="_Toc536042816"/>
      <w:bookmarkStart w:id="517" w:name="_Toc2154383"/>
      <w:r>
        <w:rPr>
          <w:b/>
          <w:color w:val="auto"/>
          <w:sz w:val="28"/>
          <w:szCs w:val="28"/>
          <w:highlight w:val="none"/>
        </w:rPr>
        <w:t>（一）</w:t>
      </w:r>
      <w:r>
        <w:rPr>
          <w:rFonts w:hint="eastAsia"/>
          <w:b/>
          <w:color w:val="auto"/>
          <w:sz w:val="28"/>
          <w:szCs w:val="28"/>
          <w:highlight w:val="none"/>
        </w:rPr>
        <w:t>投标人</w:t>
      </w:r>
      <w:r>
        <w:rPr>
          <w:b/>
          <w:color w:val="auto"/>
          <w:sz w:val="28"/>
          <w:szCs w:val="28"/>
          <w:highlight w:val="none"/>
        </w:rPr>
        <w:t>基本情况表</w:t>
      </w:r>
      <w:bookmarkEnd w:id="516"/>
      <w:bookmarkEnd w:id="517"/>
      <w:r>
        <w:rPr>
          <w:rFonts w:hint="eastAsia"/>
          <w:b/>
          <w:color w:val="auto"/>
          <w:sz w:val="28"/>
          <w:szCs w:val="28"/>
          <w:highlight w:val="none"/>
        </w:rPr>
        <w:t>（格式可自定）</w:t>
      </w:r>
    </w:p>
    <w:p>
      <w:pPr>
        <w:rPr>
          <w:color w:val="auto"/>
          <w:highlight w:val="none"/>
        </w:rPr>
      </w:pPr>
    </w:p>
    <w:tbl>
      <w:tblPr>
        <w:tblStyle w:val="42"/>
        <w:tblW w:w="933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2"/>
        <w:gridCol w:w="254"/>
        <w:gridCol w:w="1342"/>
        <w:gridCol w:w="1131"/>
        <w:gridCol w:w="278"/>
        <w:gridCol w:w="1243"/>
        <w:gridCol w:w="761"/>
        <w:gridCol w:w="1521"/>
        <w:gridCol w:w="12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332" w:type="dxa"/>
            <w:gridSpan w:val="9"/>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1、简况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tcBorders>
              <w:right w:val="single" w:color="auto" w:sz="4"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单位名称</w:t>
            </w:r>
          </w:p>
        </w:tc>
        <w:tc>
          <w:tcPr>
            <w:tcW w:w="7506" w:type="dxa"/>
            <w:gridSpan w:val="7"/>
            <w:tcBorders>
              <w:left w:val="single" w:color="auto" w:sz="4" w:space="0"/>
            </w:tcBorders>
            <w:vAlign w:val="center"/>
          </w:tcPr>
          <w:p>
            <w:pPr>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具备资质情况</w:t>
            </w:r>
          </w:p>
        </w:tc>
        <w:tc>
          <w:tcPr>
            <w:tcW w:w="7506" w:type="dxa"/>
            <w:gridSpan w:val="7"/>
            <w:vAlign w:val="center"/>
          </w:tcPr>
          <w:p>
            <w:pPr>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证书编号</w:t>
            </w:r>
          </w:p>
        </w:tc>
        <w:tc>
          <w:tcPr>
            <w:tcW w:w="7506" w:type="dxa"/>
            <w:gridSpan w:val="7"/>
            <w:vAlign w:val="center"/>
          </w:tcPr>
          <w:p>
            <w:pPr>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332" w:type="dxa"/>
            <w:gridSpan w:val="9"/>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2、人员结构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72" w:type="dxa"/>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职工总数</w:t>
            </w:r>
          </w:p>
        </w:tc>
        <w:tc>
          <w:tcPr>
            <w:tcW w:w="1596" w:type="dxa"/>
            <w:gridSpan w:val="2"/>
            <w:vAlign w:val="center"/>
          </w:tcPr>
          <w:p>
            <w:pPr>
              <w:ind w:left="52"/>
              <w:jc w:val="center"/>
              <w:rPr>
                <w:rFonts w:ascii="宋体" w:hAnsi="宋体"/>
                <w:color w:val="auto"/>
                <w:position w:val="-30"/>
                <w:sz w:val="22"/>
                <w:highlight w:val="none"/>
              </w:rPr>
            </w:pPr>
          </w:p>
        </w:tc>
        <w:tc>
          <w:tcPr>
            <w:tcW w:w="1409" w:type="dxa"/>
            <w:gridSpan w:val="2"/>
            <w:vAlign w:val="center"/>
          </w:tcPr>
          <w:p>
            <w:pPr>
              <w:ind w:left="52"/>
              <w:jc w:val="center"/>
              <w:rPr>
                <w:rFonts w:ascii="宋体" w:hAnsi="宋体"/>
                <w:color w:val="auto"/>
                <w:position w:val="-30"/>
                <w:sz w:val="22"/>
                <w:highlight w:val="none"/>
              </w:rPr>
            </w:pPr>
            <w:r>
              <w:rPr>
                <w:rFonts w:hint="eastAsia" w:ascii="宋体" w:hAnsi="宋体"/>
                <w:color w:val="auto"/>
                <w:position w:val="-30"/>
                <w:sz w:val="22"/>
                <w:highlight w:val="none"/>
              </w:rPr>
              <w:t>专业人数</w:t>
            </w:r>
          </w:p>
        </w:tc>
        <w:tc>
          <w:tcPr>
            <w:tcW w:w="1243" w:type="dxa"/>
            <w:vAlign w:val="center"/>
          </w:tcPr>
          <w:p>
            <w:pPr>
              <w:ind w:left="52"/>
              <w:jc w:val="center"/>
              <w:rPr>
                <w:rFonts w:ascii="宋体" w:hAnsi="宋体"/>
                <w:color w:val="auto"/>
                <w:position w:val="-30"/>
                <w:sz w:val="22"/>
                <w:highlight w:val="none"/>
              </w:rPr>
            </w:pPr>
          </w:p>
        </w:tc>
        <w:tc>
          <w:tcPr>
            <w:tcW w:w="2282" w:type="dxa"/>
            <w:gridSpan w:val="2"/>
            <w:vAlign w:val="center"/>
          </w:tcPr>
          <w:p>
            <w:pPr>
              <w:ind w:left="52"/>
              <w:jc w:val="center"/>
              <w:rPr>
                <w:rFonts w:ascii="宋体" w:hAnsi="宋体"/>
                <w:color w:val="auto"/>
                <w:position w:val="-30"/>
                <w:sz w:val="22"/>
                <w:highlight w:val="none"/>
              </w:rPr>
            </w:pPr>
            <w:r>
              <w:rPr>
                <w:rFonts w:hint="eastAsia" w:ascii="宋体" w:hAnsi="宋体"/>
                <w:color w:val="auto"/>
                <w:position w:val="-30"/>
                <w:sz w:val="22"/>
                <w:highlight w:val="none"/>
              </w:rPr>
              <w:t>中级以上职称人数</w:t>
            </w:r>
          </w:p>
        </w:tc>
        <w:tc>
          <w:tcPr>
            <w:tcW w:w="1230" w:type="dxa"/>
            <w:vAlign w:val="center"/>
          </w:tcPr>
          <w:p>
            <w:pPr>
              <w:ind w:left="52"/>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exact"/>
        </w:trPr>
        <w:tc>
          <w:tcPr>
            <w:tcW w:w="3168" w:type="dxa"/>
            <w:gridSpan w:val="3"/>
            <w:vAlign w:val="center"/>
          </w:tcPr>
          <w:p>
            <w:pPr>
              <w:spacing w:line="240" w:lineRule="atLeast"/>
              <w:rPr>
                <w:rFonts w:ascii="宋体" w:hAnsi="宋体"/>
                <w:color w:val="auto"/>
                <w:position w:val="-30"/>
                <w:sz w:val="22"/>
                <w:highlight w:val="none"/>
              </w:rPr>
            </w:pPr>
            <w:r>
              <w:rPr>
                <w:rFonts w:hint="eastAsia" w:ascii="宋体" w:hAnsi="宋体"/>
                <w:color w:val="auto"/>
                <w:position w:val="-30"/>
                <w:sz w:val="22"/>
                <w:highlight w:val="none"/>
              </w:rPr>
              <w:t>从事检测工作10年以上人数</w:t>
            </w:r>
          </w:p>
        </w:tc>
        <w:tc>
          <w:tcPr>
            <w:tcW w:w="1409" w:type="dxa"/>
            <w:gridSpan w:val="2"/>
            <w:vAlign w:val="center"/>
          </w:tcPr>
          <w:p>
            <w:pPr>
              <w:spacing w:line="240" w:lineRule="atLeast"/>
              <w:rPr>
                <w:rFonts w:ascii="宋体" w:hAnsi="宋体"/>
                <w:color w:val="auto"/>
                <w:position w:val="-30"/>
                <w:sz w:val="22"/>
                <w:highlight w:val="none"/>
              </w:rPr>
            </w:pPr>
          </w:p>
        </w:tc>
        <w:tc>
          <w:tcPr>
            <w:tcW w:w="3525" w:type="dxa"/>
            <w:gridSpan w:val="3"/>
            <w:vAlign w:val="center"/>
          </w:tcPr>
          <w:p>
            <w:pPr>
              <w:rPr>
                <w:rFonts w:ascii="宋体" w:hAnsi="宋体"/>
                <w:color w:val="auto"/>
                <w:position w:val="-30"/>
                <w:sz w:val="22"/>
                <w:highlight w:val="none"/>
              </w:rPr>
            </w:pPr>
            <w:r>
              <w:rPr>
                <w:rFonts w:hint="eastAsia" w:ascii="宋体" w:hAnsi="宋体"/>
                <w:color w:val="auto"/>
                <w:position w:val="-30"/>
                <w:sz w:val="22"/>
                <w:highlight w:val="none"/>
              </w:rPr>
              <w:t>从事检测工作3～10年人数</w:t>
            </w:r>
          </w:p>
        </w:tc>
        <w:tc>
          <w:tcPr>
            <w:tcW w:w="1230" w:type="dxa"/>
            <w:vAlign w:val="center"/>
          </w:tcPr>
          <w:p>
            <w:pPr>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332" w:type="dxa"/>
            <w:gridSpan w:val="9"/>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3、领导人名单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职务</w:t>
            </w:r>
          </w:p>
        </w:tc>
        <w:tc>
          <w:tcPr>
            <w:tcW w:w="2473" w:type="dxa"/>
            <w:gridSpan w:val="2"/>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姓名</w:t>
            </w:r>
          </w:p>
        </w:tc>
        <w:tc>
          <w:tcPr>
            <w:tcW w:w="2282" w:type="dxa"/>
            <w:gridSpan w:val="3"/>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职称</w:t>
            </w:r>
          </w:p>
        </w:tc>
        <w:tc>
          <w:tcPr>
            <w:tcW w:w="2751" w:type="dxa"/>
            <w:gridSpan w:val="2"/>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从事岗位业务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jc w:val="center"/>
              <w:rPr>
                <w:rFonts w:ascii="宋体" w:hAnsi="宋体"/>
                <w:color w:val="auto"/>
                <w:position w:val="-30"/>
                <w:sz w:val="22"/>
                <w:highlight w:val="none"/>
              </w:rPr>
            </w:pPr>
          </w:p>
        </w:tc>
        <w:tc>
          <w:tcPr>
            <w:tcW w:w="2473" w:type="dxa"/>
            <w:gridSpan w:val="2"/>
            <w:vAlign w:val="center"/>
          </w:tcPr>
          <w:p>
            <w:pPr>
              <w:jc w:val="center"/>
              <w:rPr>
                <w:rFonts w:ascii="宋体" w:hAnsi="宋体"/>
                <w:color w:val="auto"/>
                <w:position w:val="-30"/>
                <w:sz w:val="22"/>
                <w:highlight w:val="none"/>
              </w:rPr>
            </w:pPr>
          </w:p>
        </w:tc>
        <w:tc>
          <w:tcPr>
            <w:tcW w:w="2282" w:type="dxa"/>
            <w:gridSpan w:val="3"/>
            <w:vAlign w:val="center"/>
          </w:tcPr>
          <w:p>
            <w:pPr>
              <w:jc w:val="center"/>
              <w:rPr>
                <w:rFonts w:ascii="宋体" w:hAnsi="宋体"/>
                <w:color w:val="auto"/>
                <w:position w:val="-30"/>
                <w:sz w:val="22"/>
                <w:highlight w:val="none"/>
              </w:rPr>
            </w:pPr>
          </w:p>
        </w:tc>
        <w:tc>
          <w:tcPr>
            <w:tcW w:w="2751" w:type="dxa"/>
            <w:gridSpan w:val="2"/>
            <w:vAlign w:val="center"/>
          </w:tcPr>
          <w:p>
            <w:pPr>
              <w:jc w:val="center"/>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jc w:val="center"/>
              <w:rPr>
                <w:rFonts w:ascii="宋体" w:hAnsi="宋体"/>
                <w:color w:val="auto"/>
                <w:position w:val="-30"/>
                <w:sz w:val="22"/>
                <w:highlight w:val="none"/>
              </w:rPr>
            </w:pPr>
          </w:p>
        </w:tc>
        <w:tc>
          <w:tcPr>
            <w:tcW w:w="2473" w:type="dxa"/>
            <w:gridSpan w:val="2"/>
            <w:vAlign w:val="center"/>
          </w:tcPr>
          <w:p>
            <w:pPr>
              <w:jc w:val="center"/>
              <w:rPr>
                <w:rFonts w:ascii="宋体" w:hAnsi="宋体"/>
                <w:color w:val="auto"/>
                <w:position w:val="-30"/>
                <w:sz w:val="22"/>
                <w:highlight w:val="none"/>
              </w:rPr>
            </w:pPr>
          </w:p>
        </w:tc>
        <w:tc>
          <w:tcPr>
            <w:tcW w:w="2282" w:type="dxa"/>
            <w:gridSpan w:val="3"/>
            <w:vAlign w:val="center"/>
          </w:tcPr>
          <w:p>
            <w:pPr>
              <w:jc w:val="center"/>
              <w:rPr>
                <w:rFonts w:ascii="宋体" w:hAnsi="宋体"/>
                <w:color w:val="auto"/>
                <w:position w:val="-30"/>
                <w:sz w:val="22"/>
                <w:highlight w:val="none"/>
              </w:rPr>
            </w:pPr>
          </w:p>
        </w:tc>
        <w:tc>
          <w:tcPr>
            <w:tcW w:w="2751" w:type="dxa"/>
            <w:gridSpan w:val="2"/>
            <w:vAlign w:val="center"/>
          </w:tcPr>
          <w:p>
            <w:pPr>
              <w:jc w:val="center"/>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rPr>
                <w:rFonts w:ascii="宋体" w:hAnsi="宋体"/>
                <w:color w:val="auto"/>
                <w:position w:val="-30"/>
                <w:sz w:val="22"/>
                <w:highlight w:val="none"/>
              </w:rPr>
            </w:pPr>
          </w:p>
        </w:tc>
        <w:tc>
          <w:tcPr>
            <w:tcW w:w="2473" w:type="dxa"/>
            <w:gridSpan w:val="2"/>
            <w:vAlign w:val="center"/>
          </w:tcPr>
          <w:p>
            <w:pPr>
              <w:rPr>
                <w:rFonts w:ascii="宋体" w:hAnsi="宋体"/>
                <w:color w:val="auto"/>
                <w:position w:val="-30"/>
                <w:sz w:val="22"/>
                <w:highlight w:val="none"/>
              </w:rPr>
            </w:pPr>
          </w:p>
        </w:tc>
        <w:tc>
          <w:tcPr>
            <w:tcW w:w="2282" w:type="dxa"/>
            <w:gridSpan w:val="3"/>
            <w:vAlign w:val="center"/>
          </w:tcPr>
          <w:p>
            <w:pPr>
              <w:rPr>
                <w:rFonts w:ascii="宋体" w:hAnsi="宋体"/>
                <w:color w:val="auto"/>
                <w:position w:val="-30"/>
                <w:sz w:val="22"/>
                <w:highlight w:val="none"/>
              </w:rPr>
            </w:pPr>
          </w:p>
        </w:tc>
        <w:tc>
          <w:tcPr>
            <w:tcW w:w="2751" w:type="dxa"/>
            <w:gridSpan w:val="2"/>
            <w:vAlign w:val="center"/>
          </w:tcPr>
          <w:p>
            <w:pPr>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332" w:type="dxa"/>
            <w:gridSpan w:val="9"/>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4、联系方式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联系人</w:t>
            </w:r>
          </w:p>
        </w:tc>
        <w:tc>
          <w:tcPr>
            <w:tcW w:w="2473" w:type="dxa"/>
            <w:gridSpan w:val="2"/>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电话</w:t>
            </w:r>
          </w:p>
        </w:tc>
        <w:tc>
          <w:tcPr>
            <w:tcW w:w="2282" w:type="dxa"/>
            <w:gridSpan w:val="3"/>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手机</w:t>
            </w:r>
          </w:p>
        </w:tc>
        <w:tc>
          <w:tcPr>
            <w:tcW w:w="2751" w:type="dxa"/>
            <w:gridSpan w:val="2"/>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传真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jc w:val="center"/>
              <w:rPr>
                <w:rFonts w:ascii="宋体" w:hAnsi="宋体"/>
                <w:color w:val="auto"/>
                <w:position w:val="-30"/>
                <w:sz w:val="22"/>
                <w:highlight w:val="none"/>
              </w:rPr>
            </w:pPr>
          </w:p>
        </w:tc>
        <w:tc>
          <w:tcPr>
            <w:tcW w:w="2473" w:type="dxa"/>
            <w:gridSpan w:val="2"/>
            <w:vAlign w:val="center"/>
          </w:tcPr>
          <w:p>
            <w:pPr>
              <w:jc w:val="center"/>
              <w:rPr>
                <w:rFonts w:ascii="宋体" w:hAnsi="宋体"/>
                <w:color w:val="auto"/>
                <w:position w:val="-30"/>
                <w:sz w:val="22"/>
                <w:highlight w:val="none"/>
              </w:rPr>
            </w:pPr>
          </w:p>
        </w:tc>
        <w:tc>
          <w:tcPr>
            <w:tcW w:w="2282" w:type="dxa"/>
            <w:gridSpan w:val="3"/>
            <w:vAlign w:val="center"/>
          </w:tcPr>
          <w:p>
            <w:pPr>
              <w:jc w:val="center"/>
              <w:rPr>
                <w:rFonts w:ascii="宋体" w:hAnsi="宋体"/>
                <w:color w:val="auto"/>
                <w:position w:val="-30"/>
                <w:sz w:val="22"/>
                <w:highlight w:val="none"/>
              </w:rPr>
            </w:pPr>
          </w:p>
        </w:tc>
        <w:tc>
          <w:tcPr>
            <w:tcW w:w="2751" w:type="dxa"/>
            <w:gridSpan w:val="2"/>
            <w:vAlign w:val="center"/>
          </w:tcPr>
          <w:p>
            <w:pPr>
              <w:jc w:val="center"/>
              <w:rPr>
                <w:rFonts w:ascii="宋体" w:hAnsi="宋体"/>
                <w:color w:val="auto"/>
                <w:position w:val="-30"/>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gridSpan w:val="2"/>
            <w:vAlign w:val="center"/>
          </w:tcPr>
          <w:p>
            <w:pPr>
              <w:rPr>
                <w:rFonts w:ascii="宋体" w:hAnsi="宋体"/>
                <w:color w:val="auto"/>
                <w:position w:val="-30"/>
                <w:sz w:val="22"/>
                <w:highlight w:val="none"/>
              </w:rPr>
            </w:pPr>
          </w:p>
        </w:tc>
        <w:tc>
          <w:tcPr>
            <w:tcW w:w="2473" w:type="dxa"/>
            <w:gridSpan w:val="2"/>
            <w:vAlign w:val="center"/>
          </w:tcPr>
          <w:p>
            <w:pPr>
              <w:rPr>
                <w:rFonts w:ascii="宋体" w:hAnsi="宋体"/>
                <w:color w:val="auto"/>
                <w:position w:val="-30"/>
                <w:sz w:val="22"/>
                <w:highlight w:val="none"/>
              </w:rPr>
            </w:pPr>
          </w:p>
        </w:tc>
        <w:tc>
          <w:tcPr>
            <w:tcW w:w="2282" w:type="dxa"/>
            <w:gridSpan w:val="3"/>
            <w:vAlign w:val="center"/>
          </w:tcPr>
          <w:p>
            <w:pPr>
              <w:rPr>
                <w:rFonts w:ascii="宋体" w:hAnsi="宋体"/>
                <w:color w:val="auto"/>
                <w:position w:val="-30"/>
                <w:sz w:val="22"/>
                <w:highlight w:val="none"/>
              </w:rPr>
            </w:pPr>
          </w:p>
        </w:tc>
        <w:tc>
          <w:tcPr>
            <w:tcW w:w="2751" w:type="dxa"/>
            <w:gridSpan w:val="2"/>
            <w:vAlign w:val="center"/>
          </w:tcPr>
          <w:p>
            <w:pPr>
              <w:rPr>
                <w:rFonts w:ascii="宋体" w:hAnsi="宋体"/>
                <w:color w:val="auto"/>
                <w:position w:val="-30"/>
                <w:sz w:val="22"/>
                <w:highlight w:val="none"/>
              </w:rPr>
            </w:pPr>
          </w:p>
        </w:tc>
      </w:tr>
    </w:tbl>
    <w:p>
      <w:pPr>
        <w:snapToGrid w:val="0"/>
        <w:rPr>
          <w:rFonts w:ascii="宋体" w:hAnsi="宋体"/>
          <w:color w:val="auto"/>
          <w:spacing w:val="-5"/>
          <w:szCs w:val="21"/>
          <w:highlight w:val="none"/>
        </w:rPr>
      </w:pPr>
    </w:p>
    <w:p>
      <w:pPr>
        <w:snapToGrid w:val="0"/>
        <w:spacing w:line="276" w:lineRule="auto"/>
        <w:rPr>
          <w:rFonts w:ascii="宋体" w:hAnsi="宋体"/>
          <w:color w:val="auto"/>
          <w:spacing w:val="-5"/>
          <w:szCs w:val="21"/>
          <w:highlight w:val="none"/>
        </w:rPr>
      </w:pPr>
      <w:r>
        <w:rPr>
          <w:rFonts w:hint="eastAsia" w:ascii="宋体" w:hAnsi="宋体"/>
          <w:color w:val="auto"/>
          <w:spacing w:val="-5"/>
          <w:szCs w:val="21"/>
          <w:highlight w:val="none"/>
        </w:rPr>
        <w:t>注：1、联系人栏应填写两个人的联系方式以便于联系。</w:t>
      </w:r>
    </w:p>
    <w:p>
      <w:pPr>
        <w:snapToGrid w:val="0"/>
        <w:spacing w:line="276" w:lineRule="auto"/>
        <w:rPr>
          <w:rFonts w:ascii="宋体" w:hAnsi="宋体"/>
          <w:color w:val="auto"/>
          <w:position w:val="-30"/>
          <w:szCs w:val="21"/>
          <w:highlight w:val="none"/>
        </w:rPr>
      </w:pPr>
      <w:r>
        <w:rPr>
          <w:rFonts w:hint="eastAsia" w:ascii="宋体" w:hAnsi="宋体"/>
          <w:color w:val="auto"/>
          <w:position w:val="-30"/>
          <w:szCs w:val="21"/>
          <w:highlight w:val="none"/>
        </w:rPr>
        <w:t xml:space="preserve">    2、本表</w:t>
      </w:r>
      <w:bookmarkStart w:id="518" w:name="_Toc536042817"/>
      <w:bookmarkStart w:id="519" w:name="_Toc2154384"/>
      <w:r>
        <w:rPr>
          <w:rFonts w:hint="eastAsia" w:ascii="宋体" w:hAnsi="宋体"/>
          <w:color w:val="auto"/>
          <w:position w:val="-30"/>
          <w:szCs w:val="21"/>
          <w:highlight w:val="none"/>
        </w:rPr>
        <w:t>后须附检测投标单位的营业执照或事业单位法人证书和组织机构代码证（按照“三证合一”或“五证合一”登记制度进行登记的，可仅提供营业执照或事业单位法人证书）、建设行政主管部门颁发的建设工程质量检测机构资质证书、CMA计量认证合格证书（或CMA检验检测机构资质认定证书）以及其他相关证明材料。</w:t>
      </w:r>
    </w:p>
    <w:p>
      <w:pPr>
        <w:snapToGrid w:val="0"/>
        <w:spacing w:line="276" w:lineRule="auto"/>
        <w:ind w:firstLine="420" w:firstLineChars="200"/>
        <w:rPr>
          <w:rFonts w:ascii="宋体" w:hAnsi="宋体"/>
          <w:color w:val="auto"/>
          <w:position w:val="-30"/>
          <w:szCs w:val="21"/>
          <w:highlight w:val="none"/>
        </w:rPr>
      </w:pPr>
      <w:r>
        <w:rPr>
          <w:rFonts w:ascii="宋体" w:hAnsi="宋体"/>
          <w:color w:val="auto"/>
          <w:position w:val="-30"/>
          <w:szCs w:val="21"/>
          <w:highlight w:val="none"/>
        </w:rPr>
        <w:t>3、</w:t>
      </w:r>
      <w:r>
        <w:rPr>
          <w:rFonts w:hint="eastAsia" w:ascii="宋体" w:hAnsi="宋体"/>
          <w:color w:val="auto"/>
          <w:position w:val="-30"/>
          <w:szCs w:val="21"/>
          <w:highlight w:val="none"/>
        </w:rPr>
        <w:t>联合体投标的，本表由联合体各方分别填写。</w:t>
      </w:r>
    </w:p>
    <w:p>
      <w:pPr>
        <w:snapToGrid w:val="0"/>
        <w:spacing w:line="276" w:lineRule="auto"/>
        <w:rPr>
          <w:b/>
          <w:color w:val="auto"/>
          <w:sz w:val="28"/>
          <w:szCs w:val="28"/>
          <w:highlight w:val="none"/>
        </w:rPr>
      </w:pPr>
      <w:r>
        <w:rPr>
          <w:b/>
          <w:color w:val="auto"/>
          <w:sz w:val="28"/>
          <w:szCs w:val="28"/>
          <w:highlight w:val="none"/>
        </w:rPr>
        <w:br w:type="page"/>
      </w:r>
      <w:r>
        <w:rPr>
          <w:b/>
          <w:color w:val="auto"/>
          <w:sz w:val="28"/>
          <w:szCs w:val="28"/>
          <w:highlight w:val="none"/>
        </w:rPr>
        <w:t>（</w:t>
      </w:r>
      <w:r>
        <w:rPr>
          <w:rFonts w:hint="eastAsia"/>
          <w:b/>
          <w:color w:val="auto"/>
          <w:sz w:val="28"/>
          <w:szCs w:val="28"/>
          <w:highlight w:val="none"/>
        </w:rPr>
        <w:t>二</w:t>
      </w:r>
      <w:r>
        <w:rPr>
          <w:b/>
          <w:color w:val="auto"/>
          <w:sz w:val="28"/>
          <w:szCs w:val="28"/>
          <w:highlight w:val="none"/>
        </w:rPr>
        <w:t>）</w:t>
      </w:r>
      <w:r>
        <w:rPr>
          <w:rFonts w:hint="eastAsia"/>
          <w:b/>
          <w:color w:val="auto"/>
          <w:sz w:val="28"/>
          <w:szCs w:val="28"/>
          <w:highlight w:val="none"/>
        </w:rPr>
        <w:t>项目负责人职称证</w:t>
      </w:r>
    </w:p>
    <w:p>
      <w:pPr>
        <w:rPr>
          <w:b/>
          <w:color w:val="auto"/>
          <w:sz w:val="28"/>
          <w:szCs w:val="28"/>
          <w:highlight w:val="none"/>
        </w:rPr>
      </w:pPr>
      <w:r>
        <w:rPr>
          <w:b/>
          <w:color w:val="auto"/>
          <w:sz w:val="28"/>
          <w:szCs w:val="28"/>
          <w:highlight w:val="none"/>
        </w:rPr>
        <w:br w:type="page"/>
      </w:r>
      <w:r>
        <w:rPr>
          <w:b/>
          <w:color w:val="auto"/>
          <w:sz w:val="28"/>
          <w:szCs w:val="28"/>
          <w:highlight w:val="none"/>
        </w:rPr>
        <w:t>（</w:t>
      </w:r>
      <w:r>
        <w:rPr>
          <w:rFonts w:hint="eastAsia"/>
          <w:b/>
          <w:color w:val="auto"/>
          <w:sz w:val="28"/>
          <w:szCs w:val="28"/>
          <w:highlight w:val="none"/>
        </w:rPr>
        <w:t>三</w:t>
      </w:r>
      <w:r>
        <w:rPr>
          <w:b/>
          <w:color w:val="auto"/>
          <w:sz w:val="28"/>
          <w:szCs w:val="28"/>
          <w:highlight w:val="none"/>
        </w:rPr>
        <w:t>）</w:t>
      </w:r>
      <w:r>
        <w:rPr>
          <w:rFonts w:hint="eastAsia"/>
          <w:b/>
          <w:color w:val="auto"/>
          <w:sz w:val="28"/>
          <w:szCs w:val="28"/>
          <w:highlight w:val="none"/>
        </w:rPr>
        <w:t>投标人声明</w:t>
      </w:r>
      <w:bookmarkEnd w:id="518"/>
      <w:bookmarkEnd w:id="519"/>
    </w:p>
    <w:p>
      <w:pPr>
        <w:spacing w:beforeLines="100" w:line="360" w:lineRule="auto"/>
        <w:ind w:firstLine="480" w:firstLineChars="200"/>
        <w:rPr>
          <w:color w:val="auto"/>
          <w:highlight w:val="none"/>
        </w:rPr>
      </w:pPr>
      <w:r>
        <w:rPr>
          <w:rFonts w:hint="eastAsia" w:ascii="宋体" w:hAnsi="宋体"/>
          <w:color w:val="auto"/>
          <w:sz w:val="24"/>
          <w:szCs w:val="24"/>
          <w:highlight w:val="none"/>
        </w:rPr>
        <w:t>详见招标公告附件一。</w:t>
      </w:r>
    </w:p>
    <w:p>
      <w:pPr>
        <w:rPr>
          <w:b/>
          <w:color w:val="auto"/>
          <w:sz w:val="28"/>
          <w:szCs w:val="28"/>
          <w:highlight w:val="none"/>
        </w:rPr>
      </w:pPr>
      <w:bookmarkStart w:id="520" w:name="_Toc2154385"/>
      <w:bookmarkStart w:id="521" w:name="_Toc536042818"/>
      <w:r>
        <w:rPr>
          <w:b/>
          <w:color w:val="auto"/>
          <w:sz w:val="28"/>
          <w:szCs w:val="28"/>
          <w:highlight w:val="none"/>
        </w:rPr>
        <w:br w:type="page"/>
      </w:r>
      <w:r>
        <w:rPr>
          <w:b/>
          <w:color w:val="auto"/>
          <w:sz w:val="28"/>
          <w:szCs w:val="28"/>
          <w:highlight w:val="none"/>
        </w:rPr>
        <w:t>（</w:t>
      </w:r>
      <w:r>
        <w:rPr>
          <w:rFonts w:hint="eastAsia"/>
          <w:b/>
          <w:color w:val="auto"/>
          <w:sz w:val="28"/>
          <w:szCs w:val="28"/>
          <w:highlight w:val="none"/>
        </w:rPr>
        <w:t>四</w:t>
      </w:r>
      <w:r>
        <w:rPr>
          <w:b/>
          <w:color w:val="auto"/>
          <w:sz w:val="28"/>
          <w:szCs w:val="28"/>
          <w:highlight w:val="none"/>
        </w:rPr>
        <w:t>）</w:t>
      </w:r>
      <w:r>
        <w:rPr>
          <w:rFonts w:hint="eastAsia"/>
          <w:b/>
          <w:color w:val="auto"/>
          <w:sz w:val="28"/>
          <w:szCs w:val="28"/>
          <w:highlight w:val="none"/>
        </w:rPr>
        <w:t>联合体协议（如有）</w:t>
      </w:r>
    </w:p>
    <w:p>
      <w:pPr>
        <w:spacing w:beforeLines="100" w:line="360" w:lineRule="auto"/>
        <w:ind w:firstLine="480" w:firstLineChars="200"/>
        <w:rPr>
          <w:color w:val="auto"/>
          <w:highlight w:val="none"/>
        </w:rPr>
      </w:pPr>
      <w:r>
        <w:rPr>
          <w:rFonts w:hint="eastAsia" w:ascii="宋体" w:hAnsi="宋体"/>
          <w:color w:val="auto"/>
          <w:sz w:val="24"/>
          <w:szCs w:val="24"/>
          <w:highlight w:val="none"/>
        </w:rPr>
        <w:t>详见招标公告附件二。</w:t>
      </w: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pStyle w:val="40"/>
        <w:rPr>
          <w:b/>
          <w:color w:val="auto"/>
          <w:sz w:val="28"/>
          <w:szCs w:val="28"/>
          <w:highlight w:val="none"/>
        </w:rPr>
      </w:pPr>
    </w:p>
    <w:p>
      <w:pPr>
        <w:rPr>
          <w:b/>
          <w:color w:val="auto"/>
          <w:sz w:val="28"/>
          <w:szCs w:val="28"/>
          <w:highlight w:val="none"/>
        </w:rPr>
      </w:pPr>
    </w:p>
    <w:p>
      <w:pPr>
        <w:rPr>
          <w:rFonts w:ascii="宋体" w:hAnsi="宋体"/>
          <w:color w:val="auto"/>
          <w:sz w:val="24"/>
          <w:highlight w:val="none"/>
        </w:rPr>
      </w:pPr>
      <w:r>
        <w:rPr>
          <w:rFonts w:hint="eastAsia"/>
          <w:b/>
          <w:color w:val="auto"/>
          <w:sz w:val="28"/>
          <w:szCs w:val="28"/>
          <w:highlight w:val="none"/>
        </w:rPr>
        <w:t>（五）</w:t>
      </w:r>
      <w:r>
        <w:rPr>
          <w:rFonts w:hint="eastAsia" w:ascii="宋体" w:hAnsi="宋体"/>
          <w:color w:val="auto"/>
          <w:sz w:val="24"/>
          <w:highlight w:val="none"/>
        </w:rPr>
        <w:t>联合体成员的授权函（如有）</w:t>
      </w:r>
    </w:p>
    <w:p>
      <w:pPr>
        <w:spacing w:beforeLines="100" w:line="360" w:lineRule="auto"/>
        <w:ind w:firstLine="480" w:firstLineChars="200"/>
        <w:rPr>
          <w:color w:val="auto"/>
          <w:highlight w:val="none"/>
        </w:rPr>
      </w:pPr>
      <w:r>
        <w:rPr>
          <w:rFonts w:hint="eastAsia" w:ascii="宋体" w:hAnsi="宋体"/>
          <w:color w:val="auto"/>
          <w:sz w:val="24"/>
          <w:szCs w:val="24"/>
          <w:highlight w:val="none"/>
        </w:rPr>
        <w:t>详见招标公告附件三。</w:t>
      </w: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r>
        <w:rPr>
          <w:rFonts w:hint="eastAsia"/>
          <w:b/>
          <w:color w:val="auto"/>
          <w:sz w:val="28"/>
          <w:szCs w:val="28"/>
          <w:highlight w:val="none"/>
        </w:rPr>
        <w:t>（六）投标人认为需提供的其他材料。</w:t>
      </w:r>
      <w:bookmarkEnd w:id="520"/>
      <w:bookmarkEnd w:id="521"/>
    </w:p>
    <w:p>
      <w:pPr>
        <w:rPr>
          <w:b/>
          <w:bCs/>
          <w:color w:val="auto"/>
          <w:sz w:val="28"/>
          <w:szCs w:val="28"/>
          <w:highlight w:val="none"/>
        </w:rPr>
      </w:pPr>
    </w:p>
    <w:p>
      <w:pPr>
        <w:rPr>
          <w:color w:val="auto"/>
          <w:highlight w:val="none"/>
        </w:rPr>
      </w:pPr>
    </w:p>
    <w:p>
      <w:pPr>
        <w:rPr>
          <w:color w:val="auto"/>
          <w:highlight w:val="none"/>
        </w:rPr>
      </w:pPr>
    </w:p>
    <w:p>
      <w:pPr>
        <w:spacing w:before="20" w:line="415" w:lineRule="auto"/>
        <w:ind w:firstLine="137"/>
        <w:outlineLvl w:val="2"/>
        <w:rPr>
          <w:b/>
          <w:bCs/>
          <w:color w:val="auto"/>
          <w:sz w:val="28"/>
          <w:szCs w:val="28"/>
          <w:highlight w:val="none"/>
        </w:rPr>
      </w:pPr>
      <w:r>
        <w:rPr>
          <w:b/>
          <w:bCs/>
          <w:color w:val="auto"/>
          <w:sz w:val="32"/>
          <w:szCs w:val="32"/>
          <w:highlight w:val="none"/>
        </w:rPr>
        <w:br w:type="page"/>
      </w:r>
      <w:bookmarkStart w:id="522" w:name="_Toc97798628"/>
      <w:r>
        <w:rPr>
          <w:rFonts w:hint="eastAsia"/>
          <w:b/>
          <w:bCs/>
          <w:color w:val="auto"/>
          <w:sz w:val="30"/>
          <w:szCs w:val="30"/>
          <w:highlight w:val="none"/>
        </w:rPr>
        <w:t>六、企业资信业绩证明资料</w:t>
      </w:r>
      <w:bookmarkEnd w:id="522"/>
    </w:p>
    <w:p>
      <w:pPr>
        <w:spacing w:before="20" w:line="415" w:lineRule="auto"/>
        <w:ind w:firstLine="137"/>
        <w:outlineLvl w:val="2"/>
        <w:rPr>
          <w:b/>
          <w:bCs/>
          <w:color w:val="auto"/>
          <w:spacing w:val="4"/>
          <w:sz w:val="28"/>
          <w:szCs w:val="24"/>
          <w:highlight w:val="none"/>
        </w:rPr>
      </w:pPr>
      <w:bookmarkStart w:id="523" w:name="_Toc97798629"/>
      <w:r>
        <w:rPr>
          <w:rFonts w:hint="eastAsia"/>
          <w:b/>
          <w:bCs/>
          <w:color w:val="auto"/>
          <w:spacing w:val="4"/>
          <w:sz w:val="28"/>
          <w:szCs w:val="24"/>
          <w:highlight w:val="none"/>
        </w:rPr>
        <w:t>（一）企业资信证明资料</w:t>
      </w:r>
      <w:bookmarkEnd w:id="523"/>
    </w:p>
    <w:tbl>
      <w:tblPr>
        <w:tblStyle w:val="4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pPr>
              <w:pStyle w:val="188"/>
              <w:rPr>
                <w:color w:val="auto"/>
                <w:spacing w:val="4"/>
                <w:sz w:val="24"/>
                <w:szCs w:val="22"/>
                <w:highlight w:val="none"/>
              </w:rPr>
            </w:pPr>
            <w:r>
              <w:rPr>
                <w:rFonts w:hint="eastAsia"/>
                <w:color w:val="auto"/>
                <w:spacing w:val="4"/>
                <w:sz w:val="24"/>
                <w:szCs w:val="22"/>
                <w:highlight w:val="none"/>
              </w:rPr>
              <w:t>包括：</w:t>
            </w:r>
          </w:p>
          <w:p>
            <w:pPr>
              <w:pStyle w:val="188"/>
              <w:rPr>
                <w:color w:val="auto"/>
                <w:spacing w:val="4"/>
                <w:sz w:val="24"/>
                <w:szCs w:val="22"/>
                <w:highlight w:val="none"/>
              </w:rPr>
            </w:pPr>
          </w:p>
          <w:p>
            <w:pPr>
              <w:pStyle w:val="188"/>
              <w:spacing w:line="360" w:lineRule="auto"/>
              <w:ind w:firstLine="496" w:firstLineChars="200"/>
              <w:rPr>
                <w:color w:val="auto"/>
                <w:spacing w:val="4"/>
                <w:sz w:val="24"/>
                <w:szCs w:val="22"/>
                <w:highlight w:val="none"/>
              </w:rPr>
            </w:pPr>
            <w:r>
              <w:rPr>
                <w:rFonts w:hint="eastAsia"/>
                <w:color w:val="auto"/>
                <w:spacing w:val="4"/>
                <w:sz w:val="24"/>
                <w:szCs w:val="22"/>
                <w:highlight w:val="none"/>
              </w:rPr>
              <w:t>1、“守合同重信用企业”或“重合同守信用企业”证书；</w:t>
            </w:r>
          </w:p>
          <w:p>
            <w:pPr>
              <w:pStyle w:val="188"/>
              <w:spacing w:line="360" w:lineRule="auto"/>
              <w:ind w:firstLine="496" w:firstLineChars="200"/>
              <w:rPr>
                <w:color w:val="auto"/>
                <w:spacing w:val="4"/>
                <w:sz w:val="24"/>
                <w:szCs w:val="22"/>
                <w:highlight w:val="none"/>
              </w:rPr>
            </w:pPr>
            <w:r>
              <w:rPr>
                <w:rFonts w:hint="eastAsia"/>
                <w:color w:val="auto"/>
                <w:spacing w:val="4"/>
                <w:sz w:val="24"/>
                <w:szCs w:val="22"/>
                <w:highlight w:val="none"/>
              </w:rPr>
              <w:t>2、</w:t>
            </w:r>
            <w:r>
              <w:rPr>
                <w:rFonts w:hint="eastAsia"/>
                <w:color w:val="auto"/>
                <w:spacing w:val="4"/>
                <w:sz w:val="24"/>
                <w:szCs w:val="22"/>
                <w:highlight w:val="none"/>
                <w:lang w:val="zh-CN"/>
              </w:rPr>
              <w:t>中国合格评定国家认可委员会实验室认可证书(CNAS)和中国合格评定国家认可委员会检验机构认可证书(CNAS)</w:t>
            </w:r>
            <w:r>
              <w:rPr>
                <w:rFonts w:hint="eastAsia"/>
                <w:color w:val="auto"/>
                <w:spacing w:val="4"/>
                <w:sz w:val="24"/>
                <w:szCs w:val="22"/>
                <w:highlight w:val="none"/>
              </w:rPr>
              <w:t>；</w:t>
            </w:r>
          </w:p>
          <w:p>
            <w:pPr>
              <w:pStyle w:val="188"/>
              <w:spacing w:line="360" w:lineRule="auto"/>
              <w:ind w:firstLine="496" w:firstLineChars="200"/>
              <w:rPr>
                <w:color w:val="auto"/>
                <w:spacing w:val="4"/>
                <w:sz w:val="24"/>
                <w:szCs w:val="22"/>
                <w:highlight w:val="none"/>
              </w:rPr>
            </w:pPr>
            <w:r>
              <w:rPr>
                <w:rFonts w:hint="eastAsia"/>
                <w:color w:val="auto"/>
                <w:spacing w:val="4"/>
                <w:sz w:val="24"/>
                <w:szCs w:val="22"/>
                <w:highlight w:val="none"/>
              </w:rPr>
              <w:t>3、</w:t>
            </w:r>
            <w:r>
              <w:rPr>
                <w:rFonts w:hint="eastAsia"/>
                <w:color w:val="auto"/>
                <w:spacing w:val="4"/>
                <w:sz w:val="24"/>
                <w:szCs w:val="22"/>
                <w:highlight w:val="none"/>
                <w:lang w:val="zh-CN"/>
              </w:rPr>
              <w:t>（检测单位）诚信评价（或（检测）企业信用等级评价）证书</w:t>
            </w:r>
            <w:r>
              <w:rPr>
                <w:rFonts w:hint="eastAsia"/>
                <w:color w:val="auto"/>
                <w:spacing w:val="4"/>
                <w:sz w:val="24"/>
                <w:szCs w:val="22"/>
                <w:highlight w:val="none"/>
                <w:lang w:bidi="zh-CN"/>
              </w:rPr>
              <w:t>；</w:t>
            </w:r>
          </w:p>
          <w:p>
            <w:pPr>
              <w:pStyle w:val="188"/>
              <w:spacing w:line="360" w:lineRule="auto"/>
              <w:ind w:firstLine="496" w:firstLineChars="200"/>
              <w:rPr>
                <w:color w:val="auto"/>
                <w:spacing w:val="4"/>
                <w:sz w:val="24"/>
                <w:szCs w:val="22"/>
                <w:highlight w:val="none"/>
                <w:lang w:bidi="zh-CN"/>
              </w:rPr>
            </w:pPr>
            <w:r>
              <w:rPr>
                <w:rFonts w:hint="eastAsia"/>
                <w:color w:val="auto"/>
                <w:spacing w:val="4"/>
                <w:sz w:val="24"/>
                <w:szCs w:val="22"/>
                <w:highlight w:val="none"/>
              </w:rPr>
              <w:t>4、“A级纳税人”证书</w:t>
            </w:r>
            <w:r>
              <w:rPr>
                <w:rFonts w:hint="eastAsia"/>
                <w:color w:val="auto"/>
                <w:spacing w:val="4"/>
                <w:sz w:val="24"/>
                <w:szCs w:val="22"/>
                <w:highlight w:val="none"/>
                <w:lang w:bidi="zh-CN"/>
              </w:rPr>
              <w:t>；</w:t>
            </w:r>
          </w:p>
          <w:p>
            <w:pPr>
              <w:pStyle w:val="188"/>
              <w:spacing w:line="360" w:lineRule="auto"/>
              <w:ind w:firstLine="496" w:firstLineChars="200"/>
              <w:rPr>
                <w:color w:val="auto"/>
                <w:spacing w:val="4"/>
                <w:sz w:val="24"/>
                <w:szCs w:val="22"/>
                <w:highlight w:val="none"/>
                <w:lang w:bidi="zh-CN"/>
              </w:rPr>
            </w:pPr>
            <w:r>
              <w:rPr>
                <w:rFonts w:hint="eastAsia"/>
                <w:color w:val="auto"/>
                <w:spacing w:val="4"/>
                <w:sz w:val="24"/>
                <w:szCs w:val="22"/>
                <w:highlight w:val="none"/>
                <w:lang w:bidi="zh-CN"/>
              </w:rPr>
              <w:t>5、高新技术企业资质；</w:t>
            </w:r>
          </w:p>
          <w:p>
            <w:pPr>
              <w:pStyle w:val="188"/>
              <w:spacing w:line="360" w:lineRule="auto"/>
              <w:ind w:firstLine="496" w:firstLineChars="200"/>
              <w:rPr>
                <w:color w:val="auto"/>
                <w:spacing w:val="4"/>
                <w:sz w:val="24"/>
                <w:szCs w:val="22"/>
                <w:highlight w:val="none"/>
              </w:rPr>
            </w:pPr>
            <w:r>
              <w:rPr>
                <w:rFonts w:hint="eastAsia"/>
                <w:color w:val="auto"/>
                <w:spacing w:val="4"/>
                <w:sz w:val="24"/>
                <w:szCs w:val="22"/>
                <w:highlight w:val="none"/>
              </w:rPr>
              <w:t>6、其他资料。</w:t>
            </w:r>
          </w:p>
          <w:p>
            <w:pPr>
              <w:pStyle w:val="140"/>
              <w:ind w:firstLine="496"/>
              <w:rPr>
                <w:color w:val="auto"/>
                <w:kern w:val="2"/>
                <w:szCs w:val="22"/>
                <w:highlight w:val="none"/>
              </w:rPr>
            </w:pPr>
          </w:p>
          <w:p>
            <w:pPr>
              <w:pStyle w:val="140"/>
              <w:ind w:firstLine="496"/>
              <w:rPr>
                <w:color w:val="auto"/>
                <w:kern w:val="2"/>
                <w:szCs w:val="22"/>
                <w:highlight w:val="none"/>
              </w:rPr>
            </w:pPr>
          </w:p>
          <w:p>
            <w:pPr>
              <w:pStyle w:val="140"/>
              <w:ind w:firstLine="496"/>
              <w:rPr>
                <w:color w:val="auto"/>
                <w:kern w:val="2"/>
                <w:szCs w:val="22"/>
                <w:highlight w:val="none"/>
              </w:rPr>
            </w:pPr>
          </w:p>
          <w:p>
            <w:pPr>
              <w:pStyle w:val="140"/>
              <w:ind w:firstLine="496"/>
              <w:rPr>
                <w:color w:val="auto"/>
                <w:kern w:val="2"/>
                <w:szCs w:val="22"/>
                <w:highlight w:val="none"/>
              </w:rPr>
            </w:pPr>
          </w:p>
          <w:p>
            <w:pPr>
              <w:pStyle w:val="140"/>
              <w:ind w:firstLine="496"/>
              <w:rPr>
                <w:color w:val="auto"/>
                <w:kern w:val="2"/>
                <w:szCs w:val="22"/>
                <w:highlight w:val="none"/>
              </w:rPr>
            </w:pPr>
          </w:p>
          <w:p>
            <w:pPr>
              <w:pStyle w:val="140"/>
              <w:ind w:firstLine="496"/>
              <w:rPr>
                <w:color w:val="auto"/>
                <w:kern w:val="2"/>
                <w:szCs w:val="22"/>
                <w:highlight w:val="none"/>
              </w:rPr>
            </w:pPr>
          </w:p>
          <w:p>
            <w:pPr>
              <w:pStyle w:val="140"/>
              <w:ind w:firstLine="496"/>
              <w:rPr>
                <w:color w:val="auto"/>
                <w:kern w:val="2"/>
                <w:szCs w:val="22"/>
                <w:highlight w:val="none"/>
              </w:rPr>
            </w:pPr>
          </w:p>
          <w:p>
            <w:pPr>
              <w:pStyle w:val="140"/>
              <w:ind w:firstLine="496"/>
              <w:rPr>
                <w:color w:val="auto"/>
                <w:kern w:val="2"/>
                <w:szCs w:val="22"/>
                <w:highlight w:val="none"/>
              </w:rPr>
            </w:pPr>
          </w:p>
          <w:p>
            <w:pPr>
              <w:pStyle w:val="140"/>
              <w:ind w:firstLine="496"/>
              <w:rPr>
                <w:color w:val="auto"/>
                <w:kern w:val="2"/>
                <w:szCs w:val="22"/>
                <w:highlight w:val="none"/>
              </w:rPr>
            </w:pPr>
          </w:p>
          <w:p>
            <w:pPr>
              <w:pStyle w:val="140"/>
              <w:ind w:firstLine="496"/>
              <w:rPr>
                <w:color w:val="auto"/>
                <w:kern w:val="2"/>
                <w:szCs w:val="22"/>
                <w:highlight w:val="none"/>
              </w:rPr>
            </w:pPr>
          </w:p>
        </w:tc>
      </w:tr>
    </w:tbl>
    <w:p>
      <w:pPr>
        <w:spacing w:before="20" w:line="415" w:lineRule="auto"/>
        <w:ind w:firstLine="137"/>
        <w:outlineLvl w:val="2"/>
        <w:rPr>
          <w:b/>
          <w:bCs/>
          <w:color w:val="auto"/>
          <w:sz w:val="28"/>
          <w:szCs w:val="28"/>
          <w:highlight w:val="none"/>
        </w:rPr>
      </w:pPr>
    </w:p>
    <w:p>
      <w:pPr>
        <w:spacing w:before="20" w:line="415" w:lineRule="auto"/>
        <w:ind w:firstLine="137"/>
        <w:outlineLvl w:val="2"/>
        <w:rPr>
          <w:b/>
          <w:bCs/>
          <w:color w:val="auto"/>
          <w:sz w:val="28"/>
          <w:szCs w:val="28"/>
          <w:highlight w:val="none"/>
        </w:rPr>
      </w:pPr>
      <w:r>
        <w:rPr>
          <w:b/>
          <w:bCs/>
          <w:color w:val="auto"/>
          <w:sz w:val="28"/>
          <w:szCs w:val="28"/>
          <w:highlight w:val="none"/>
        </w:rPr>
        <w:br w:type="page"/>
      </w:r>
      <w:bookmarkStart w:id="524" w:name="_Toc97798630"/>
      <w:r>
        <w:rPr>
          <w:b/>
          <w:bCs/>
          <w:color w:val="auto"/>
          <w:sz w:val="28"/>
          <w:szCs w:val="28"/>
          <w:highlight w:val="none"/>
        </w:rPr>
        <w:t>（</w:t>
      </w:r>
      <w:r>
        <w:rPr>
          <w:rFonts w:hint="eastAsia"/>
          <w:b/>
          <w:bCs/>
          <w:color w:val="auto"/>
          <w:sz w:val="28"/>
          <w:szCs w:val="28"/>
          <w:highlight w:val="none"/>
        </w:rPr>
        <w:t>二</w:t>
      </w:r>
      <w:r>
        <w:rPr>
          <w:b/>
          <w:bCs/>
          <w:color w:val="auto"/>
          <w:sz w:val="28"/>
          <w:szCs w:val="28"/>
          <w:highlight w:val="none"/>
        </w:rPr>
        <w:t>）近年完成的类似项目情况表（格式可自定）</w:t>
      </w:r>
      <w:bookmarkEnd w:id="524"/>
    </w:p>
    <w:tbl>
      <w:tblPr>
        <w:tblStyle w:val="42"/>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项目名称</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项目所在地</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委托人名称</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委托人地址</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委托人电话</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合同价格</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服务期限</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rFonts w:hint="eastAsia"/>
                <w:color w:val="auto"/>
                <w:highlight w:val="none"/>
              </w:rPr>
              <w:t>检测</w:t>
            </w:r>
            <w:r>
              <w:rPr>
                <w:color w:val="auto"/>
                <w:highlight w:val="none"/>
              </w:rPr>
              <w:t>内容</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rFonts w:hint="eastAsia"/>
                <w:color w:val="auto"/>
                <w:highlight w:val="none"/>
              </w:rPr>
              <w:t>项目负责人</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项目描述</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p>
            <w:pPr>
              <w:topLinePunct/>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备注</w:t>
            </w:r>
          </w:p>
        </w:tc>
        <w:tc>
          <w:tcPr>
            <w:tcW w:w="6642"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highlight w:val="none"/>
              </w:rPr>
            </w:pPr>
          </w:p>
        </w:tc>
      </w:tr>
    </w:tbl>
    <w:p>
      <w:pPr>
        <w:spacing w:line="440" w:lineRule="exact"/>
        <w:rPr>
          <w:color w:val="auto"/>
          <w:highlight w:val="none"/>
        </w:rPr>
      </w:pPr>
      <w:r>
        <w:rPr>
          <w:color w:val="auto"/>
          <w:sz w:val="24"/>
          <w:highlight w:val="none"/>
        </w:rPr>
        <w:t>注：</w:t>
      </w:r>
      <w:r>
        <w:rPr>
          <w:rFonts w:hint="eastAsia"/>
          <w:color w:val="auto"/>
          <w:sz w:val="24"/>
          <w:highlight w:val="none"/>
        </w:rPr>
        <w:t>投标人可根据评标办法前附表的要求在本表后附相关证明材料。</w:t>
      </w:r>
    </w:p>
    <w:p>
      <w:pPr>
        <w:spacing w:line="440" w:lineRule="exact"/>
        <w:rPr>
          <w:color w:val="auto"/>
          <w:highlight w:val="none"/>
        </w:rPr>
      </w:pPr>
    </w:p>
    <w:p>
      <w:pPr>
        <w:spacing w:before="20" w:line="415" w:lineRule="auto"/>
        <w:ind w:firstLine="137"/>
        <w:outlineLvl w:val="2"/>
        <w:rPr>
          <w:b/>
          <w:bCs/>
          <w:color w:val="auto"/>
          <w:sz w:val="28"/>
          <w:szCs w:val="28"/>
          <w:highlight w:val="none"/>
        </w:rPr>
      </w:pPr>
      <w:r>
        <w:rPr>
          <w:b/>
          <w:bCs/>
          <w:color w:val="auto"/>
          <w:sz w:val="32"/>
          <w:szCs w:val="32"/>
          <w:highlight w:val="none"/>
        </w:rPr>
        <w:br w:type="page"/>
      </w:r>
      <w:bookmarkStart w:id="525" w:name="_Toc97798631"/>
      <w:r>
        <w:rPr>
          <w:b/>
          <w:bCs/>
          <w:color w:val="auto"/>
          <w:sz w:val="28"/>
          <w:szCs w:val="28"/>
          <w:highlight w:val="none"/>
        </w:rPr>
        <w:t>（</w:t>
      </w:r>
      <w:r>
        <w:rPr>
          <w:rFonts w:hint="eastAsia"/>
          <w:b/>
          <w:bCs/>
          <w:color w:val="auto"/>
          <w:sz w:val="28"/>
          <w:szCs w:val="28"/>
          <w:highlight w:val="none"/>
        </w:rPr>
        <w:t>三</w:t>
      </w:r>
      <w:r>
        <w:rPr>
          <w:b/>
          <w:bCs/>
          <w:color w:val="auto"/>
          <w:sz w:val="28"/>
          <w:szCs w:val="28"/>
          <w:highlight w:val="none"/>
        </w:rPr>
        <w:t>）</w:t>
      </w:r>
      <w:r>
        <w:rPr>
          <w:rFonts w:hint="eastAsia"/>
          <w:b/>
          <w:bCs/>
          <w:color w:val="auto"/>
          <w:sz w:val="28"/>
          <w:szCs w:val="28"/>
          <w:highlight w:val="none"/>
        </w:rPr>
        <w:t>拟投入本项目的检测人员一览表</w:t>
      </w:r>
      <w:r>
        <w:rPr>
          <w:b/>
          <w:bCs/>
          <w:color w:val="auto"/>
          <w:sz w:val="28"/>
          <w:szCs w:val="28"/>
          <w:highlight w:val="none"/>
        </w:rPr>
        <w:t>（格式可自定）</w:t>
      </w:r>
      <w:bookmarkEnd w:id="525"/>
    </w:p>
    <w:tbl>
      <w:tblPr>
        <w:tblStyle w:val="42"/>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06"/>
        <w:gridCol w:w="764"/>
        <w:gridCol w:w="672"/>
        <w:gridCol w:w="773"/>
        <w:gridCol w:w="733"/>
        <w:gridCol w:w="681"/>
        <w:gridCol w:w="787"/>
        <w:gridCol w:w="1052"/>
        <w:gridCol w:w="1052"/>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74" w:type="dxa"/>
            <w:vAlign w:val="center"/>
          </w:tcPr>
          <w:p>
            <w:pPr>
              <w:jc w:val="center"/>
              <w:rPr>
                <w:color w:val="auto"/>
                <w:highlight w:val="none"/>
              </w:rPr>
            </w:pPr>
            <w:r>
              <w:rPr>
                <w:color w:val="auto"/>
                <w:highlight w:val="none"/>
              </w:rPr>
              <w:t>序号</w:t>
            </w:r>
          </w:p>
        </w:tc>
        <w:tc>
          <w:tcPr>
            <w:tcW w:w="1206" w:type="dxa"/>
            <w:vAlign w:val="center"/>
          </w:tcPr>
          <w:p>
            <w:pPr>
              <w:jc w:val="center"/>
              <w:rPr>
                <w:color w:val="auto"/>
                <w:highlight w:val="none"/>
              </w:rPr>
            </w:pPr>
            <w:r>
              <w:rPr>
                <w:color w:val="auto"/>
                <w:highlight w:val="none"/>
              </w:rPr>
              <w:t>本项目任职</w:t>
            </w:r>
          </w:p>
        </w:tc>
        <w:tc>
          <w:tcPr>
            <w:tcW w:w="764" w:type="dxa"/>
            <w:vAlign w:val="center"/>
          </w:tcPr>
          <w:p>
            <w:pPr>
              <w:jc w:val="center"/>
              <w:rPr>
                <w:color w:val="auto"/>
                <w:highlight w:val="none"/>
              </w:rPr>
            </w:pPr>
            <w:r>
              <w:rPr>
                <w:color w:val="auto"/>
                <w:highlight w:val="none"/>
              </w:rPr>
              <w:t>姓名</w:t>
            </w:r>
          </w:p>
        </w:tc>
        <w:tc>
          <w:tcPr>
            <w:tcW w:w="672" w:type="dxa"/>
            <w:vAlign w:val="center"/>
          </w:tcPr>
          <w:p>
            <w:pPr>
              <w:jc w:val="center"/>
              <w:rPr>
                <w:color w:val="auto"/>
                <w:highlight w:val="none"/>
              </w:rPr>
            </w:pPr>
            <w:r>
              <w:rPr>
                <w:rFonts w:hint="eastAsia"/>
                <w:color w:val="auto"/>
                <w:highlight w:val="none"/>
              </w:rPr>
              <w:t>年龄</w:t>
            </w:r>
          </w:p>
        </w:tc>
        <w:tc>
          <w:tcPr>
            <w:tcW w:w="773" w:type="dxa"/>
            <w:vAlign w:val="center"/>
          </w:tcPr>
          <w:p>
            <w:pPr>
              <w:jc w:val="center"/>
              <w:rPr>
                <w:color w:val="auto"/>
                <w:highlight w:val="none"/>
              </w:rPr>
            </w:pPr>
            <w:r>
              <w:rPr>
                <w:rFonts w:hint="eastAsia"/>
                <w:color w:val="auto"/>
                <w:highlight w:val="none"/>
              </w:rPr>
              <w:t>学历</w:t>
            </w:r>
          </w:p>
        </w:tc>
        <w:tc>
          <w:tcPr>
            <w:tcW w:w="733" w:type="dxa"/>
            <w:vAlign w:val="center"/>
          </w:tcPr>
          <w:p>
            <w:pPr>
              <w:jc w:val="center"/>
              <w:rPr>
                <w:color w:val="auto"/>
                <w:highlight w:val="none"/>
              </w:rPr>
            </w:pPr>
            <w:r>
              <w:rPr>
                <w:rFonts w:hint="eastAsia"/>
                <w:color w:val="auto"/>
                <w:highlight w:val="none"/>
              </w:rPr>
              <w:t>专业</w:t>
            </w:r>
          </w:p>
        </w:tc>
        <w:tc>
          <w:tcPr>
            <w:tcW w:w="681" w:type="dxa"/>
            <w:vAlign w:val="center"/>
          </w:tcPr>
          <w:p>
            <w:pPr>
              <w:jc w:val="center"/>
              <w:rPr>
                <w:color w:val="auto"/>
                <w:highlight w:val="none"/>
              </w:rPr>
            </w:pPr>
            <w:r>
              <w:rPr>
                <w:rFonts w:hint="eastAsia"/>
                <w:color w:val="auto"/>
                <w:highlight w:val="none"/>
              </w:rPr>
              <w:t>职称</w:t>
            </w:r>
          </w:p>
        </w:tc>
        <w:tc>
          <w:tcPr>
            <w:tcW w:w="787" w:type="dxa"/>
            <w:vAlign w:val="center"/>
          </w:tcPr>
          <w:p>
            <w:pPr>
              <w:jc w:val="center"/>
              <w:rPr>
                <w:color w:val="auto"/>
                <w:szCs w:val="21"/>
                <w:highlight w:val="none"/>
              </w:rPr>
            </w:pPr>
            <w:r>
              <w:rPr>
                <w:rFonts w:hint="eastAsia" w:ascii="宋体" w:hAnsi="宋体"/>
                <w:color w:val="auto"/>
                <w:szCs w:val="21"/>
                <w:highlight w:val="none"/>
              </w:rPr>
              <w:t>检测上岗证</w:t>
            </w:r>
          </w:p>
        </w:tc>
        <w:tc>
          <w:tcPr>
            <w:tcW w:w="1052" w:type="dxa"/>
            <w:vAlign w:val="center"/>
          </w:tcPr>
          <w:p>
            <w:pPr>
              <w:jc w:val="center"/>
              <w:rPr>
                <w:rFonts w:ascii="宋体" w:hAnsi="宋体"/>
                <w:color w:val="auto"/>
                <w:szCs w:val="21"/>
                <w:highlight w:val="none"/>
              </w:rPr>
            </w:pPr>
            <w:r>
              <w:rPr>
                <w:rFonts w:hint="eastAsia" w:ascii="宋体" w:hAnsi="宋体"/>
                <w:color w:val="auto"/>
                <w:szCs w:val="21"/>
                <w:highlight w:val="none"/>
              </w:rPr>
              <w:t>参加</w:t>
            </w:r>
          </w:p>
          <w:p>
            <w:pPr>
              <w:jc w:val="center"/>
              <w:rPr>
                <w:rFonts w:ascii="宋体" w:hAnsi="宋体"/>
                <w:color w:val="auto"/>
                <w:szCs w:val="21"/>
                <w:highlight w:val="none"/>
              </w:rPr>
            </w:pPr>
            <w:r>
              <w:rPr>
                <w:rFonts w:hint="eastAsia" w:ascii="宋体" w:hAnsi="宋体"/>
                <w:color w:val="auto"/>
                <w:szCs w:val="21"/>
                <w:highlight w:val="none"/>
              </w:rPr>
              <w:t>工作时间</w:t>
            </w:r>
          </w:p>
        </w:tc>
        <w:tc>
          <w:tcPr>
            <w:tcW w:w="1052" w:type="dxa"/>
            <w:vAlign w:val="center"/>
          </w:tcPr>
          <w:p>
            <w:pPr>
              <w:jc w:val="center"/>
              <w:rPr>
                <w:rFonts w:ascii="宋体" w:hAnsi="宋体"/>
                <w:color w:val="auto"/>
                <w:szCs w:val="21"/>
                <w:highlight w:val="none"/>
              </w:rPr>
            </w:pPr>
            <w:r>
              <w:rPr>
                <w:rFonts w:hint="eastAsia" w:ascii="宋体" w:hAnsi="宋体"/>
                <w:color w:val="auto"/>
                <w:szCs w:val="21"/>
                <w:highlight w:val="none"/>
              </w:rPr>
              <w:t>从事检测工作年限</w:t>
            </w:r>
          </w:p>
        </w:tc>
        <w:tc>
          <w:tcPr>
            <w:tcW w:w="657" w:type="dxa"/>
            <w:vAlign w:val="center"/>
          </w:tcPr>
          <w:p>
            <w:pPr>
              <w:jc w:val="center"/>
              <w:rPr>
                <w:color w:val="auto"/>
                <w:highlight w:val="none"/>
              </w:rPr>
            </w:pPr>
            <w:r>
              <w:rPr>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vAlign w:val="center"/>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vAlign w:val="center"/>
          </w:tcPr>
          <w:p>
            <w:pPr>
              <w:spacing w:line="440" w:lineRule="exact"/>
              <w:jc w:val="center"/>
              <w:rPr>
                <w:color w:val="auto"/>
                <w:highlight w:val="none"/>
              </w:rPr>
            </w:pPr>
          </w:p>
        </w:tc>
        <w:tc>
          <w:tcPr>
            <w:tcW w:w="681" w:type="dxa"/>
            <w:vAlign w:val="center"/>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line="440" w:lineRule="exact"/>
              <w:jc w:val="center"/>
              <w:rPr>
                <w:color w:val="auto"/>
                <w:highlight w:val="none"/>
              </w:rPr>
            </w:pPr>
          </w:p>
        </w:tc>
        <w:tc>
          <w:tcPr>
            <w:tcW w:w="1206" w:type="dxa"/>
          </w:tcPr>
          <w:p>
            <w:pPr>
              <w:spacing w:line="440" w:lineRule="exact"/>
              <w:jc w:val="center"/>
              <w:rPr>
                <w:color w:val="auto"/>
                <w:highlight w:val="none"/>
              </w:rPr>
            </w:pPr>
          </w:p>
        </w:tc>
        <w:tc>
          <w:tcPr>
            <w:tcW w:w="764" w:type="dxa"/>
          </w:tcPr>
          <w:p>
            <w:pPr>
              <w:spacing w:line="440" w:lineRule="exact"/>
              <w:jc w:val="center"/>
              <w:rPr>
                <w:color w:val="auto"/>
                <w:highlight w:val="none"/>
              </w:rPr>
            </w:pPr>
          </w:p>
        </w:tc>
        <w:tc>
          <w:tcPr>
            <w:tcW w:w="672" w:type="dxa"/>
          </w:tcPr>
          <w:p>
            <w:pPr>
              <w:spacing w:line="440" w:lineRule="exact"/>
              <w:jc w:val="center"/>
              <w:rPr>
                <w:color w:val="auto"/>
                <w:highlight w:val="none"/>
              </w:rPr>
            </w:pPr>
          </w:p>
        </w:tc>
        <w:tc>
          <w:tcPr>
            <w:tcW w:w="773" w:type="dxa"/>
          </w:tcPr>
          <w:p>
            <w:pPr>
              <w:spacing w:line="440" w:lineRule="exact"/>
              <w:jc w:val="center"/>
              <w:rPr>
                <w:color w:val="auto"/>
                <w:highlight w:val="none"/>
              </w:rPr>
            </w:pPr>
          </w:p>
        </w:tc>
        <w:tc>
          <w:tcPr>
            <w:tcW w:w="733" w:type="dxa"/>
          </w:tcPr>
          <w:p>
            <w:pPr>
              <w:spacing w:line="440" w:lineRule="exact"/>
              <w:jc w:val="center"/>
              <w:rPr>
                <w:color w:val="auto"/>
                <w:highlight w:val="none"/>
              </w:rPr>
            </w:pPr>
          </w:p>
        </w:tc>
        <w:tc>
          <w:tcPr>
            <w:tcW w:w="681" w:type="dxa"/>
          </w:tcPr>
          <w:p>
            <w:pPr>
              <w:spacing w:line="440" w:lineRule="exact"/>
              <w:jc w:val="center"/>
              <w:rPr>
                <w:color w:val="auto"/>
                <w:highlight w:val="none"/>
              </w:rPr>
            </w:pPr>
          </w:p>
        </w:tc>
        <w:tc>
          <w:tcPr>
            <w:tcW w:w="787"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1052" w:type="dxa"/>
          </w:tcPr>
          <w:p>
            <w:pPr>
              <w:spacing w:line="440" w:lineRule="exact"/>
              <w:jc w:val="center"/>
              <w:rPr>
                <w:color w:val="auto"/>
                <w:highlight w:val="none"/>
              </w:rPr>
            </w:pPr>
          </w:p>
        </w:tc>
        <w:tc>
          <w:tcPr>
            <w:tcW w:w="657" w:type="dxa"/>
          </w:tcPr>
          <w:p>
            <w:pPr>
              <w:spacing w:line="440" w:lineRule="exact"/>
              <w:jc w:val="center"/>
              <w:rPr>
                <w:color w:val="auto"/>
                <w:highlight w:val="none"/>
              </w:rPr>
            </w:pPr>
          </w:p>
        </w:tc>
      </w:tr>
    </w:tbl>
    <w:p>
      <w:pPr>
        <w:spacing w:line="440" w:lineRule="exact"/>
        <w:rPr>
          <w:color w:val="auto"/>
          <w:highlight w:val="none"/>
        </w:rPr>
      </w:pPr>
      <w:r>
        <w:rPr>
          <w:rFonts w:hint="eastAsia"/>
          <w:color w:val="auto"/>
          <w:highlight w:val="none"/>
        </w:rPr>
        <w:t>注：</w:t>
      </w:r>
      <w:r>
        <w:rPr>
          <w:rFonts w:hint="eastAsia" w:cs="Arial"/>
          <w:color w:val="auto"/>
          <w:sz w:val="20"/>
          <w:szCs w:val="20"/>
          <w:highlight w:val="none"/>
        </w:rPr>
        <w:t>拟投入本项目的主要技术人员须为投标单位在职职工（以社保证明为准），需提交相关证书扫描件，以及2022年3月有效的所在投标单位社保证明材料，否则不得分。本项目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spacing w:line="440" w:lineRule="exact"/>
        <w:rPr>
          <w:color w:val="auto"/>
          <w:highlight w:val="none"/>
        </w:rPr>
      </w:pPr>
    </w:p>
    <w:p>
      <w:pPr>
        <w:spacing w:line="440" w:lineRule="exact"/>
        <w:rPr>
          <w:b/>
          <w:bCs/>
          <w:color w:val="auto"/>
          <w:sz w:val="28"/>
          <w:szCs w:val="28"/>
          <w:highlight w:val="none"/>
        </w:rPr>
      </w:pPr>
      <w:r>
        <w:rPr>
          <w:color w:val="auto"/>
          <w:highlight w:val="none"/>
        </w:rPr>
        <w:br w:type="page"/>
      </w:r>
      <w:r>
        <w:rPr>
          <w:b/>
          <w:bCs/>
          <w:color w:val="auto"/>
          <w:sz w:val="28"/>
          <w:szCs w:val="28"/>
          <w:highlight w:val="none"/>
        </w:rPr>
        <w:t>（</w:t>
      </w:r>
      <w:r>
        <w:rPr>
          <w:rFonts w:hint="eastAsia"/>
          <w:b/>
          <w:bCs/>
          <w:color w:val="auto"/>
          <w:sz w:val="28"/>
          <w:szCs w:val="28"/>
          <w:highlight w:val="none"/>
        </w:rPr>
        <w:t>四</w:t>
      </w:r>
      <w:r>
        <w:rPr>
          <w:b/>
          <w:bCs/>
          <w:color w:val="auto"/>
          <w:sz w:val="28"/>
          <w:szCs w:val="28"/>
          <w:highlight w:val="none"/>
        </w:rPr>
        <w:t>）主要人员简历表（格式可自定）</w:t>
      </w:r>
    </w:p>
    <w:p>
      <w:pPr>
        <w:topLinePunct/>
        <w:spacing w:line="440" w:lineRule="exact"/>
        <w:jc w:val="center"/>
        <w:rPr>
          <w:color w:val="auto"/>
          <w:sz w:val="23"/>
          <w:szCs w:val="23"/>
          <w:highlight w:val="none"/>
        </w:rPr>
      </w:pPr>
    </w:p>
    <w:tbl>
      <w:tblPr>
        <w:tblStyle w:val="42"/>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90"/>
        <w:gridCol w:w="186"/>
        <w:gridCol w:w="744"/>
        <w:gridCol w:w="854"/>
        <w:gridCol w:w="885"/>
        <w:gridCol w:w="682"/>
        <w:gridCol w:w="746"/>
        <w:gridCol w:w="74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30" w:type="dxa"/>
            <w:tcBorders>
              <w:top w:val="single" w:color="auto" w:sz="12" w:space="0"/>
              <w:left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姓名</w:t>
            </w:r>
          </w:p>
        </w:tc>
        <w:tc>
          <w:tcPr>
            <w:tcW w:w="1490" w:type="dxa"/>
            <w:tcBorders>
              <w:top w:val="single" w:color="auto" w:sz="12" w:space="0"/>
            </w:tcBorders>
            <w:vAlign w:val="center"/>
          </w:tcPr>
          <w:p>
            <w:pPr>
              <w:jc w:val="center"/>
              <w:rPr>
                <w:rFonts w:ascii="宋体" w:hAnsi="宋体"/>
                <w:color w:val="auto"/>
                <w:position w:val="-30"/>
                <w:sz w:val="24"/>
                <w:highlight w:val="none"/>
              </w:rPr>
            </w:pPr>
          </w:p>
        </w:tc>
        <w:tc>
          <w:tcPr>
            <w:tcW w:w="930" w:type="dxa"/>
            <w:gridSpan w:val="2"/>
            <w:tcBorders>
              <w:top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性别</w:t>
            </w:r>
          </w:p>
        </w:tc>
        <w:tc>
          <w:tcPr>
            <w:tcW w:w="854" w:type="dxa"/>
            <w:tcBorders>
              <w:top w:val="single" w:color="auto" w:sz="12" w:space="0"/>
            </w:tcBorders>
            <w:vAlign w:val="center"/>
          </w:tcPr>
          <w:p>
            <w:pPr>
              <w:jc w:val="center"/>
              <w:rPr>
                <w:rFonts w:ascii="宋体" w:hAnsi="宋体"/>
                <w:color w:val="auto"/>
                <w:position w:val="-30"/>
                <w:sz w:val="24"/>
                <w:highlight w:val="none"/>
              </w:rPr>
            </w:pPr>
          </w:p>
        </w:tc>
        <w:tc>
          <w:tcPr>
            <w:tcW w:w="885" w:type="dxa"/>
            <w:tcBorders>
              <w:top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出生</w:t>
            </w:r>
          </w:p>
          <w:p>
            <w:pPr>
              <w:jc w:val="center"/>
              <w:rPr>
                <w:rFonts w:ascii="宋体" w:hAnsi="宋体"/>
                <w:color w:val="auto"/>
                <w:position w:val="-30"/>
                <w:sz w:val="24"/>
                <w:highlight w:val="none"/>
              </w:rPr>
            </w:pPr>
            <w:r>
              <w:rPr>
                <w:rFonts w:hint="eastAsia" w:ascii="宋体" w:hAnsi="宋体"/>
                <w:color w:val="auto"/>
                <w:position w:val="-30"/>
                <w:sz w:val="24"/>
                <w:highlight w:val="none"/>
              </w:rPr>
              <w:t>年月</w:t>
            </w:r>
          </w:p>
        </w:tc>
        <w:tc>
          <w:tcPr>
            <w:tcW w:w="1428" w:type="dxa"/>
            <w:gridSpan w:val="2"/>
            <w:tcBorders>
              <w:top w:val="single" w:color="auto" w:sz="12" w:space="0"/>
            </w:tcBorders>
            <w:vAlign w:val="center"/>
          </w:tcPr>
          <w:p>
            <w:pPr>
              <w:jc w:val="center"/>
              <w:rPr>
                <w:rFonts w:ascii="宋体" w:hAnsi="宋体"/>
                <w:color w:val="auto"/>
                <w:position w:val="-30"/>
                <w:sz w:val="24"/>
                <w:highlight w:val="none"/>
              </w:rPr>
            </w:pPr>
          </w:p>
        </w:tc>
        <w:tc>
          <w:tcPr>
            <w:tcW w:w="746" w:type="dxa"/>
            <w:tcBorders>
              <w:top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文化程度</w:t>
            </w:r>
          </w:p>
        </w:tc>
        <w:tc>
          <w:tcPr>
            <w:tcW w:w="1488" w:type="dxa"/>
            <w:tcBorders>
              <w:top w:val="single" w:color="auto" w:sz="12" w:space="0"/>
              <w:right w:val="single" w:color="auto" w:sz="12" w:space="0"/>
            </w:tcBorders>
            <w:vAlign w:val="center"/>
          </w:tcPr>
          <w:p>
            <w:pPr>
              <w:jc w:val="center"/>
              <w:rPr>
                <w:rFonts w:ascii="宋体" w:hAnsi="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30" w:type="dxa"/>
            <w:tcBorders>
              <w:left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毕业院校</w:t>
            </w:r>
          </w:p>
        </w:tc>
        <w:tc>
          <w:tcPr>
            <w:tcW w:w="2420" w:type="dxa"/>
            <w:gridSpan w:val="3"/>
            <w:vAlign w:val="center"/>
          </w:tcPr>
          <w:p>
            <w:pPr>
              <w:jc w:val="center"/>
              <w:rPr>
                <w:rFonts w:ascii="宋体" w:hAnsi="宋体"/>
                <w:color w:val="auto"/>
                <w:position w:val="-30"/>
                <w:sz w:val="24"/>
                <w:highlight w:val="none"/>
              </w:rPr>
            </w:pPr>
          </w:p>
        </w:tc>
        <w:tc>
          <w:tcPr>
            <w:tcW w:w="854" w:type="dxa"/>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专业</w:t>
            </w:r>
          </w:p>
        </w:tc>
        <w:tc>
          <w:tcPr>
            <w:tcW w:w="1567" w:type="dxa"/>
            <w:gridSpan w:val="2"/>
            <w:vAlign w:val="center"/>
          </w:tcPr>
          <w:p>
            <w:pPr>
              <w:jc w:val="center"/>
              <w:rPr>
                <w:rFonts w:ascii="宋体" w:hAnsi="宋体"/>
                <w:color w:val="auto"/>
                <w:position w:val="-30"/>
                <w:sz w:val="24"/>
                <w:highlight w:val="none"/>
              </w:rPr>
            </w:pPr>
          </w:p>
        </w:tc>
        <w:tc>
          <w:tcPr>
            <w:tcW w:w="1492" w:type="dxa"/>
            <w:gridSpan w:val="2"/>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毕业时间</w:t>
            </w:r>
          </w:p>
        </w:tc>
        <w:tc>
          <w:tcPr>
            <w:tcW w:w="1488" w:type="dxa"/>
            <w:tcBorders>
              <w:right w:val="single" w:color="auto" w:sz="12" w:space="0"/>
            </w:tcBorders>
            <w:vAlign w:val="center"/>
          </w:tcPr>
          <w:p>
            <w:pPr>
              <w:jc w:val="center"/>
              <w:rPr>
                <w:rFonts w:ascii="宋体" w:hAnsi="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30" w:type="dxa"/>
            <w:tcBorders>
              <w:left w:val="single" w:color="auto" w:sz="12" w:space="0"/>
              <w:bottom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技术职称</w:t>
            </w:r>
          </w:p>
        </w:tc>
        <w:tc>
          <w:tcPr>
            <w:tcW w:w="1676" w:type="dxa"/>
            <w:gridSpan w:val="2"/>
            <w:tcBorders>
              <w:bottom w:val="single" w:color="auto" w:sz="12" w:space="0"/>
            </w:tcBorders>
            <w:vAlign w:val="center"/>
          </w:tcPr>
          <w:p>
            <w:pPr>
              <w:jc w:val="center"/>
              <w:rPr>
                <w:rFonts w:ascii="宋体" w:hAnsi="宋体"/>
                <w:color w:val="auto"/>
                <w:position w:val="-30"/>
                <w:sz w:val="24"/>
                <w:highlight w:val="none"/>
              </w:rPr>
            </w:pPr>
          </w:p>
        </w:tc>
        <w:tc>
          <w:tcPr>
            <w:tcW w:w="1598" w:type="dxa"/>
            <w:gridSpan w:val="2"/>
            <w:tcBorders>
              <w:bottom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从事检测工作年限</w:t>
            </w:r>
          </w:p>
        </w:tc>
        <w:tc>
          <w:tcPr>
            <w:tcW w:w="1567" w:type="dxa"/>
            <w:gridSpan w:val="2"/>
            <w:tcBorders>
              <w:bottom w:val="single" w:color="auto" w:sz="12" w:space="0"/>
            </w:tcBorders>
            <w:vAlign w:val="center"/>
          </w:tcPr>
          <w:p>
            <w:pPr>
              <w:jc w:val="center"/>
              <w:rPr>
                <w:rFonts w:ascii="宋体" w:hAnsi="宋体"/>
                <w:color w:val="auto"/>
                <w:position w:val="-30"/>
                <w:sz w:val="24"/>
                <w:highlight w:val="none"/>
              </w:rPr>
            </w:pPr>
          </w:p>
        </w:tc>
        <w:tc>
          <w:tcPr>
            <w:tcW w:w="1492" w:type="dxa"/>
            <w:gridSpan w:val="2"/>
            <w:tcBorders>
              <w:bottom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拟在本项目担任的职务</w:t>
            </w:r>
          </w:p>
        </w:tc>
        <w:tc>
          <w:tcPr>
            <w:tcW w:w="1488" w:type="dxa"/>
            <w:tcBorders>
              <w:bottom w:val="single" w:color="auto" w:sz="12" w:space="0"/>
              <w:right w:val="single" w:color="auto" w:sz="12" w:space="0"/>
            </w:tcBorders>
            <w:vAlign w:val="center"/>
          </w:tcPr>
          <w:p>
            <w:pPr>
              <w:jc w:val="center"/>
              <w:rPr>
                <w:rFonts w:ascii="宋体" w:hAnsi="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230" w:type="dxa"/>
            <w:vMerge w:val="restart"/>
            <w:tcBorders>
              <w:top w:val="single" w:color="auto" w:sz="12" w:space="0"/>
              <w:left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检测</w:t>
            </w:r>
          </w:p>
          <w:p>
            <w:pPr>
              <w:jc w:val="center"/>
              <w:rPr>
                <w:rFonts w:ascii="宋体" w:hAnsi="宋体"/>
                <w:color w:val="auto"/>
                <w:position w:val="-30"/>
                <w:sz w:val="24"/>
                <w:highlight w:val="none"/>
              </w:rPr>
            </w:pPr>
            <w:r>
              <w:rPr>
                <w:rFonts w:hint="eastAsia" w:ascii="宋体" w:hAnsi="宋体"/>
                <w:color w:val="auto"/>
                <w:position w:val="-30"/>
                <w:sz w:val="24"/>
                <w:highlight w:val="none"/>
              </w:rPr>
              <w:t>主要经历</w:t>
            </w:r>
          </w:p>
        </w:tc>
        <w:tc>
          <w:tcPr>
            <w:tcW w:w="1676" w:type="dxa"/>
            <w:gridSpan w:val="2"/>
            <w:tcBorders>
              <w:top w:val="single" w:color="auto" w:sz="12" w:space="0"/>
            </w:tcBorders>
            <w:vAlign w:val="center"/>
          </w:tcPr>
          <w:p>
            <w:pPr>
              <w:jc w:val="center"/>
              <w:rPr>
                <w:rFonts w:ascii="宋体" w:hAnsi="宋体"/>
                <w:color w:val="auto"/>
                <w:position w:val="-30"/>
                <w:sz w:val="24"/>
                <w:highlight w:val="none"/>
              </w:rPr>
            </w:pPr>
            <w:bookmarkStart w:id="526" w:name="OLE_LINK3"/>
            <w:r>
              <w:rPr>
                <w:rFonts w:hint="eastAsia" w:ascii="宋体" w:hAnsi="宋体"/>
                <w:color w:val="auto"/>
                <w:position w:val="-30"/>
                <w:sz w:val="24"/>
                <w:highlight w:val="none"/>
              </w:rPr>
              <w:t>起讫</w:t>
            </w:r>
            <w:bookmarkEnd w:id="526"/>
            <w:r>
              <w:rPr>
                <w:rFonts w:hint="eastAsia" w:ascii="宋体" w:hAnsi="宋体"/>
                <w:color w:val="auto"/>
                <w:position w:val="-30"/>
                <w:sz w:val="24"/>
                <w:highlight w:val="none"/>
              </w:rPr>
              <w:t>时间</w:t>
            </w:r>
          </w:p>
        </w:tc>
        <w:tc>
          <w:tcPr>
            <w:tcW w:w="1598" w:type="dxa"/>
            <w:gridSpan w:val="2"/>
            <w:tcBorders>
              <w:top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任  职</w:t>
            </w:r>
          </w:p>
        </w:tc>
        <w:tc>
          <w:tcPr>
            <w:tcW w:w="1567" w:type="dxa"/>
            <w:gridSpan w:val="2"/>
            <w:tcBorders>
              <w:top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工程名称</w:t>
            </w:r>
          </w:p>
        </w:tc>
        <w:tc>
          <w:tcPr>
            <w:tcW w:w="2980" w:type="dxa"/>
            <w:gridSpan w:val="3"/>
            <w:tcBorders>
              <w:top w:val="single" w:color="auto" w:sz="12" w:space="0"/>
              <w:right w:val="single" w:color="auto" w:sz="12" w:space="0"/>
            </w:tcBorders>
            <w:vAlign w:val="center"/>
          </w:tcPr>
          <w:p>
            <w:pPr>
              <w:jc w:val="center"/>
              <w:rPr>
                <w:rFonts w:ascii="宋体" w:hAnsi="宋体"/>
                <w:color w:val="auto"/>
                <w:position w:val="-30"/>
                <w:sz w:val="24"/>
                <w:highlight w:val="none"/>
              </w:rPr>
            </w:pPr>
            <w:r>
              <w:rPr>
                <w:rFonts w:hint="eastAsia" w:ascii="宋体" w:hAnsi="宋体"/>
                <w:color w:val="auto"/>
                <w:position w:val="-30"/>
                <w:sz w:val="24"/>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6" w:hRule="atLeast"/>
        </w:trPr>
        <w:tc>
          <w:tcPr>
            <w:tcW w:w="1230" w:type="dxa"/>
            <w:vMerge w:val="continue"/>
            <w:tcBorders>
              <w:left w:val="single" w:color="auto" w:sz="12" w:space="0"/>
              <w:bottom w:val="single" w:color="auto" w:sz="12" w:space="0"/>
            </w:tcBorders>
          </w:tcPr>
          <w:p>
            <w:pPr>
              <w:rPr>
                <w:rFonts w:ascii="宋体" w:hAnsi="宋体"/>
                <w:color w:val="auto"/>
                <w:position w:val="-30"/>
                <w:sz w:val="24"/>
                <w:highlight w:val="none"/>
              </w:rPr>
            </w:pPr>
          </w:p>
        </w:tc>
        <w:tc>
          <w:tcPr>
            <w:tcW w:w="1676" w:type="dxa"/>
            <w:gridSpan w:val="2"/>
            <w:tcBorders>
              <w:bottom w:val="single" w:color="auto" w:sz="12" w:space="0"/>
            </w:tcBorders>
          </w:tcPr>
          <w:p>
            <w:pPr>
              <w:rPr>
                <w:rFonts w:ascii="宋体" w:hAnsi="宋体"/>
                <w:color w:val="auto"/>
                <w:position w:val="-30"/>
                <w:sz w:val="24"/>
                <w:highlight w:val="none"/>
              </w:rPr>
            </w:pPr>
          </w:p>
        </w:tc>
        <w:tc>
          <w:tcPr>
            <w:tcW w:w="1598" w:type="dxa"/>
            <w:gridSpan w:val="2"/>
            <w:tcBorders>
              <w:bottom w:val="single" w:color="auto" w:sz="12" w:space="0"/>
            </w:tcBorders>
          </w:tcPr>
          <w:p>
            <w:pPr>
              <w:rPr>
                <w:rFonts w:ascii="宋体" w:hAnsi="宋体"/>
                <w:color w:val="auto"/>
                <w:position w:val="-30"/>
                <w:sz w:val="24"/>
                <w:highlight w:val="none"/>
              </w:rPr>
            </w:pPr>
          </w:p>
        </w:tc>
        <w:tc>
          <w:tcPr>
            <w:tcW w:w="1567" w:type="dxa"/>
            <w:gridSpan w:val="2"/>
            <w:tcBorders>
              <w:bottom w:val="single" w:color="auto" w:sz="12" w:space="0"/>
            </w:tcBorders>
          </w:tcPr>
          <w:p>
            <w:pPr>
              <w:rPr>
                <w:rFonts w:ascii="宋体" w:hAnsi="宋体"/>
                <w:color w:val="auto"/>
                <w:position w:val="-30"/>
                <w:sz w:val="24"/>
                <w:highlight w:val="none"/>
              </w:rPr>
            </w:pPr>
          </w:p>
        </w:tc>
        <w:tc>
          <w:tcPr>
            <w:tcW w:w="2980" w:type="dxa"/>
            <w:gridSpan w:val="3"/>
            <w:tcBorders>
              <w:bottom w:val="single" w:color="auto" w:sz="12" w:space="0"/>
              <w:right w:val="single" w:color="auto" w:sz="12" w:space="0"/>
            </w:tcBorders>
          </w:tcPr>
          <w:p>
            <w:pPr>
              <w:rPr>
                <w:rFonts w:ascii="宋体" w:hAnsi="宋体"/>
                <w:color w:val="auto"/>
                <w:position w:val="-30"/>
                <w:sz w:val="24"/>
                <w:highlight w:val="none"/>
              </w:rPr>
            </w:pPr>
          </w:p>
        </w:tc>
      </w:tr>
    </w:tbl>
    <w:p>
      <w:pPr>
        <w:spacing w:line="440" w:lineRule="exact"/>
        <w:rPr>
          <w:color w:val="auto"/>
          <w:sz w:val="24"/>
          <w:highlight w:val="none"/>
        </w:rPr>
      </w:pPr>
    </w:p>
    <w:p>
      <w:pPr>
        <w:spacing w:line="440" w:lineRule="exact"/>
        <w:rPr>
          <w:b/>
          <w:bCs/>
          <w:color w:val="auto"/>
          <w:sz w:val="28"/>
          <w:szCs w:val="28"/>
          <w:highlight w:val="none"/>
        </w:rPr>
      </w:pPr>
      <w:r>
        <w:rPr>
          <w:color w:val="auto"/>
          <w:sz w:val="24"/>
          <w:highlight w:val="none"/>
        </w:rPr>
        <w:br w:type="page"/>
      </w:r>
      <w:r>
        <w:rPr>
          <w:b/>
          <w:bCs/>
          <w:color w:val="auto"/>
          <w:sz w:val="28"/>
          <w:szCs w:val="28"/>
          <w:highlight w:val="none"/>
        </w:rPr>
        <w:t>（</w:t>
      </w:r>
      <w:r>
        <w:rPr>
          <w:rFonts w:hint="eastAsia"/>
          <w:b/>
          <w:bCs/>
          <w:color w:val="auto"/>
          <w:sz w:val="28"/>
          <w:szCs w:val="28"/>
          <w:highlight w:val="none"/>
        </w:rPr>
        <w:t>五</w:t>
      </w:r>
      <w:r>
        <w:rPr>
          <w:b/>
          <w:bCs/>
          <w:color w:val="auto"/>
          <w:sz w:val="28"/>
          <w:szCs w:val="28"/>
          <w:highlight w:val="none"/>
        </w:rPr>
        <w:t>）</w:t>
      </w:r>
      <w:r>
        <w:rPr>
          <w:rFonts w:hint="eastAsia"/>
          <w:b/>
          <w:bCs/>
          <w:color w:val="auto"/>
          <w:sz w:val="28"/>
          <w:szCs w:val="28"/>
          <w:highlight w:val="none"/>
        </w:rPr>
        <w:t>拟投入本项目的主要检测仪器设备一览表</w:t>
      </w:r>
      <w:r>
        <w:rPr>
          <w:b/>
          <w:bCs/>
          <w:color w:val="auto"/>
          <w:sz w:val="28"/>
          <w:szCs w:val="28"/>
          <w:highlight w:val="none"/>
        </w:rPr>
        <w:t>（格式可自定）</w:t>
      </w:r>
    </w:p>
    <w:p>
      <w:pPr>
        <w:spacing w:line="440" w:lineRule="exact"/>
        <w:rPr>
          <w:b/>
          <w:bCs/>
          <w:color w:val="auto"/>
          <w:sz w:val="28"/>
          <w:szCs w:val="28"/>
          <w:highlight w:val="none"/>
        </w:rPr>
      </w:pPr>
    </w:p>
    <w:tbl>
      <w:tblPr>
        <w:tblStyle w:val="42"/>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1"/>
        <w:gridCol w:w="1355"/>
        <w:gridCol w:w="857"/>
        <w:gridCol w:w="1074"/>
        <w:gridCol w:w="763"/>
        <w:gridCol w:w="1234"/>
        <w:gridCol w:w="629"/>
        <w:gridCol w:w="801"/>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26" w:type="dxa"/>
            <w:tcBorders>
              <w:top w:val="single" w:color="auto" w:sz="12" w:space="0"/>
              <w:left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911" w:type="dxa"/>
            <w:tcBorders>
              <w:top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被检产品名称</w:t>
            </w:r>
          </w:p>
        </w:tc>
        <w:tc>
          <w:tcPr>
            <w:tcW w:w="1355" w:type="dxa"/>
            <w:tcBorders>
              <w:top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检定此产品</w:t>
            </w:r>
          </w:p>
          <w:p>
            <w:pPr>
              <w:jc w:val="center"/>
              <w:rPr>
                <w:rFonts w:ascii="宋体" w:hAnsi="宋体"/>
                <w:color w:val="auto"/>
                <w:szCs w:val="21"/>
                <w:highlight w:val="none"/>
              </w:rPr>
            </w:pPr>
            <w:r>
              <w:rPr>
                <w:rFonts w:hint="eastAsia" w:ascii="宋体" w:hAnsi="宋体"/>
                <w:color w:val="auto"/>
                <w:szCs w:val="21"/>
                <w:highlight w:val="none"/>
              </w:rPr>
              <w:t>所用的仪器名称</w:t>
            </w:r>
          </w:p>
        </w:tc>
        <w:tc>
          <w:tcPr>
            <w:tcW w:w="857" w:type="dxa"/>
            <w:tcBorders>
              <w:top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制造厂</w:t>
            </w:r>
          </w:p>
        </w:tc>
        <w:tc>
          <w:tcPr>
            <w:tcW w:w="1074" w:type="dxa"/>
            <w:tcBorders>
              <w:top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检定/校准机构</w:t>
            </w:r>
          </w:p>
        </w:tc>
        <w:tc>
          <w:tcPr>
            <w:tcW w:w="763" w:type="dxa"/>
            <w:tcBorders>
              <w:top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有效期</w:t>
            </w:r>
          </w:p>
        </w:tc>
        <w:tc>
          <w:tcPr>
            <w:tcW w:w="1234" w:type="dxa"/>
            <w:tcBorders>
              <w:top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检定/校准周期</w:t>
            </w:r>
          </w:p>
        </w:tc>
        <w:tc>
          <w:tcPr>
            <w:tcW w:w="629" w:type="dxa"/>
            <w:tcBorders>
              <w:top w:val="single" w:color="auto" w:sz="12" w:space="0"/>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自有</w:t>
            </w:r>
          </w:p>
        </w:tc>
        <w:tc>
          <w:tcPr>
            <w:tcW w:w="801" w:type="dxa"/>
            <w:tcBorders>
              <w:top w:val="single" w:color="auto" w:sz="12" w:space="0"/>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租赁</w:t>
            </w:r>
          </w:p>
        </w:tc>
        <w:tc>
          <w:tcPr>
            <w:tcW w:w="1001" w:type="dxa"/>
            <w:tcBorders>
              <w:top w:val="single" w:color="auto" w:sz="12" w:space="0"/>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12" w:space="0"/>
              <w:left w:val="single" w:color="auto" w:sz="12" w:space="0"/>
            </w:tcBorders>
            <w:vAlign w:val="center"/>
          </w:tcPr>
          <w:p>
            <w:pPr>
              <w:rPr>
                <w:rFonts w:ascii="宋体" w:hAnsi="宋体"/>
                <w:color w:val="auto"/>
                <w:szCs w:val="21"/>
                <w:highlight w:val="none"/>
              </w:rPr>
            </w:pPr>
          </w:p>
        </w:tc>
        <w:tc>
          <w:tcPr>
            <w:tcW w:w="911" w:type="dxa"/>
            <w:tcBorders>
              <w:top w:val="single" w:color="auto" w:sz="12" w:space="0"/>
            </w:tcBorders>
            <w:vAlign w:val="center"/>
          </w:tcPr>
          <w:p>
            <w:pPr>
              <w:rPr>
                <w:rFonts w:ascii="宋体" w:hAnsi="宋体"/>
                <w:color w:val="auto"/>
                <w:szCs w:val="21"/>
                <w:highlight w:val="none"/>
              </w:rPr>
            </w:pPr>
          </w:p>
        </w:tc>
        <w:tc>
          <w:tcPr>
            <w:tcW w:w="1355" w:type="dxa"/>
            <w:tcBorders>
              <w:top w:val="single" w:color="auto" w:sz="12" w:space="0"/>
            </w:tcBorders>
            <w:vAlign w:val="center"/>
          </w:tcPr>
          <w:p>
            <w:pPr>
              <w:rPr>
                <w:rFonts w:ascii="宋体" w:hAnsi="宋体"/>
                <w:color w:val="auto"/>
                <w:szCs w:val="21"/>
                <w:highlight w:val="none"/>
              </w:rPr>
            </w:pPr>
          </w:p>
        </w:tc>
        <w:tc>
          <w:tcPr>
            <w:tcW w:w="857" w:type="dxa"/>
            <w:tcBorders>
              <w:top w:val="single" w:color="auto" w:sz="12" w:space="0"/>
            </w:tcBorders>
            <w:vAlign w:val="center"/>
          </w:tcPr>
          <w:p>
            <w:pPr>
              <w:rPr>
                <w:rFonts w:ascii="宋体" w:hAnsi="宋体"/>
                <w:color w:val="auto"/>
                <w:szCs w:val="21"/>
                <w:highlight w:val="none"/>
              </w:rPr>
            </w:pPr>
          </w:p>
        </w:tc>
        <w:tc>
          <w:tcPr>
            <w:tcW w:w="1074" w:type="dxa"/>
            <w:tcBorders>
              <w:top w:val="single" w:color="auto" w:sz="12" w:space="0"/>
            </w:tcBorders>
            <w:vAlign w:val="center"/>
          </w:tcPr>
          <w:p>
            <w:pPr>
              <w:rPr>
                <w:rFonts w:ascii="宋体" w:hAnsi="宋体"/>
                <w:color w:val="auto"/>
                <w:szCs w:val="21"/>
                <w:highlight w:val="none"/>
              </w:rPr>
            </w:pPr>
          </w:p>
        </w:tc>
        <w:tc>
          <w:tcPr>
            <w:tcW w:w="763" w:type="dxa"/>
            <w:tcBorders>
              <w:top w:val="single" w:color="auto" w:sz="12" w:space="0"/>
            </w:tcBorders>
            <w:vAlign w:val="center"/>
          </w:tcPr>
          <w:p>
            <w:pPr>
              <w:rPr>
                <w:rFonts w:ascii="宋体" w:hAnsi="宋体"/>
                <w:color w:val="auto"/>
                <w:szCs w:val="21"/>
                <w:highlight w:val="none"/>
              </w:rPr>
            </w:pPr>
          </w:p>
        </w:tc>
        <w:tc>
          <w:tcPr>
            <w:tcW w:w="1234" w:type="dxa"/>
            <w:tcBorders>
              <w:top w:val="single" w:color="auto" w:sz="12" w:space="0"/>
            </w:tcBorders>
            <w:vAlign w:val="center"/>
          </w:tcPr>
          <w:p>
            <w:pPr>
              <w:rPr>
                <w:rFonts w:ascii="宋体" w:hAnsi="宋体"/>
                <w:color w:val="auto"/>
                <w:szCs w:val="21"/>
                <w:highlight w:val="none"/>
              </w:rPr>
            </w:pPr>
          </w:p>
        </w:tc>
        <w:tc>
          <w:tcPr>
            <w:tcW w:w="629" w:type="dxa"/>
            <w:tcBorders>
              <w:top w:val="single" w:color="auto" w:sz="12" w:space="0"/>
              <w:right w:val="single" w:color="auto" w:sz="12" w:space="0"/>
            </w:tcBorders>
            <w:vAlign w:val="center"/>
          </w:tcPr>
          <w:p>
            <w:pPr>
              <w:rPr>
                <w:rFonts w:ascii="宋体" w:hAnsi="宋体"/>
                <w:color w:val="auto"/>
                <w:szCs w:val="21"/>
                <w:highlight w:val="none"/>
              </w:rPr>
            </w:pPr>
          </w:p>
        </w:tc>
        <w:tc>
          <w:tcPr>
            <w:tcW w:w="801" w:type="dxa"/>
            <w:tcBorders>
              <w:top w:val="single" w:color="auto" w:sz="12" w:space="0"/>
              <w:right w:val="single" w:color="auto" w:sz="12" w:space="0"/>
            </w:tcBorders>
            <w:vAlign w:val="center"/>
          </w:tcPr>
          <w:p>
            <w:pPr>
              <w:rPr>
                <w:rFonts w:ascii="宋体" w:hAnsi="宋体"/>
                <w:color w:val="auto"/>
                <w:szCs w:val="21"/>
                <w:highlight w:val="none"/>
              </w:rPr>
            </w:pPr>
          </w:p>
        </w:tc>
        <w:tc>
          <w:tcPr>
            <w:tcW w:w="1001" w:type="dxa"/>
            <w:tcBorders>
              <w:top w:val="single" w:color="auto" w:sz="12" w:space="0"/>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olor w:val="auto"/>
                <w:szCs w:val="21"/>
                <w:highlight w:val="none"/>
              </w:rPr>
            </w:pPr>
          </w:p>
        </w:tc>
        <w:tc>
          <w:tcPr>
            <w:tcW w:w="911" w:type="dxa"/>
            <w:vAlign w:val="center"/>
          </w:tcPr>
          <w:p>
            <w:pPr>
              <w:rPr>
                <w:rFonts w:ascii="宋体" w:hAnsi="宋体"/>
                <w:color w:val="auto"/>
                <w:szCs w:val="21"/>
                <w:highlight w:val="none"/>
              </w:rPr>
            </w:pPr>
          </w:p>
        </w:tc>
        <w:tc>
          <w:tcPr>
            <w:tcW w:w="1355" w:type="dxa"/>
            <w:vAlign w:val="center"/>
          </w:tcPr>
          <w:p>
            <w:pPr>
              <w:rPr>
                <w:rFonts w:ascii="宋体" w:hAnsi="宋体"/>
                <w:color w:val="auto"/>
                <w:szCs w:val="21"/>
                <w:highlight w:val="none"/>
              </w:rPr>
            </w:pPr>
          </w:p>
        </w:tc>
        <w:tc>
          <w:tcPr>
            <w:tcW w:w="857" w:type="dxa"/>
            <w:vAlign w:val="center"/>
          </w:tcPr>
          <w:p>
            <w:pPr>
              <w:rPr>
                <w:rFonts w:ascii="宋体" w:hAnsi="宋体"/>
                <w:color w:val="auto"/>
                <w:szCs w:val="21"/>
                <w:highlight w:val="none"/>
              </w:rPr>
            </w:pPr>
          </w:p>
        </w:tc>
        <w:tc>
          <w:tcPr>
            <w:tcW w:w="1074" w:type="dxa"/>
            <w:vAlign w:val="center"/>
          </w:tcPr>
          <w:p>
            <w:pPr>
              <w:rPr>
                <w:rFonts w:ascii="宋体" w:hAnsi="宋体"/>
                <w:color w:val="auto"/>
                <w:szCs w:val="21"/>
                <w:highlight w:val="none"/>
              </w:rPr>
            </w:pPr>
          </w:p>
        </w:tc>
        <w:tc>
          <w:tcPr>
            <w:tcW w:w="763" w:type="dxa"/>
            <w:vAlign w:val="center"/>
          </w:tcPr>
          <w:p>
            <w:pPr>
              <w:rPr>
                <w:rFonts w:ascii="宋体" w:hAnsi="宋体"/>
                <w:color w:val="auto"/>
                <w:szCs w:val="21"/>
                <w:highlight w:val="none"/>
              </w:rPr>
            </w:pPr>
          </w:p>
        </w:tc>
        <w:tc>
          <w:tcPr>
            <w:tcW w:w="1234" w:type="dxa"/>
            <w:vAlign w:val="center"/>
          </w:tcPr>
          <w:p>
            <w:pPr>
              <w:rPr>
                <w:rFonts w:ascii="宋体" w:hAnsi="宋体"/>
                <w:color w:val="auto"/>
                <w:szCs w:val="21"/>
                <w:highlight w:val="none"/>
              </w:rPr>
            </w:pPr>
          </w:p>
        </w:tc>
        <w:tc>
          <w:tcPr>
            <w:tcW w:w="629" w:type="dxa"/>
            <w:tcBorders>
              <w:right w:val="single" w:color="auto" w:sz="12" w:space="0"/>
            </w:tcBorders>
            <w:vAlign w:val="center"/>
          </w:tcPr>
          <w:p>
            <w:pPr>
              <w:rPr>
                <w:rFonts w:ascii="宋体" w:hAnsi="宋体"/>
                <w:color w:val="auto"/>
                <w:szCs w:val="21"/>
                <w:highlight w:val="none"/>
              </w:rPr>
            </w:pPr>
          </w:p>
        </w:tc>
        <w:tc>
          <w:tcPr>
            <w:tcW w:w="801" w:type="dxa"/>
            <w:tcBorders>
              <w:right w:val="single" w:color="auto" w:sz="12" w:space="0"/>
            </w:tcBorders>
            <w:vAlign w:val="center"/>
          </w:tcPr>
          <w:p>
            <w:pPr>
              <w:rPr>
                <w:rFonts w:ascii="宋体" w:hAnsi="宋体"/>
                <w:color w:val="auto"/>
                <w:szCs w:val="21"/>
                <w:highlight w:val="none"/>
              </w:rPr>
            </w:pPr>
          </w:p>
        </w:tc>
        <w:tc>
          <w:tcPr>
            <w:tcW w:w="1001" w:type="dxa"/>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1" w:type="dxa"/>
            <w:gridSpan w:val="10"/>
            <w:tcBorders>
              <w:left w:val="single" w:color="auto" w:sz="12" w:space="0"/>
              <w:right w:val="single" w:color="auto" w:sz="12" w:space="0"/>
            </w:tcBorders>
            <w:vAlign w:val="center"/>
          </w:tcPr>
          <w:p>
            <w:pPr>
              <w:rPr>
                <w:rFonts w:ascii="宋体" w:hAnsi="宋体"/>
                <w:color w:val="auto"/>
                <w:szCs w:val="21"/>
                <w:highlight w:val="none"/>
              </w:rPr>
            </w:pPr>
            <w:r>
              <w:rPr>
                <w:rFonts w:hint="eastAsia" w:ascii="宋体" w:hAnsi="宋体"/>
                <w:color w:val="auto"/>
                <w:szCs w:val="21"/>
                <w:highlight w:val="none"/>
              </w:rPr>
              <w:t>申请单位能达到的程度简述（由申请单位填写）</w:t>
            </w:r>
          </w:p>
        </w:tc>
      </w:tr>
    </w:tbl>
    <w:p>
      <w:pPr>
        <w:topLinePunct/>
        <w:spacing w:line="360" w:lineRule="auto"/>
        <w:rPr>
          <w:rFonts w:cs="Arial"/>
          <w:color w:val="auto"/>
          <w:szCs w:val="20"/>
          <w:highlight w:val="none"/>
        </w:rPr>
      </w:pPr>
    </w:p>
    <w:p>
      <w:pPr>
        <w:topLinePunct/>
        <w:spacing w:line="360" w:lineRule="auto"/>
        <w:rPr>
          <w:rFonts w:cs="Arial"/>
          <w:color w:val="auto"/>
          <w:szCs w:val="20"/>
          <w:highlight w:val="none"/>
        </w:rPr>
      </w:pPr>
    </w:p>
    <w:p>
      <w:pPr>
        <w:topLinePunct/>
        <w:spacing w:line="360" w:lineRule="auto"/>
        <w:rPr>
          <w:color w:val="auto"/>
          <w:spacing w:val="18"/>
          <w:sz w:val="24"/>
          <w:highlight w:val="none"/>
        </w:rPr>
      </w:pPr>
    </w:p>
    <w:p>
      <w:pPr>
        <w:topLinePunct/>
        <w:spacing w:line="360" w:lineRule="auto"/>
        <w:rPr>
          <w:color w:val="auto"/>
          <w:spacing w:val="18"/>
          <w:sz w:val="24"/>
          <w:highlight w:val="none"/>
        </w:rPr>
      </w:pPr>
    </w:p>
    <w:p>
      <w:pPr>
        <w:topLinePunct/>
        <w:spacing w:line="360" w:lineRule="auto"/>
        <w:rPr>
          <w:color w:val="auto"/>
          <w:spacing w:val="18"/>
          <w:sz w:val="24"/>
          <w:highlight w:val="none"/>
        </w:rPr>
      </w:pPr>
    </w:p>
    <w:p>
      <w:pPr>
        <w:topLinePunct/>
        <w:spacing w:line="360" w:lineRule="auto"/>
        <w:rPr>
          <w:color w:val="auto"/>
          <w:spacing w:val="18"/>
          <w:sz w:val="24"/>
          <w:highlight w:val="none"/>
        </w:rPr>
      </w:pPr>
    </w:p>
    <w:bookmarkEnd w:id="513"/>
    <w:p>
      <w:pPr>
        <w:spacing w:line="360" w:lineRule="auto"/>
        <w:jc w:val="center"/>
        <w:rPr>
          <w:b/>
          <w:bCs/>
          <w:color w:val="auto"/>
          <w:sz w:val="30"/>
          <w:szCs w:val="30"/>
          <w:highlight w:val="none"/>
        </w:rPr>
      </w:pPr>
      <w:bookmarkStart w:id="527" w:name="_Toc535938758"/>
      <w:bookmarkStart w:id="528" w:name="_Toc529196610"/>
      <w:bookmarkStart w:id="529" w:name="_Toc530470651"/>
      <w:r>
        <w:rPr>
          <w:rFonts w:hint="eastAsia"/>
          <w:b/>
          <w:bCs/>
          <w:color w:val="auto"/>
          <w:sz w:val="30"/>
          <w:szCs w:val="30"/>
          <w:highlight w:val="none"/>
        </w:rPr>
        <w:t>七</w:t>
      </w:r>
      <w:r>
        <w:rPr>
          <w:b/>
          <w:bCs/>
          <w:color w:val="auto"/>
          <w:sz w:val="30"/>
          <w:szCs w:val="30"/>
          <w:highlight w:val="none"/>
        </w:rPr>
        <w:t>、</w:t>
      </w:r>
      <w:bookmarkEnd w:id="527"/>
      <w:bookmarkEnd w:id="528"/>
      <w:bookmarkEnd w:id="529"/>
      <w:r>
        <w:rPr>
          <w:rFonts w:hint="eastAsia"/>
          <w:b/>
          <w:bCs/>
          <w:color w:val="auto"/>
          <w:sz w:val="30"/>
          <w:szCs w:val="30"/>
          <w:highlight w:val="none"/>
        </w:rPr>
        <w:t>检测方案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各投标人应按照招标文件的规定，结合自身的检测服务工作经验，充分考虑本工程现场的各种实际情况编制本技术方案，主要内容包括但不限于以下所列项目：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一、总体概述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包括对项目总体和现场实际情况的认识了解，以及可能遇到的难点简要分析。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二、人员及设备的进场组织计划</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应根据项目的实际情况，科学、合理，有针对性的组织检测人员、设备的进场，加快各个工作面工作的开展，为本工程进度目标的实现提供基础保证。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三、检测技术、检测方法、数据处理方法的先进性、适用性等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应根据国家、广东省及广州市的检测技术规程与标准的规定，结合本项目的实际情况制定科学、合理的检测技术、检测方法、数据处理等方案，为本工程质量目标的实现提供保障。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四、检测工作质量目标及保证措施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应结合工程实际和招标文件的质量要求，制定合理的质量目标，以及为实现质量目标所采取的相关措施，对可能影响检测工作质量的各种可能因素有充分的预计，并制定合理、有效的防范及解决措施。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五、为信息化施工提供检测服务的措施合理、可行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结合工程实际，制订合理、可行的为信息化施工提供检测服务的相关措施。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六、安全文明作业保证措施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应采用正确的安全生产规范，制定切实可行的安全文明作业措施。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七、初步紧急预案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制定合理、可行的初步紧急预案，中标后应细化、完善，提交招标人、监理工程师等有关方。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八、投标人认为自身完成本工程所具有优势条件。</w:t>
      </w:r>
    </w:p>
    <w:p>
      <w:pPr>
        <w:spacing w:line="360" w:lineRule="auto"/>
        <w:ind w:firstLine="542" w:firstLineChars="226"/>
        <w:rPr>
          <w:color w:val="auto"/>
          <w:szCs w:val="21"/>
          <w:highlight w:val="none"/>
        </w:rPr>
      </w:pPr>
      <w:r>
        <w:rPr>
          <w:rFonts w:hint="eastAsia" w:ascii="宋体" w:hAnsi="宋体"/>
          <w:color w:val="auto"/>
          <w:sz w:val="24"/>
          <w:highlight w:val="none"/>
        </w:rPr>
        <w:t>九、对招标人的意见或建议，以及投标人认为应该补充的其他资料。</w:t>
      </w:r>
    </w:p>
    <w:p>
      <w:pPr>
        <w:pStyle w:val="4"/>
        <w:spacing w:line="480" w:lineRule="auto"/>
        <w:jc w:val="center"/>
        <w:rPr>
          <w:color w:val="auto"/>
          <w:highlight w:val="none"/>
        </w:rPr>
      </w:pPr>
      <w:bookmarkStart w:id="530" w:name="_Toc97798632"/>
      <w:bookmarkStart w:id="531" w:name="_Toc2154396"/>
      <w:r>
        <w:rPr>
          <w:rFonts w:hint="eastAsia" w:ascii="Times New Roman" w:hAnsi="Times New Roman" w:eastAsia="宋体"/>
          <w:color w:val="auto"/>
          <w:sz w:val="30"/>
          <w:szCs w:val="30"/>
          <w:highlight w:val="none"/>
        </w:rPr>
        <w:t>八、其他资料</w:t>
      </w:r>
      <w:bookmarkEnd w:id="530"/>
      <w:bookmarkEnd w:id="531"/>
    </w:p>
    <w:p>
      <w:pPr>
        <w:spacing w:line="360" w:lineRule="auto"/>
        <w:ind w:firstLine="480" w:firstLineChars="200"/>
        <w:jc w:val="left"/>
        <w:rPr>
          <w:color w:val="auto"/>
          <w:highlight w:val="none"/>
        </w:rPr>
      </w:pPr>
      <w:r>
        <w:rPr>
          <w:rFonts w:hint="eastAsia"/>
          <w:color w:val="auto"/>
          <w:sz w:val="24"/>
          <w:szCs w:val="24"/>
          <w:highlight w:val="none"/>
        </w:rPr>
        <w:t>投标人认为有必要提交或根据投标人资格和评标办法要求提交的其他资料，格式自定。</w:t>
      </w:r>
    </w:p>
    <w:p>
      <w:pPr>
        <w:spacing w:line="360" w:lineRule="auto"/>
        <w:rPr>
          <w:color w:val="auto"/>
          <w:highlight w:val="none"/>
        </w:rPr>
      </w:pPr>
    </w:p>
    <w:sectPr>
      <w:headerReference r:id="rId14" w:type="first"/>
      <w:footerReference r:id="rId17" w:type="first"/>
      <w:footerReference r:id="rId15" w:type="default"/>
      <w:footerReference r:id="rId16" w:type="even"/>
      <w:pgSz w:w="11906" w:h="16838"/>
      <w:pgMar w:top="1134" w:right="1274" w:bottom="1440" w:left="1797" w:header="709" w:footer="709" w:gutter="0"/>
      <w:cols w:space="720" w:num="1"/>
      <w:titlePg/>
      <w:docGrid w:type="lines"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w:t>
    </w:r>
    <w:r>
      <w:rPr>
        <w:lang w:val="zh-CN"/>
      </w:rPr>
      <w:fldChar w:fldCharType="end"/>
    </w:r>
  </w:p>
  <w:p>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2049" o:spid="_x0000_s2049"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fBbHGAQAAi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bUMXlDhuceCnH99PP3+ffn0j&#10;iyxPH6DGrLuAeWl46wdcmrMf0JlZDyra/EU+BOMo7vEirhwSEflRtXx9dU2JwFB1VS2X1xmFPTwO&#10;EdI76S3JRkMjzq5Iyg8fII2p55Rcy/lbbUyZn3F/ORAze1jufOwwW2nYDhOdrW+PyKbHsTfU4ZZT&#10;Yt47VDVvyNmIZ2M7GbkGhDf7hIVLPxl1hJqK4YwKo2mf8hL8eS9ZD//Q+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5d8FscYBAACLAwAADgAAAAAAAAABACAAAAAfAQAAZHJzL2Uyb0RvYy54&#10;bWxQSwUGAAAAAAYABgBZAQAAVwU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48</w:t>
                </w:r>
                <w:r>
                  <w:fldChar w:fldCharType="end"/>
                </w:r>
              </w:p>
            </w:txbxContent>
          </v:textbox>
        </v:shape>
      </w:pic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w:t>
    </w:r>
    <w:r>
      <w:rPr>
        <w:lang w:val="zh-CN"/>
      </w:rP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11</w:t>
    </w:r>
    <w:r>
      <w:rPr>
        <w:lang w:val="zh-CN"/>
      </w:rPr>
      <w:fldChar w:fldCharType="end"/>
    </w:r>
  </w:p>
  <w:p>
    <w:pPr>
      <w:pStyle w:val="2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w:t>
    </w:r>
    <w:r>
      <w:rPr>
        <w:lang w:val="zh-CN"/>
      </w:rPr>
      <w:fldChar w:fldCharType="end"/>
    </w:r>
  </w:p>
  <w:p>
    <w:pPr>
      <w:pStyle w:val="2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4" o:spid="_x0000_s2050"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PwRaAJ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9sFu3pnC8o69ZRXujfQB9To1TvbkB+8czCdSPsRl0hQtcoURG9PL7MHjwdcHwEWXfvoaI6Yhsg&#10;AfU1mghIbjBCp9bsT61RfWAylsxnr88vOJN0lZ/ns9lFqiCK8bFDH94qMCwGJUfqfAIXuxsfIhlR&#10;jCmxloWVbtvU/db+dUCJ8SSRj3wH5qFf90cz1lDtSQbCMEz0lShoAL9y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BPwRaAJAgAAAgQAAA4AAAAAAAAAAQAgAAAAHwEAAGRy&#10;cy9lMm9Eb2MueG1sUEsFBgAAAAAGAAYAWQEAAJoFAAAAAA==&#10;">
          <v:path/>
          <v:fill on="f" focussize="0,0"/>
          <v:stroke on="f" joinstyle="miter"/>
          <v:imagedata o:title=""/>
          <o:lock v:ext="edit"/>
          <v:textbox inset="0mm,0mm,0mm,0mm" style="mso-fit-shape-to-text:t;">
            <w:txbxContent>
              <w:p>
                <w:pPr>
                  <w:pStyle w:val="27"/>
                  <w:jc w:val="center"/>
                </w:pPr>
                <w:r>
                  <w:fldChar w:fldCharType="begin"/>
                </w:r>
                <w:r>
                  <w:instrText xml:space="preserve"> PAGE   \* MERGEFORMAT </w:instrText>
                </w:r>
                <w:r>
                  <w:fldChar w:fldCharType="separate"/>
                </w:r>
                <w:r>
                  <w:rPr>
                    <w:lang w:val="zh-CN"/>
                  </w:rPr>
                  <w:t>47</w:t>
                </w:r>
                <w:r>
                  <w:rPr>
                    <w:lang w:val="zh-CN"/>
                  </w:rPr>
                  <w:fldChar w:fldCharType="end"/>
                </w:r>
              </w:p>
            </w:txbxContent>
          </v:textbox>
        </v:shape>
      </w:pic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jc w:val="center"/>
    </w:pPr>
    <w:r>
      <w:fldChar w:fldCharType="begin"/>
    </w:r>
    <w:r>
      <w:instrText xml:space="preserve">PAGE   \* MERGEFORMAT</w:instrText>
    </w:r>
    <w:r>
      <w:fldChar w:fldCharType="separate"/>
    </w:r>
    <w:r>
      <w:rPr>
        <w:lang w:val="zh-CN"/>
      </w:rPr>
      <w:t>63</w:t>
    </w:r>
    <w:r>
      <w:rPr>
        <w:lang w:val="zh-CN"/>
      </w:rPr>
      <w:fldChar w:fldCharType="end"/>
    </w:r>
  </w:p>
  <w:p>
    <w:pPr>
      <w:pStyle w:val="27"/>
      <w:framePr w:wrap="around" w:vAnchor="text" w:hAnchor="margin" w:xAlign="right" w:y="1"/>
      <w:rPr>
        <w:rStyle w:val="4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t xml:space="preserve"> PAGE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420"/>
      <w:jc w:val="right"/>
      <w:rPr>
        <w:b/>
        <w:bCs/>
        <w:sz w:val="24"/>
        <w:szCs w:val="24"/>
      </w:rPr>
    </w:pPr>
  </w:p>
  <w:p>
    <w:pPr>
      <w:pStyle w:val="32"/>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3"/>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687F3"/>
    <w:multiLevelType w:val="singleLevel"/>
    <w:tmpl w:val="C3B687F3"/>
    <w:lvl w:ilvl="0" w:tentative="0">
      <w:start w:val="6"/>
      <w:numFmt w:val="chineseCounting"/>
      <w:suff w:val="space"/>
      <w:lvlText w:val="第%1章"/>
      <w:lvlJc w:val="left"/>
      <w:rPr>
        <w:rFonts w:hint="eastAsia"/>
      </w:rPr>
    </w:lvl>
  </w:abstractNum>
  <w:abstractNum w:abstractNumId="1">
    <w:nsid w:val="266A3E32"/>
    <w:multiLevelType w:val="singleLevel"/>
    <w:tmpl w:val="266A3E32"/>
    <w:lvl w:ilvl="0" w:tentative="0">
      <w:start w:val="1"/>
      <w:numFmt w:val="decimal"/>
      <w:suff w:val="nothing"/>
      <w:lvlText w:val="（%1）"/>
      <w:lvlJc w:val="left"/>
    </w:lvl>
  </w:abstractNum>
  <w:abstractNum w:abstractNumId="2">
    <w:nsid w:val="61D322E5"/>
    <w:multiLevelType w:val="multilevel"/>
    <w:tmpl w:val="61D322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Times New Roman" w:hAnsi="宋体" w:eastAsia="宋体" w:cs="Times New Roman"/>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D0420"/>
    <w:rsid w:val="00001D0F"/>
    <w:rsid w:val="00002B08"/>
    <w:rsid w:val="000040D1"/>
    <w:rsid w:val="0000517F"/>
    <w:rsid w:val="0001416E"/>
    <w:rsid w:val="00016453"/>
    <w:rsid w:val="000177EB"/>
    <w:rsid w:val="00020AA0"/>
    <w:rsid w:val="000215A9"/>
    <w:rsid w:val="00027AF8"/>
    <w:rsid w:val="00033FAC"/>
    <w:rsid w:val="000432B8"/>
    <w:rsid w:val="00045081"/>
    <w:rsid w:val="00047B56"/>
    <w:rsid w:val="000505E1"/>
    <w:rsid w:val="000533A3"/>
    <w:rsid w:val="00055266"/>
    <w:rsid w:val="00061B4D"/>
    <w:rsid w:val="00070061"/>
    <w:rsid w:val="00071F80"/>
    <w:rsid w:val="00072990"/>
    <w:rsid w:val="00072C2F"/>
    <w:rsid w:val="00074993"/>
    <w:rsid w:val="00075A5D"/>
    <w:rsid w:val="00075FEE"/>
    <w:rsid w:val="000778AA"/>
    <w:rsid w:val="00082E02"/>
    <w:rsid w:val="00083B6F"/>
    <w:rsid w:val="00084769"/>
    <w:rsid w:val="00084EE2"/>
    <w:rsid w:val="00085251"/>
    <w:rsid w:val="00086ACB"/>
    <w:rsid w:val="00087853"/>
    <w:rsid w:val="00087AF5"/>
    <w:rsid w:val="00091275"/>
    <w:rsid w:val="000916A0"/>
    <w:rsid w:val="000A5AD6"/>
    <w:rsid w:val="000A6D32"/>
    <w:rsid w:val="000A75DB"/>
    <w:rsid w:val="000B4C72"/>
    <w:rsid w:val="000B6A1C"/>
    <w:rsid w:val="000C193C"/>
    <w:rsid w:val="000C20A5"/>
    <w:rsid w:val="000C455F"/>
    <w:rsid w:val="000C7C0B"/>
    <w:rsid w:val="000D0CE9"/>
    <w:rsid w:val="000D20E6"/>
    <w:rsid w:val="000D3D8C"/>
    <w:rsid w:val="000D6F37"/>
    <w:rsid w:val="000E042F"/>
    <w:rsid w:val="000E48CA"/>
    <w:rsid w:val="000E52DA"/>
    <w:rsid w:val="000F0EB8"/>
    <w:rsid w:val="000F43B3"/>
    <w:rsid w:val="0010587B"/>
    <w:rsid w:val="0010738A"/>
    <w:rsid w:val="001077B7"/>
    <w:rsid w:val="00110C0A"/>
    <w:rsid w:val="001133F4"/>
    <w:rsid w:val="0011647E"/>
    <w:rsid w:val="001168BE"/>
    <w:rsid w:val="0011765A"/>
    <w:rsid w:val="00117E20"/>
    <w:rsid w:val="00120641"/>
    <w:rsid w:val="00130769"/>
    <w:rsid w:val="001309C8"/>
    <w:rsid w:val="00135343"/>
    <w:rsid w:val="00136140"/>
    <w:rsid w:val="00136ED4"/>
    <w:rsid w:val="001379BE"/>
    <w:rsid w:val="00140757"/>
    <w:rsid w:val="0014231A"/>
    <w:rsid w:val="00145A18"/>
    <w:rsid w:val="00150577"/>
    <w:rsid w:val="00156C07"/>
    <w:rsid w:val="00160013"/>
    <w:rsid w:val="00160DCB"/>
    <w:rsid w:val="00163D2B"/>
    <w:rsid w:val="00171EBC"/>
    <w:rsid w:val="00172C8B"/>
    <w:rsid w:val="00173A54"/>
    <w:rsid w:val="00197193"/>
    <w:rsid w:val="00197390"/>
    <w:rsid w:val="001A40E8"/>
    <w:rsid w:val="001A4AD0"/>
    <w:rsid w:val="001A4EB6"/>
    <w:rsid w:val="001B1F7F"/>
    <w:rsid w:val="001B2350"/>
    <w:rsid w:val="001B3909"/>
    <w:rsid w:val="001C0045"/>
    <w:rsid w:val="001C72A0"/>
    <w:rsid w:val="001D0134"/>
    <w:rsid w:val="001D0293"/>
    <w:rsid w:val="001D377D"/>
    <w:rsid w:val="001D5469"/>
    <w:rsid w:val="001D60D2"/>
    <w:rsid w:val="001E1F50"/>
    <w:rsid w:val="001E7DFB"/>
    <w:rsid w:val="001F01DA"/>
    <w:rsid w:val="001F589F"/>
    <w:rsid w:val="00212DE5"/>
    <w:rsid w:val="00214AD1"/>
    <w:rsid w:val="00216ED2"/>
    <w:rsid w:val="00221A06"/>
    <w:rsid w:val="00221BCA"/>
    <w:rsid w:val="00222CC5"/>
    <w:rsid w:val="00223BEE"/>
    <w:rsid w:val="0022658E"/>
    <w:rsid w:val="00226941"/>
    <w:rsid w:val="00240D1B"/>
    <w:rsid w:val="0024629B"/>
    <w:rsid w:val="002466EC"/>
    <w:rsid w:val="002479C4"/>
    <w:rsid w:val="00250EA2"/>
    <w:rsid w:val="002525C0"/>
    <w:rsid w:val="00253891"/>
    <w:rsid w:val="002554C1"/>
    <w:rsid w:val="002566A7"/>
    <w:rsid w:val="002568D8"/>
    <w:rsid w:val="00256B41"/>
    <w:rsid w:val="00264317"/>
    <w:rsid w:val="0026731F"/>
    <w:rsid w:val="0027076B"/>
    <w:rsid w:val="00273578"/>
    <w:rsid w:val="0027545F"/>
    <w:rsid w:val="00283A79"/>
    <w:rsid w:val="00283D85"/>
    <w:rsid w:val="00284B62"/>
    <w:rsid w:val="00286807"/>
    <w:rsid w:val="002903FC"/>
    <w:rsid w:val="00290804"/>
    <w:rsid w:val="00291654"/>
    <w:rsid w:val="00295CB8"/>
    <w:rsid w:val="002B0959"/>
    <w:rsid w:val="002B1D50"/>
    <w:rsid w:val="002B22DD"/>
    <w:rsid w:val="002B2A78"/>
    <w:rsid w:val="002B3CE8"/>
    <w:rsid w:val="002B733F"/>
    <w:rsid w:val="002C09E3"/>
    <w:rsid w:val="002C3143"/>
    <w:rsid w:val="002C5CA1"/>
    <w:rsid w:val="002D44F9"/>
    <w:rsid w:val="002D7418"/>
    <w:rsid w:val="002E230D"/>
    <w:rsid w:val="002E26A9"/>
    <w:rsid w:val="002E32B5"/>
    <w:rsid w:val="002E4959"/>
    <w:rsid w:val="002E68C4"/>
    <w:rsid w:val="002F18BF"/>
    <w:rsid w:val="002F1F0F"/>
    <w:rsid w:val="00301698"/>
    <w:rsid w:val="00301C94"/>
    <w:rsid w:val="00302DA2"/>
    <w:rsid w:val="00302DCF"/>
    <w:rsid w:val="00304053"/>
    <w:rsid w:val="00304B93"/>
    <w:rsid w:val="00305A22"/>
    <w:rsid w:val="003076C1"/>
    <w:rsid w:val="0031271D"/>
    <w:rsid w:val="00312FEB"/>
    <w:rsid w:val="0031321F"/>
    <w:rsid w:val="00315D68"/>
    <w:rsid w:val="00316DFF"/>
    <w:rsid w:val="00322559"/>
    <w:rsid w:val="00323256"/>
    <w:rsid w:val="00323707"/>
    <w:rsid w:val="00324A0A"/>
    <w:rsid w:val="003300C9"/>
    <w:rsid w:val="0033177F"/>
    <w:rsid w:val="00331F7A"/>
    <w:rsid w:val="0033645C"/>
    <w:rsid w:val="00341134"/>
    <w:rsid w:val="0034125D"/>
    <w:rsid w:val="003415CA"/>
    <w:rsid w:val="00342991"/>
    <w:rsid w:val="00343666"/>
    <w:rsid w:val="003446C1"/>
    <w:rsid w:val="0034690E"/>
    <w:rsid w:val="003509C1"/>
    <w:rsid w:val="00355D2E"/>
    <w:rsid w:val="00356669"/>
    <w:rsid w:val="00356FA0"/>
    <w:rsid w:val="00361357"/>
    <w:rsid w:val="00362583"/>
    <w:rsid w:val="00364EB4"/>
    <w:rsid w:val="003669B6"/>
    <w:rsid w:val="00367CC6"/>
    <w:rsid w:val="00371E36"/>
    <w:rsid w:val="00373621"/>
    <w:rsid w:val="00375CBA"/>
    <w:rsid w:val="003840FD"/>
    <w:rsid w:val="00391152"/>
    <w:rsid w:val="00393122"/>
    <w:rsid w:val="00394E47"/>
    <w:rsid w:val="0039747F"/>
    <w:rsid w:val="003976D8"/>
    <w:rsid w:val="00397966"/>
    <w:rsid w:val="003A0106"/>
    <w:rsid w:val="003A58D5"/>
    <w:rsid w:val="003A795D"/>
    <w:rsid w:val="003B79DB"/>
    <w:rsid w:val="003B7E51"/>
    <w:rsid w:val="003C0C40"/>
    <w:rsid w:val="003C0FAF"/>
    <w:rsid w:val="003C1746"/>
    <w:rsid w:val="003C5A21"/>
    <w:rsid w:val="003D5AD7"/>
    <w:rsid w:val="003E0001"/>
    <w:rsid w:val="003E4BB6"/>
    <w:rsid w:val="003E7AAE"/>
    <w:rsid w:val="003F1759"/>
    <w:rsid w:val="003F2647"/>
    <w:rsid w:val="003F36A9"/>
    <w:rsid w:val="003F69E7"/>
    <w:rsid w:val="003F72A3"/>
    <w:rsid w:val="003F7B76"/>
    <w:rsid w:val="00402D75"/>
    <w:rsid w:val="00404A94"/>
    <w:rsid w:val="00405E78"/>
    <w:rsid w:val="0041259E"/>
    <w:rsid w:val="00412ABF"/>
    <w:rsid w:val="00420590"/>
    <w:rsid w:val="0042186F"/>
    <w:rsid w:val="00422E28"/>
    <w:rsid w:val="00424A4D"/>
    <w:rsid w:val="0043180F"/>
    <w:rsid w:val="00432D81"/>
    <w:rsid w:val="00433EE2"/>
    <w:rsid w:val="0043614F"/>
    <w:rsid w:val="004367D5"/>
    <w:rsid w:val="00442EAF"/>
    <w:rsid w:val="00444D80"/>
    <w:rsid w:val="0045247E"/>
    <w:rsid w:val="00454352"/>
    <w:rsid w:val="00455430"/>
    <w:rsid w:val="00462BBC"/>
    <w:rsid w:val="00466A42"/>
    <w:rsid w:val="00467DAF"/>
    <w:rsid w:val="00470651"/>
    <w:rsid w:val="004715C4"/>
    <w:rsid w:val="00471E45"/>
    <w:rsid w:val="00473069"/>
    <w:rsid w:val="00476AE0"/>
    <w:rsid w:val="00477FA0"/>
    <w:rsid w:val="00480862"/>
    <w:rsid w:val="00485EF5"/>
    <w:rsid w:val="00490CD6"/>
    <w:rsid w:val="0049281E"/>
    <w:rsid w:val="00497631"/>
    <w:rsid w:val="004A06A7"/>
    <w:rsid w:val="004A148F"/>
    <w:rsid w:val="004A2C5C"/>
    <w:rsid w:val="004A39C6"/>
    <w:rsid w:val="004A3D01"/>
    <w:rsid w:val="004A41DE"/>
    <w:rsid w:val="004A49AE"/>
    <w:rsid w:val="004A76D0"/>
    <w:rsid w:val="004C1F81"/>
    <w:rsid w:val="004C59E5"/>
    <w:rsid w:val="004D248F"/>
    <w:rsid w:val="004D3E4B"/>
    <w:rsid w:val="004D3E8F"/>
    <w:rsid w:val="004D4FDD"/>
    <w:rsid w:val="004D7B2B"/>
    <w:rsid w:val="004E2454"/>
    <w:rsid w:val="004E4D18"/>
    <w:rsid w:val="004E7DA0"/>
    <w:rsid w:val="004F7A41"/>
    <w:rsid w:val="00502F06"/>
    <w:rsid w:val="00504A10"/>
    <w:rsid w:val="00505488"/>
    <w:rsid w:val="00506613"/>
    <w:rsid w:val="00506D27"/>
    <w:rsid w:val="00517071"/>
    <w:rsid w:val="005209DE"/>
    <w:rsid w:val="00521464"/>
    <w:rsid w:val="00521CFD"/>
    <w:rsid w:val="00532DAB"/>
    <w:rsid w:val="00533FA3"/>
    <w:rsid w:val="00536248"/>
    <w:rsid w:val="005440A1"/>
    <w:rsid w:val="00553409"/>
    <w:rsid w:val="005535A2"/>
    <w:rsid w:val="00553B33"/>
    <w:rsid w:val="0055427F"/>
    <w:rsid w:val="00554BB9"/>
    <w:rsid w:val="00555403"/>
    <w:rsid w:val="00556F90"/>
    <w:rsid w:val="0056163A"/>
    <w:rsid w:val="0056313E"/>
    <w:rsid w:val="00565462"/>
    <w:rsid w:val="00565BB2"/>
    <w:rsid w:val="00566274"/>
    <w:rsid w:val="00573544"/>
    <w:rsid w:val="00580524"/>
    <w:rsid w:val="005818D4"/>
    <w:rsid w:val="00583FB1"/>
    <w:rsid w:val="0059059E"/>
    <w:rsid w:val="00596E54"/>
    <w:rsid w:val="00597B0C"/>
    <w:rsid w:val="005A017E"/>
    <w:rsid w:val="005A081C"/>
    <w:rsid w:val="005A6EE8"/>
    <w:rsid w:val="005B0787"/>
    <w:rsid w:val="005B16A4"/>
    <w:rsid w:val="005B59F5"/>
    <w:rsid w:val="005C486D"/>
    <w:rsid w:val="005D20E6"/>
    <w:rsid w:val="005D26AE"/>
    <w:rsid w:val="005D63ED"/>
    <w:rsid w:val="005D7A42"/>
    <w:rsid w:val="005F1146"/>
    <w:rsid w:val="00601182"/>
    <w:rsid w:val="0060746F"/>
    <w:rsid w:val="00611926"/>
    <w:rsid w:val="006161B5"/>
    <w:rsid w:val="00616376"/>
    <w:rsid w:val="00620650"/>
    <w:rsid w:val="0062353D"/>
    <w:rsid w:val="00625F8B"/>
    <w:rsid w:val="00627EDE"/>
    <w:rsid w:val="00631A7A"/>
    <w:rsid w:val="00640369"/>
    <w:rsid w:val="0064256D"/>
    <w:rsid w:val="0064471F"/>
    <w:rsid w:val="00647D75"/>
    <w:rsid w:val="0065436B"/>
    <w:rsid w:val="00654593"/>
    <w:rsid w:val="00672F16"/>
    <w:rsid w:val="00675FA0"/>
    <w:rsid w:val="00682A8A"/>
    <w:rsid w:val="0068337E"/>
    <w:rsid w:val="00685476"/>
    <w:rsid w:val="00686A07"/>
    <w:rsid w:val="00690834"/>
    <w:rsid w:val="00694AFD"/>
    <w:rsid w:val="006A2DCB"/>
    <w:rsid w:val="006A3306"/>
    <w:rsid w:val="006B439E"/>
    <w:rsid w:val="006B5638"/>
    <w:rsid w:val="006B7D05"/>
    <w:rsid w:val="006C64C3"/>
    <w:rsid w:val="006C67DE"/>
    <w:rsid w:val="006D1B08"/>
    <w:rsid w:val="006D304E"/>
    <w:rsid w:val="006D3A16"/>
    <w:rsid w:val="006D7A14"/>
    <w:rsid w:val="006E1C05"/>
    <w:rsid w:val="006E1D1E"/>
    <w:rsid w:val="006E31BE"/>
    <w:rsid w:val="006E3599"/>
    <w:rsid w:val="006E4642"/>
    <w:rsid w:val="006E6690"/>
    <w:rsid w:val="006E685E"/>
    <w:rsid w:val="006F1A72"/>
    <w:rsid w:val="006F2AE6"/>
    <w:rsid w:val="006F3BB3"/>
    <w:rsid w:val="006F4F77"/>
    <w:rsid w:val="006F4F8A"/>
    <w:rsid w:val="00700E32"/>
    <w:rsid w:val="007069C5"/>
    <w:rsid w:val="0071387C"/>
    <w:rsid w:val="0071496B"/>
    <w:rsid w:val="007162B8"/>
    <w:rsid w:val="007226DF"/>
    <w:rsid w:val="00726B8F"/>
    <w:rsid w:val="00731F63"/>
    <w:rsid w:val="0073320B"/>
    <w:rsid w:val="007360CD"/>
    <w:rsid w:val="00742382"/>
    <w:rsid w:val="00742DF0"/>
    <w:rsid w:val="007442B7"/>
    <w:rsid w:val="00745B24"/>
    <w:rsid w:val="00754004"/>
    <w:rsid w:val="007573C0"/>
    <w:rsid w:val="00757951"/>
    <w:rsid w:val="00763B18"/>
    <w:rsid w:val="0076762A"/>
    <w:rsid w:val="00767B2D"/>
    <w:rsid w:val="00770891"/>
    <w:rsid w:val="00773C04"/>
    <w:rsid w:val="00792B95"/>
    <w:rsid w:val="00792BCC"/>
    <w:rsid w:val="0079656B"/>
    <w:rsid w:val="007971AC"/>
    <w:rsid w:val="007A088E"/>
    <w:rsid w:val="007A3B21"/>
    <w:rsid w:val="007A4A83"/>
    <w:rsid w:val="007A509F"/>
    <w:rsid w:val="007A5DF5"/>
    <w:rsid w:val="007B519D"/>
    <w:rsid w:val="007C5CF2"/>
    <w:rsid w:val="007D1677"/>
    <w:rsid w:val="007D7CAE"/>
    <w:rsid w:val="007E4BCB"/>
    <w:rsid w:val="007E62E4"/>
    <w:rsid w:val="007E6EEC"/>
    <w:rsid w:val="007E7CFA"/>
    <w:rsid w:val="007F0ACE"/>
    <w:rsid w:val="007F15D0"/>
    <w:rsid w:val="007F22F5"/>
    <w:rsid w:val="007F2691"/>
    <w:rsid w:val="008010A3"/>
    <w:rsid w:val="00810D1A"/>
    <w:rsid w:val="00813E68"/>
    <w:rsid w:val="008162AC"/>
    <w:rsid w:val="00820D0A"/>
    <w:rsid w:val="00822CA9"/>
    <w:rsid w:val="008254AA"/>
    <w:rsid w:val="00825F43"/>
    <w:rsid w:val="00827F9F"/>
    <w:rsid w:val="0083054A"/>
    <w:rsid w:val="00830E8A"/>
    <w:rsid w:val="00831477"/>
    <w:rsid w:val="00841623"/>
    <w:rsid w:val="00844F1A"/>
    <w:rsid w:val="00853907"/>
    <w:rsid w:val="00855FD3"/>
    <w:rsid w:val="0085626F"/>
    <w:rsid w:val="00856B22"/>
    <w:rsid w:val="0086086D"/>
    <w:rsid w:val="00862EED"/>
    <w:rsid w:val="0086375E"/>
    <w:rsid w:val="00864ACA"/>
    <w:rsid w:val="00866C19"/>
    <w:rsid w:val="00870A7F"/>
    <w:rsid w:val="00873032"/>
    <w:rsid w:val="008735B7"/>
    <w:rsid w:val="00875812"/>
    <w:rsid w:val="00881299"/>
    <w:rsid w:val="008852CD"/>
    <w:rsid w:val="008922A6"/>
    <w:rsid w:val="00893647"/>
    <w:rsid w:val="008950CE"/>
    <w:rsid w:val="0089557C"/>
    <w:rsid w:val="0089773E"/>
    <w:rsid w:val="008A0843"/>
    <w:rsid w:val="008A1EBE"/>
    <w:rsid w:val="008A460F"/>
    <w:rsid w:val="008A4C49"/>
    <w:rsid w:val="008A7AAB"/>
    <w:rsid w:val="008A7EEB"/>
    <w:rsid w:val="008B24D3"/>
    <w:rsid w:val="008B27FA"/>
    <w:rsid w:val="008B387A"/>
    <w:rsid w:val="008B42D9"/>
    <w:rsid w:val="008B59C1"/>
    <w:rsid w:val="008B5E97"/>
    <w:rsid w:val="008C4E54"/>
    <w:rsid w:val="008D544F"/>
    <w:rsid w:val="008E0EFE"/>
    <w:rsid w:val="008E1101"/>
    <w:rsid w:val="008E73E5"/>
    <w:rsid w:val="008E7E34"/>
    <w:rsid w:val="008F72BB"/>
    <w:rsid w:val="0090108B"/>
    <w:rsid w:val="00901948"/>
    <w:rsid w:val="00903813"/>
    <w:rsid w:val="00906A80"/>
    <w:rsid w:val="00912087"/>
    <w:rsid w:val="00913238"/>
    <w:rsid w:val="009140D4"/>
    <w:rsid w:val="009142A9"/>
    <w:rsid w:val="00925CE1"/>
    <w:rsid w:val="00925F2A"/>
    <w:rsid w:val="00927868"/>
    <w:rsid w:val="009323EF"/>
    <w:rsid w:val="0093428D"/>
    <w:rsid w:val="00934528"/>
    <w:rsid w:val="00934C60"/>
    <w:rsid w:val="00943800"/>
    <w:rsid w:val="00953C45"/>
    <w:rsid w:val="00954437"/>
    <w:rsid w:val="00955508"/>
    <w:rsid w:val="0096003B"/>
    <w:rsid w:val="009672C3"/>
    <w:rsid w:val="00967A37"/>
    <w:rsid w:val="00972730"/>
    <w:rsid w:val="00976410"/>
    <w:rsid w:val="00977DDF"/>
    <w:rsid w:val="009813E4"/>
    <w:rsid w:val="009826BD"/>
    <w:rsid w:val="00985B6E"/>
    <w:rsid w:val="0098770B"/>
    <w:rsid w:val="00992733"/>
    <w:rsid w:val="00992BF3"/>
    <w:rsid w:val="009933A9"/>
    <w:rsid w:val="009A21F4"/>
    <w:rsid w:val="009B1E66"/>
    <w:rsid w:val="009B2404"/>
    <w:rsid w:val="009B5EE1"/>
    <w:rsid w:val="009B79D9"/>
    <w:rsid w:val="009C5601"/>
    <w:rsid w:val="009D2B26"/>
    <w:rsid w:val="009E12A6"/>
    <w:rsid w:val="009E3413"/>
    <w:rsid w:val="009E371A"/>
    <w:rsid w:val="009E3BBA"/>
    <w:rsid w:val="009E621D"/>
    <w:rsid w:val="009F2C58"/>
    <w:rsid w:val="009F5903"/>
    <w:rsid w:val="009F59F3"/>
    <w:rsid w:val="00A056A2"/>
    <w:rsid w:val="00A067F9"/>
    <w:rsid w:val="00A12E76"/>
    <w:rsid w:val="00A138C1"/>
    <w:rsid w:val="00A20515"/>
    <w:rsid w:val="00A32E44"/>
    <w:rsid w:val="00A3360D"/>
    <w:rsid w:val="00A34265"/>
    <w:rsid w:val="00A40820"/>
    <w:rsid w:val="00A4396A"/>
    <w:rsid w:val="00A44E10"/>
    <w:rsid w:val="00A45619"/>
    <w:rsid w:val="00A504FE"/>
    <w:rsid w:val="00A53B55"/>
    <w:rsid w:val="00A619EF"/>
    <w:rsid w:val="00A61A67"/>
    <w:rsid w:val="00A63693"/>
    <w:rsid w:val="00A67159"/>
    <w:rsid w:val="00A7082F"/>
    <w:rsid w:val="00A7210B"/>
    <w:rsid w:val="00A72459"/>
    <w:rsid w:val="00A8242D"/>
    <w:rsid w:val="00A84477"/>
    <w:rsid w:val="00A87099"/>
    <w:rsid w:val="00A8766B"/>
    <w:rsid w:val="00A90BFE"/>
    <w:rsid w:val="00A93540"/>
    <w:rsid w:val="00A945B0"/>
    <w:rsid w:val="00A97F08"/>
    <w:rsid w:val="00AA4483"/>
    <w:rsid w:val="00AB265A"/>
    <w:rsid w:val="00AB7280"/>
    <w:rsid w:val="00AC02B2"/>
    <w:rsid w:val="00AC1915"/>
    <w:rsid w:val="00AC4314"/>
    <w:rsid w:val="00AC4D3A"/>
    <w:rsid w:val="00AD2756"/>
    <w:rsid w:val="00AD3F25"/>
    <w:rsid w:val="00AD797C"/>
    <w:rsid w:val="00AE45C5"/>
    <w:rsid w:val="00AF1D24"/>
    <w:rsid w:val="00AF4214"/>
    <w:rsid w:val="00AF5452"/>
    <w:rsid w:val="00B015DB"/>
    <w:rsid w:val="00B02EC4"/>
    <w:rsid w:val="00B03025"/>
    <w:rsid w:val="00B0532E"/>
    <w:rsid w:val="00B07904"/>
    <w:rsid w:val="00B10F9A"/>
    <w:rsid w:val="00B144E7"/>
    <w:rsid w:val="00B17CB0"/>
    <w:rsid w:val="00B25808"/>
    <w:rsid w:val="00B2721F"/>
    <w:rsid w:val="00B3141A"/>
    <w:rsid w:val="00B31711"/>
    <w:rsid w:val="00B320BF"/>
    <w:rsid w:val="00B32F0B"/>
    <w:rsid w:val="00B32FE9"/>
    <w:rsid w:val="00B3314C"/>
    <w:rsid w:val="00B37C07"/>
    <w:rsid w:val="00B43010"/>
    <w:rsid w:val="00B4305D"/>
    <w:rsid w:val="00B431F8"/>
    <w:rsid w:val="00B44E4F"/>
    <w:rsid w:val="00B52976"/>
    <w:rsid w:val="00B53741"/>
    <w:rsid w:val="00B539C2"/>
    <w:rsid w:val="00B56FC1"/>
    <w:rsid w:val="00B6064A"/>
    <w:rsid w:val="00B6222B"/>
    <w:rsid w:val="00B677C4"/>
    <w:rsid w:val="00B700B3"/>
    <w:rsid w:val="00B72149"/>
    <w:rsid w:val="00B75B96"/>
    <w:rsid w:val="00B75D31"/>
    <w:rsid w:val="00B7744A"/>
    <w:rsid w:val="00B77CFA"/>
    <w:rsid w:val="00B81254"/>
    <w:rsid w:val="00B8132F"/>
    <w:rsid w:val="00B8498C"/>
    <w:rsid w:val="00B900D5"/>
    <w:rsid w:val="00B90E09"/>
    <w:rsid w:val="00B92F5A"/>
    <w:rsid w:val="00B94040"/>
    <w:rsid w:val="00BA3896"/>
    <w:rsid w:val="00BA6182"/>
    <w:rsid w:val="00BA620D"/>
    <w:rsid w:val="00BA659B"/>
    <w:rsid w:val="00BA6B42"/>
    <w:rsid w:val="00BB1C73"/>
    <w:rsid w:val="00BB29CD"/>
    <w:rsid w:val="00BC5573"/>
    <w:rsid w:val="00BD08C4"/>
    <w:rsid w:val="00BD5B66"/>
    <w:rsid w:val="00BD5FCC"/>
    <w:rsid w:val="00BE1119"/>
    <w:rsid w:val="00BE1BFD"/>
    <w:rsid w:val="00BE3206"/>
    <w:rsid w:val="00BE3861"/>
    <w:rsid w:val="00BE41B8"/>
    <w:rsid w:val="00BF14A3"/>
    <w:rsid w:val="00BF20DF"/>
    <w:rsid w:val="00BF3FD1"/>
    <w:rsid w:val="00BF5CD9"/>
    <w:rsid w:val="00C0230B"/>
    <w:rsid w:val="00C02527"/>
    <w:rsid w:val="00C06849"/>
    <w:rsid w:val="00C07673"/>
    <w:rsid w:val="00C135DF"/>
    <w:rsid w:val="00C1476C"/>
    <w:rsid w:val="00C164BA"/>
    <w:rsid w:val="00C17104"/>
    <w:rsid w:val="00C24645"/>
    <w:rsid w:val="00C300C6"/>
    <w:rsid w:val="00C322DE"/>
    <w:rsid w:val="00C36389"/>
    <w:rsid w:val="00C47732"/>
    <w:rsid w:val="00C577D0"/>
    <w:rsid w:val="00C57F62"/>
    <w:rsid w:val="00C60592"/>
    <w:rsid w:val="00C60851"/>
    <w:rsid w:val="00C6132C"/>
    <w:rsid w:val="00C615DC"/>
    <w:rsid w:val="00C63675"/>
    <w:rsid w:val="00C655F0"/>
    <w:rsid w:val="00C678EE"/>
    <w:rsid w:val="00C71833"/>
    <w:rsid w:val="00C7650E"/>
    <w:rsid w:val="00C76B64"/>
    <w:rsid w:val="00C80DA6"/>
    <w:rsid w:val="00C90A18"/>
    <w:rsid w:val="00C91196"/>
    <w:rsid w:val="00CA79CA"/>
    <w:rsid w:val="00CB121C"/>
    <w:rsid w:val="00CB2B6E"/>
    <w:rsid w:val="00CB5848"/>
    <w:rsid w:val="00CB5B10"/>
    <w:rsid w:val="00CB5B3C"/>
    <w:rsid w:val="00CC22C9"/>
    <w:rsid w:val="00CC3099"/>
    <w:rsid w:val="00CC6206"/>
    <w:rsid w:val="00CC6404"/>
    <w:rsid w:val="00CD06EB"/>
    <w:rsid w:val="00CD220A"/>
    <w:rsid w:val="00CD484C"/>
    <w:rsid w:val="00CD69F0"/>
    <w:rsid w:val="00CE08C3"/>
    <w:rsid w:val="00CF0090"/>
    <w:rsid w:val="00CF3049"/>
    <w:rsid w:val="00CF3828"/>
    <w:rsid w:val="00D019BE"/>
    <w:rsid w:val="00D04F9E"/>
    <w:rsid w:val="00D1271B"/>
    <w:rsid w:val="00D12DFA"/>
    <w:rsid w:val="00D153AD"/>
    <w:rsid w:val="00D17AEA"/>
    <w:rsid w:val="00D21620"/>
    <w:rsid w:val="00D216FD"/>
    <w:rsid w:val="00D22A76"/>
    <w:rsid w:val="00D237B2"/>
    <w:rsid w:val="00D3022E"/>
    <w:rsid w:val="00D3055E"/>
    <w:rsid w:val="00D40D61"/>
    <w:rsid w:val="00D44C3D"/>
    <w:rsid w:val="00D55462"/>
    <w:rsid w:val="00D57653"/>
    <w:rsid w:val="00D57826"/>
    <w:rsid w:val="00D57A96"/>
    <w:rsid w:val="00D64050"/>
    <w:rsid w:val="00D7067C"/>
    <w:rsid w:val="00D755D5"/>
    <w:rsid w:val="00D82853"/>
    <w:rsid w:val="00D8306C"/>
    <w:rsid w:val="00D83918"/>
    <w:rsid w:val="00D858EE"/>
    <w:rsid w:val="00D93BA8"/>
    <w:rsid w:val="00D9488B"/>
    <w:rsid w:val="00D948EF"/>
    <w:rsid w:val="00D94A7A"/>
    <w:rsid w:val="00D957C6"/>
    <w:rsid w:val="00DA48F7"/>
    <w:rsid w:val="00DA4A7C"/>
    <w:rsid w:val="00DA5D1B"/>
    <w:rsid w:val="00DB031C"/>
    <w:rsid w:val="00DB1455"/>
    <w:rsid w:val="00DB268C"/>
    <w:rsid w:val="00DB4708"/>
    <w:rsid w:val="00DB4A5B"/>
    <w:rsid w:val="00DB7E3A"/>
    <w:rsid w:val="00DD239F"/>
    <w:rsid w:val="00DD64B2"/>
    <w:rsid w:val="00DE2A2F"/>
    <w:rsid w:val="00DE376E"/>
    <w:rsid w:val="00DE58E6"/>
    <w:rsid w:val="00DF2405"/>
    <w:rsid w:val="00DF2599"/>
    <w:rsid w:val="00DF26DC"/>
    <w:rsid w:val="00DF2F38"/>
    <w:rsid w:val="00DF75F8"/>
    <w:rsid w:val="00E00858"/>
    <w:rsid w:val="00E01C65"/>
    <w:rsid w:val="00E06012"/>
    <w:rsid w:val="00E14DA6"/>
    <w:rsid w:val="00E154D0"/>
    <w:rsid w:val="00E16C62"/>
    <w:rsid w:val="00E20A1D"/>
    <w:rsid w:val="00E21978"/>
    <w:rsid w:val="00E24C29"/>
    <w:rsid w:val="00E31EB3"/>
    <w:rsid w:val="00E352A3"/>
    <w:rsid w:val="00E353F2"/>
    <w:rsid w:val="00E370E0"/>
    <w:rsid w:val="00E37C53"/>
    <w:rsid w:val="00E43893"/>
    <w:rsid w:val="00E45E23"/>
    <w:rsid w:val="00E45EB9"/>
    <w:rsid w:val="00E47CBC"/>
    <w:rsid w:val="00E54045"/>
    <w:rsid w:val="00E54B1E"/>
    <w:rsid w:val="00E63F2C"/>
    <w:rsid w:val="00E650B3"/>
    <w:rsid w:val="00E67B0A"/>
    <w:rsid w:val="00E752AE"/>
    <w:rsid w:val="00E82388"/>
    <w:rsid w:val="00E901BE"/>
    <w:rsid w:val="00E90D7C"/>
    <w:rsid w:val="00E91561"/>
    <w:rsid w:val="00E93199"/>
    <w:rsid w:val="00E9380E"/>
    <w:rsid w:val="00E97EC5"/>
    <w:rsid w:val="00EA08F5"/>
    <w:rsid w:val="00EA48E3"/>
    <w:rsid w:val="00EB678D"/>
    <w:rsid w:val="00EB7498"/>
    <w:rsid w:val="00EC35AB"/>
    <w:rsid w:val="00EC412F"/>
    <w:rsid w:val="00EC6169"/>
    <w:rsid w:val="00EC6BF1"/>
    <w:rsid w:val="00ED1472"/>
    <w:rsid w:val="00ED2994"/>
    <w:rsid w:val="00ED574A"/>
    <w:rsid w:val="00ED5C2B"/>
    <w:rsid w:val="00ED6099"/>
    <w:rsid w:val="00EE13F2"/>
    <w:rsid w:val="00EE1C43"/>
    <w:rsid w:val="00EE29D5"/>
    <w:rsid w:val="00EE74B5"/>
    <w:rsid w:val="00EF3922"/>
    <w:rsid w:val="00EF3DC0"/>
    <w:rsid w:val="00EF7A8E"/>
    <w:rsid w:val="00F0026A"/>
    <w:rsid w:val="00F03C22"/>
    <w:rsid w:val="00F04C87"/>
    <w:rsid w:val="00F10BF3"/>
    <w:rsid w:val="00F15345"/>
    <w:rsid w:val="00F161CC"/>
    <w:rsid w:val="00F176A5"/>
    <w:rsid w:val="00F24048"/>
    <w:rsid w:val="00F24B70"/>
    <w:rsid w:val="00F24CC3"/>
    <w:rsid w:val="00F26259"/>
    <w:rsid w:val="00F2794E"/>
    <w:rsid w:val="00F33321"/>
    <w:rsid w:val="00F34803"/>
    <w:rsid w:val="00F4099C"/>
    <w:rsid w:val="00F42D07"/>
    <w:rsid w:val="00F47715"/>
    <w:rsid w:val="00F50B5C"/>
    <w:rsid w:val="00F51509"/>
    <w:rsid w:val="00F63F1D"/>
    <w:rsid w:val="00F64862"/>
    <w:rsid w:val="00F67F44"/>
    <w:rsid w:val="00F72DEE"/>
    <w:rsid w:val="00F76686"/>
    <w:rsid w:val="00F80084"/>
    <w:rsid w:val="00F82249"/>
    <w:rsid w:val="00F8739B"/>
    <w:rsid w:val="00F87CC7"/>
    <w:rsid w:val="00F93A0E"/>
    <w:rsid w:val="00F96E63"/>
    <w:rsid w:val="00F979F9"/>
    <w:rsid w:val="00FA0AED"/>
    <w:rsid w:val="00FA1CE6"/>
    <w:rsid w:val="00FA282D"/>
    <w:rsid w:val="00FA4BFF"/>
    <w:rsid w:val="00FA5303"/>
    <w:rsid w:val="00FB0A63"/>
    <w:rsid w:val="00FB5AFD"/>
    <w:rsid w:val="00FB5E16"/>
    <w:rsid w:val="00FB7343"/>
    <w:rsid w:val="00FB73E6"/>
    <w:rsid w:val="00FC15F9"/>
    <w:rsid w:val="00FC1FB9"/>
    <w:rsid w:val="00FC51E9"/>
    <w:rsid w:val="00FC5681"/>
    <w:rsid w:val="00FC73FC"/>
    <w:rsid w:val="00FD0420"/>
    <w:rsid w:val="00FD331C"/>
    <w:rsid w:val="00FE0C8D"/>
    <w:rsid w:val="00FE1B4E"/>
    <w:rsid w:val="00FE3747"/>
    <w:rsid w:val="00FF0F63"/>
    <w:rsid w:val="00FF1750"/>
    <w:rsid w:val="00FF1DFA"/>
    <w:rsid w:val="00FF3334"/>
    <w:rsid w:val="00FF3761"/>
    <w:rsid w:val="00FF462A"/>
    <w:rsid w:val="00FF532D"/>
    <w:rsid w:val="00FF5407"/>
    <w:rsid w:val="00FF5512"/>
    <w:rsid w:val="00FF58DD"/>
    <w:rsid w:val="00FF7AB6"/>
    <w:rsid w:val="01397614"/>
    <w:rsid w:val="02396828"/>
    <w:rsid w:val="02615EC5"/>
    <w:rsid w:val="02E90420"/>
    <w:rsid w:val="035C283C"/>
    <w:rsid w:val="037E580F"/>
    <w:rsid w:val="039D2D28"/>
    <w:rsid w:val="03C637D6"/>
    <w:rsid w:val="042D4C6B"/>
    <w:rsid w:val="045D1075"/>
    <w:rsid w:val="05DC7B35"/>
    <w:rsid w:val="06A9030F"/>
    <w:rsid w:val="070106F9"/>
    <w:rsid w:val="08BD0428"/>
    <w:rsid w:val="09C340D7"/>
    <w:rsid w:val="0A6F482D"/>
    <w:rsid w:val="0B3755F5"/>
    <w:rsid w:val="0BFD591E"/>
    <w:rsid w:val="0C403AD5"/>
    <w:rsid w:val="0C9219C5"/>
    <w:rsid w:val="0D564879"/>
    <w:rsid w:val="0DA47D15"/>
    <w:rsid w:val="0DE33BF7"/>
    <w:rsid w:val="0E263BEA"/>
    <w:rsid w:val="0F140CE0"/>
    <w:rsid w:val="10470B30"/>
    <w:rsid w:val="10BD4308"/>
    <w:rsid w:val="11022E59"/>
    <w:rsid w:val="1121250B"/>
    <w:rsid w:val="11375761"/>
    <w:rsid w:val="11480FB6"/>
    <w:rsid w:val="11DD711B"/>
    <w:rsid w:val="121C3157"/>
    <w:rsid w:val="12300A93"/>
    <w:rsid w:val="12940854"/>
    <w:rsid w:val="145A1168"/>
    <w:rsid w:val="14F4620E"/>
    <w:rsid w:val="16A51C16"/>
    <w:rsid w:val="16AD4AEE"/>
    <w:rsid w:val="17163A31"/>
    <w:rsid w:val="17701A51"/>
    <w:rsid w:val="17C80371"/>
    <w:rsid w:val="17CB684F"/>
    <w:rsid w:val="18023A98"/>
    <w:rsid w:val="18026B1E"/>
    <w:rsid w:val="183C04DB"/>
    <w:rsid w:val="187263D1"/>
    <w:rsid w:val="18E716D7"/>
    <w:rsid w:val="19077B0D"/>
    <w:rsid w:val="193C03E4"/>
    <w:rsid w:val="19900391"/>
    <w:rsid w:val="19BB5CAF"/>
    <w:rsid w:val="19C333A0"/>
    <w:rsid w:val="1ADC68EE"/>
    <w:rsid w:val="1AE13D6E"/>
    <w:rsid w:val="1B3F0CFF"/>
    <w:rsid w:val="1B900785"/>
    <w:rsid w:val="1BB53CE4"/>
    <w:rsid w:val="1BBD0E82"/>
    <w:rsid w:val="1C0179AA"/>
    <w:rsid w:val="1CF247EB"/>
    <w:rsid w:val="1D07416A"/>
    <w:rsid w:val="1D605C60"/>
    <w:rsid w:val="1D8316F5"/>
    <w:rsid w:val="1D9478FC"/>
    <w:rsid w:val="1E3B3D7D"/>
    <w:rsid w:val="1E430660"/>
    <w:rsid w:val="1E681671"/>
    <w:rsid w:val="1E713857"/>
    <w:rsid w:val="1F035DA6"/>
    <w:rsid w:val="1F2605BE"/>
    <w:rsid w:val="1F637203"/>
    <w:rsid w:val="1FA672D2"/>
    <w:rsid w:val="1FB22AD8"/>
    <w:rsid w:val="1FE462BA"/>
    <w:rsid w:val="20C97716"/>
    <w:rsid w:val="2113191F"/>
    <w:rsid w:val="21352FFF"/>
    <w:rsid w:val="21C439C5"/>
    <w:rsid w:val="21CA2A08"/>
    <w:rsid w:val="224C12CC"/>
    <w:rsid w:val="22BA7C83"/>
    <w:rsid w:val="23CA1F4B"/>
    <w:rsid w:val="24995E59"/>
    <w:rsid w:val="24A47B7F"/>
    <w:rsid w:val="25531C8E"/>
    <w:rsid w:val="25EC46F9"/>
    <w:rsid w:val="26077C53"/>
    <w:rsid w:val="26CA56FC"/>
    <w:rsid w:val="26DE1018"/>
    <w:rsid w:val="27474F1A"/>
    <w:rsid w:val="2758287F"/>
    <w:rsid w:val="28081174"/>
    <w:rsid w:val="290300C3"/>
    <w:rsid w:val="29327CE0"/>
    <w:rsid w:val="29425B68"/>
    <w:rsid w:val="296A5517"/>
    <w:rsid w:val="29997182"/>
    <w:rsid w:val="2AF02F45"/>
    <w:rsid w:val="2AF34E2A"/>
    <w:rsid w:val="2B0B68D7"/>
    <w:rsid w:val="2B68796D"/>
    <w:rsid w:val="2BB72320"/>
    <w:rsid w:val="2BF92FA1"/>
    <w:rsid w:val="2C37141A"/>
    <w:rsid w:val="2D040005"/>
    <w:rsid w:val="2D386CA8"/>
    <w:rsid w:val="2E8F0849"/>
    <w:rsid w:val="2F1C3E47"/>
    <w:rsid w:val="302C79CA"/>
    <w:rsid w:val="304D11B9"/>
    <w:rsid w:val="30A4149E"/>
    <w:rsid w:val="30B67D70"/>
    <w:rsid w:val="30D24340"/>
    <w:rsid w:val="318B0F9D"/>
    <w:rsid w:val="31F75848"/>
    <w:rsid w:val="326963EC"/>
    <w:rsid w:val="32B63EEB"/>
    <w:rsid w:val="34170109"/>
    <w:rsid w:val="346972C7"/>
    <w:rsid w:val="34933D02"/>
    <w:rsid w:val="34FF014A"/>
    <w:rsid w:val="35200D3E"/>
    <w:rsid w:val="352E4078"/>
    <w:rsid w:val="35666584"/>
    <w:rsid w:val="369418AF"/>
    <w:rsid w:val="36AF4EB1"/>
    <w:rsid w:val="36D03C9B"/>
    <w:rsid w:val="37C17446"/>
    <w:rsid w:val="38173065"/>
    <w:rsid w:val="381B2878"/>
    <w:rsid w:val="38372C6F"/>
    <w:rsid w:val="383E34AE"/>
    <w:rsid w:val="39836156"/>
    <w:rsid w:val="39EB2E59"/>
    <w:rsid w:val="3A5A6F50"/>
    <w:rsid w:val="3B13464F"/>
    <w:rsid w:val="3BD01B37"/>
    <w:rsid w:val="3C3D13C7"/>
    <w:rsid w:val="3D014C75"/>
    <w:rsid w:val="3D324146"/>
    <w:rsid w:val="3D546A7C"/>
    <w:rsid w:val="3DEE77B6"/>
    <w:rsid w:val="3E4514E6"/>
    <w:rsid w:val="3E870702"/>
    <w:rsid w:val="3EDF5787"/>
    <w:rsid w:val="3F041F85"/>
    <w:rsid w:val="3FA0453E"/>
    <w:rsid w:val="40037758"/>
    <w:rsid w:val="40896D0A"/>
    <w:rsid w:val="40E674BD"/>
    <w:rsid w:val="40F375A8"/>
    <w:rsid w:val="40F96BA1"/>
    <w:rsid w:val="41265B7C"/>
    <w:rsid w:val="41BC36A1"/>
    <w:rsid w:val="41C505E8"/>
    <w:rsid w:val="41F5555A"/>
    <w:rsid w:val="425E39C8"/>
    <w:rsid w:val="42EE0EB9"/>
    <w:rsid w:val="430D6A98"/>
    <w:rsid w:val="432B2918"/>
    <w:rsid w:val="432B4EBC"/>
    <w:rsid w:val="434616BC"/>
    <w:rsid w:val="43832400"/>
    <w:rsid w:val="43D27EC2"/>
    <w:rsid w:val="443B7A74"/>
    <w:rsid w:val="44A34F00"/>
    <w:rsid w:val="44B24F35"/>
    <w:rsid w:val="45787946"/>
    <w:rsid w:val="46AC6C8E"/>
    <w:rsid w:val="46BA2461"/>
    <w:rsid w:val="47542B74"/>
    <w:rsid w:val="477A2C0C"/>
    <w:rsid w:val="47AB3115"/>
    <w:rsid w:val="49587CE4"/>
    <w:rsid w:val="49914E50"/>
    <w:rsid w:val="49DF0D6A"/>
    <w:rsid w:val="4A3C1D1C"/>
    <w:rsid w:val="4A4A7C00"/>
    <w:rsid w:val="4B037BC6"/>
    <w:rsid w:val="4B237D96"/>
    <w:rsid w:val="4B502C52"/>
    <w:rsid w:val="4B5A6FF3"/>
    <w:rsid w:val="4B71065B"/>
    <w:rsid w:val="4B742E19"/>
    <w:rsid w:val="4BCD0235"/>
    <w:rsid w:val="4C305E0E"/>
    <w:rsid w:val="4D1D1A1F"/>
    <w:rsid w:val="4D337382"/>
    <w:rsid w:val="4D5A1E5B"/>
    <w:rsid w:val="4D7B2466"/>
    <w:rsid w:val="4E303B9E"/>
    <w:rsid w:val="4E3D244C"/>
    <w:rsid w:val="4F2D0250"/>
    <w:rsid w:val="501A4777"/>
    <w:rsid w:val="508B4198"/>
    <w:rsid w:val="51005A5F"/>
    <w:rsid w:val="518B18D9"/>
    <w:rsid w:val="522824C9"/>
    <w:rsid w:val="52C45FF7"/>
    <w:rsid w:val="536F4CBE"/>
    <w:rsid w:val="541D41B8"/>
    <w:rsid w:val="54227F59"/>
    <w:rsid w:val="54352CB4"/>
    <w:rsid w:val="543D5CCA"/>
    <w:rsid w:val="54433A85"/>
    <w:rsid w:val="55EE03CB"/>
    <w:rsid w:val="55F66525"/>
    <w:rsid w:val="56214D3F"/>
    <w:rsid w:val="567D5149"/>
    <w:rsid w:val="571170A2"/>
    <w:rsid w:val="57A57F16"/>
    <w:rsid w:val="57C15830"/>
    <w:rsid w:val="57D52434"/>
    <w:rsid w:val="586F4D67"/>
    <w:rsid w:val="58F87637"/>
    <w:rsid w:val="592F661D"/>
    <w:rsid w:val="59635A1F"/>
    <w:rsid w:val="596D7460"/>
    <w:rsid w:val="59B70E09"/>
    <w:rsid w:val="5AB7090A"/>
    <w:rsid w:val="5ADA4AD8"/>
    <w:rsid w:val="5BDD211E"/>
    <w:rsid w:val="5C6C452E"/>
    <w:rsid w:val="5C902C55"/>
    <w:rsid w:val="5C914F85"/>
    <w:rsid w:val="5CDC0D6C"/>
    <w:rsid w:val="5CF64EAB"/>
    <w:rsid w:val="5DB2549B"/>
    <w:rsid w:val="5E097092"/>
    <w:rsid w:val="5E703076"/>
    <w:rsid w:val="5F25221D"/>
    <w:rsid w:val="5F5B60B1"/>
    <w:rsid w:val="60FE2AE2"/>
    <w:rsid w:val="60FF589D"/>
    <w:rsid w:val="616447C8"/>
    <w:rsid w:val="61702215"/>
    <w:rsid w:val="61FB44C5"/>
    <w:rsid w:val="62360395"/>
    <w:rsid w:val="626333BF"/>
    <w:rsid w:val="6274582B"/>
    <w:rsid w:val="62961D4A"/>
    <w:rsid w:val="62D060AF"/>
    <w:rsid w:val="63040AF7"/>
    <w:rsid w:val="635255F5"/>
    <w:rsid w:val="63677F3A"/>
    <w:rsid w:val="63EA1225"/>
    <w:rsid w:val="64153453"/>
    <w:rsid w:val="65EA4F29"/>
    <w:rsid w:val="66BD06BC"/>
    <w:rsid w:val="67274EA1"/>
    <w:rsid w:val="677D5D21"/>
    <w:rsid w:val="68761FE1"/>
    <w:rsid w:val="688E6A0E"/>
    <w:rsid w:val="68CA0890"/>
    <w:rsid w:val="68D1464D"/>
    <w:rsid w:val="68F71C1C"/>
    <w:rsid w:val="69000205"/>
    <w:rsid w:val="697F29CB"/>
    <w:rsid w:val="69B22068"/>
    <w:rsid w:val="69D84824"/>
    <w:rsid w:val="6A1846D8"/>
    <w:rsid w:val="6B1E1B26"/>
    <w:rsid w:val="6BD16C19"/>
    <w:rsid w:val="6CC664D5"/>
    <w:rsid w:val="6D1954C9"/>
    <w:rsid w:val="6D1B2FEC"/>
    <w:rsid w:val="6DD77F1D"/>
    <w:rsid w:val="6E461E32"/>
    <w:rsid w:val="6E541191"/>
    <w:rsid w:val="6EBD04AB"/>
    <w:rsid w:val="6F4F4822"/>
    <w:rsid w:val="6F61531D"/>
    <w:rsid w:val="6F6711A5"/>
    <w:rsid w:val="6FA03C76"/>
    <w:rsid w:val="6FAA0B9F"/>
    <w:rsid w:val="6FCD1169"/>
    <w:rsid w:val="6FD34956"/>
    <w:rsid w:val="708D0007"/>
    <w:rsid w:val="712A518E"/>
    <w:rsid w:val="721B49BD"/>
    <w:rsid w:val="72B8066E"/>
    <w:rsid w:val="72C47A86"/>
    <w:rsid w:val="72E133AD"/>
    <w:rsid w:val="73332873"/>
    <w:rsid w:val="73A8641A"/>
    <w:rsid w:val="73E01D95"/>
    <w:rsid w:val="74121B07"/>
    <w:rsid w:val="74E20D9A"/>
    <w:rsid w:val="757C36D1"/>
    <w:rsid w:val="758C7C2E"/>
    <w:rsid w:val="75CE1932"/>
    <w:rsid w:val="76663EE2"/>
    <w:rsid w:val="76733F4F"/>
    <w:rsid w:val="76C84476"/>
    <w:rsid w:val="782E7C67"/>
    <w:rsid w:val="78B34B59"/>
    <w:rsid w:val="79063BDE"/>
    <w:rsid w:val="79336878"/>
    <w:rsid w:val="794C097E"/>
    <w:rsid w:val="795B1D53"/>
    <w:rsid w:val="799E31AD"/>
    <w:rsid w:val="79A506C8"/>
    <w:rsid w:val="7A054007"/>
    <w:rsid w:val="7A35281E"/>
    <w:rsid w:val="7A4B5D97"/>
    <w:rsid w:val="7A9320D6"/>
    <w:rsid w:val="7B3F6C42"/>
    <w:rsid w:val="7C934C25"/>
    <w:rsid w:val="7CFB2948"/>
    <w:rsid w:val="7DA913FB"/>
    <w:rsid w:val="7E360629"/>
    <w:rsid w:val="7EA27B68"/>
    <w:rsid w:val="7ECF34E5"/>
    <w:rsid w:val="7ED96AE1"/>
    <w:rsid w:val="7EE10AE4"/>
    <w:rsid w:val="7EEC6DB5"/>
    <w:rsid w:val="7F2333B7"/>
    <w:rsid w:val="7F855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4"/>
    <w:qFormat/>
    <w:uiPriority w:val="0"/>
    <w:pPr>
      <w:jc w:val="left"/>
      <w:textAlignment w:val="center"/>
      <w:outlineLvl w:val="1"/>
    </w:pPr>
    <w:rPr>
      <w:rFonts w:ascii="Arial" w:hAnsi="Arial" w:eastAsia="黑体"/>
      <w:b/>
      <w:bCs/>
      <w:color w:val="000000"/>
      <w:kern w:val="0"/>
      <w:sz w:val="36"/>
      <w:szCs w:val="32"/>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1"/>
    <w:link w:val="56"/>
    <w:qFormat/>
    <w:uiPriority w:val="0"/>
    <w:pPr>
      <w:outlineLvl w:val="3"/>
    </w:pPr>
    <w:rPr>
      <w:rFonts w:ascii="Arial" w:hAnsi="Arial" w:eastAsia="黑体"/>
      <w:b/>
      <w:bCs/>
      <w:color w:val="0000FF"/>
      <w:kern w:val="0"/>
      <w:sz w:val="24"/>
      <w:szCs w:val="24"/>
    </w:rPr>
  </w:style>
  <w:style w:type="paragraph" w:styleId="7">
    <w:name w:val="heading 5"/>
    <w:basedOn w:val="1"/>
    <w:next w:val="1"/>
    <w:link w:val="57"/>
    <w:qFormat/>
    <w:uiPriority w:val="0"/>
    <w:pPr>
      <w:outlineLvl w:val="4"/>
    </w:pPr>
    <w:rPr>
      <w:rFonts w:eastAsia="华文中宋"/>
      <w:b/>
      <w:bCs/>
      <w:color w:val="800000"/>
      <w:kern w:val="0"/>
      <w:sz w:val="24"/>
      <w:szCs w:val="24"/>
    </w:rPr>
  </w:style>
  <w:style w:type="paragraph" w:styleId="8">
    <w:name w:val="heading 6"/>
    <w:basedOn w:val="1"/>
    <w:next w:val="1"/>
    <w:link w:val="58"/>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0"/>
    <w:link w:val="59"/>
    <w:qFormat/>
    <w:uiPriority w:val="0"/>
    <w:pPr>
      <w:spacing w:line="300" w:lineRule="auto"/>
      <w:ind w:left="567" w:hanging="567"/>
      <w:textAlignment w:val="center"/>
      <w:outlineLvl w:val="6"/>
    </w:pPr>
    <w:rPr>
      <w:rFonts w:eastAsia="华文中宋"/>
      <w:bCs/>
      <w:kern w:val="0"/>
      <w:sz w:val="24"/>
      <w:szCs w:val="24"/>
    </w:rPr>
  </w:style>
  <w:style w:type="paragraph" w:styleId="10">
    <w:name w:val="heading 8"/>
    <w:basedOn w:val="1"/>
    <w:next w:val="1"/>
    <w:link w:val="60"/>
    <w:qFormat/>
    <w:uiPriority w:val="0"/>
    <w:pPr>
      <w:ind w:left="369" w:hanging="369"/>
      <w:outlineLvl w:val="7"/>
    </w:pPr>
    <w:rPr>
      <w:rFonts w:eastAsia="华文中宋"/>
      <w:kern w:val="0"/>
      <w:sz w:val="24"/>
      <w:szCs w:val="24"/>
    </w:rPr>
  </w:style>
  <w:style w:type="paragraph" w:styleId="11">
    <w:name w:val="heading 9"/>
    <w:basedOn w:val="1"/>
    <w:next w:val="1"/>
    <w:link w:val="6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2">
    <w:name w:val="toc 7"/>
    <w:basedOn w:val="1"/>
    <w:next w:val="1"/>
    <w:qFormat/>
    <w:uiPriority w:val="39"/>
    <w:pPr>
      <w:ind w:left="1200" w:leftChars="1200"/>
    </w:pPr>
  </w:style>
  <w:style w:type="paragraph" w:styleId="13">
    <w:name w:val="Normal Indent"/>
    <w:basedOn w:val="1"/>
    <w:link w:val="62"/>
    <w:qFormat/>
    <w:uiPriority w:val="0"/>
    <w:pPr>
      <w:ind w:firstLine="420"/>
    </w:pPr>
  </w:style>
  <w:style w:type="paragraph" w:styleId="14">
    <w:name w:val="Document Map"/>
    <w:basedOn w:val="1"/>
    <w:link w:val="63"/>
    <w:unhideWhenUsed/>
    <w:qFormat/>
    <w:uiPriority w:val="0"/>
    <w:pPr>
      <w:widowControl/>
      <w:jc w:val="left"/>
    </w:pPr>
    <w:rPr>
      <w:rFonts w:ascii="宋体"/>
      <w:kern w:val="0"/>
      <w:sz w:val="18"/>
      <w:szCs w:val="18"/>
    </w:rPr>
  </w:style>
  <w:style w:type="paragraph" w:styleId="15">
    <w:name w:val="annotation text"/>
    <w:basedOn w:val="1"/>
    <w:link w:val="64"/>
    <w:unhideWhenUsed/>
    <w:qFormat/>
    <w:uiPriority w:val="99"/>
    <w:pPr>
      <w:jc w:val="left"/>
    </w:pPr>
  </w:style>
  <w:style w:type="paragraph" w:styleId="16">
    <w:name w:val="Body Text 3"/>
    <w:basedOn w:val="1"/>
    <w:link w:val="65"/>
    <w:qFormat/>
    <w:uiPriority w:val="0"/>
    <w:pPr>
      <w:spacing w:after="120"/>
    </w:pPr>
    <w:rPr>
      <w:rFonts w:eastAsia="楷体_GB2312"/>
      <w:kern w:val="0"/>
      <w:sz w:val="16"/>
      <w:szCs w:val="16"/>
    </w:rPr>
  </w:style>
  <w:style w:type="paragraph" w:styleId="17">
    <w:name w:val="Body Text"/>
    <w:basedOn w:val="1"/>
    <w:next w:val="1"/>
    <w:link w:val="51"/>
    <w:unhideWhenUsed/>
    <w:qFormat/>
    <w:uiPriority w:val="99"/>
    <w:pPr>
      <w:spacing w:after="120"/>
    </w:pPr>
  </w:style>
  <w:style w:type="paragraph" w:styleId="18">
    <w:name w:val="Body Text Indent"/>
    <w:basedOn w:val="1"/>
    <w:next w:val="19"/>
    <w:link w:val="66"/>
    <w:qFormat/>
    <w:uiPriority w:val="0"/>
    <w:pPr>
      <w:spacing w:after="120"/>
      <w:ind w:left="420" w:leftChars="200"/>
    </w:pPr>
    <w:rPr>
      <w:kern w:val="0"/>
      <w:sz w:val="20"/>
      <w:szCs w:val="20"/>
    </w:rPr>
  </w:style>
  <w:style w:type="paragraph" w:styleId="19">
    <w:name w:val="envelope return"/>
    <w:basedOn w:val="1"/>
    <w:qFormat/>
    <w:uiPriority w:val="0"/>
    <w:pPr>
      <w:snapToGrid w:val="0"/>
    </w:pPr>
    <w:rPr>
      <w:rFonts w:ascii="Arial" w:hAnsi="Arial"/>
      <w:szCs w:val="24"/>
    </w:r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link w:val="67"/>
    <w:qFormat/>
    <w:uiPriority w:val="0"/>
    <w:rPr>
      <w:rFonts w:ascii="宋体"/>
      <w:kern w:val="0"/>
      <w:sz w:val="20"/>
      <w:szCs w:val="20"/>
    </w:rPr>
  </w:style>
  <w:style w:type="paragraph" w:styleId="23">
    <w:name w:val="toc 8"/>
    <w:basedOn w:val="1"/>
    <w:next w:val="1"/>
    <w:qFormat/>
    <w:uiPriority w:val="39"/>
    <w:pPr>
      <w:ind w:left="1400" w:leftChars="1400"/>
    </w:pPr>
  </w:style>
  <w:style w:type="paragraph" w:styleId="24">
    <w:name w:val="Date"/>
    <w:basedOn w:val="1"/>
    <w:next w:val="1"/>
    <w:link w:val="68"/>
    <w:qFormat/>
    <w:uiPriority w:val="0"/>
    <w:pPr>
      <w:ind w:left="2500" w:leftChars="2500"/>
    </w:pPr>
    <w:rPr>
      <w:kern w:val="0"/>
      <w:sz w:val="20"/>
      <w:szCs w:val="20"/>
    </w:rPr>
  </w:style>
  <w:style w:type="paragraph" w:styleId="25">
    <w:name w:val="Body Text Indent 2"/>
    <w:basedOn w:val="1"/>
    <w:link w:val="69"/>
    <w:unhideWhenUsed/>
    <w:qFormat/>
    <w:uiPriority w:val="99"/>
    <w:pPr>
      <w:spacing w:after="120" w:line="480" w:lineRule="auto"/>
      <w:ind w:left="420" w:leftChars="200"/>
    </w:pPr>
  </w:style>
  <w:style w:type="paragraph" w:styleId="26">
    <w:name w:val="Balloon Text"/>
    <w:basedOn w:val="1"/>
    <w:link w:val="70"/>
    <w:unhideWhenUsed/>
    <w:qFormat/>
    <w:uiPriority w:val="0"/>
    <w:rPr>
      <w:sz w:val="18"/>
      <w:szCs w:val="18"/>
    </w:rPr>
  </w:style>
  <w:style w:type="paragraph" w:styleId="27">
    <w:name w:val="footer"/>
    <w:basedOn w:val="1"/>
    <w:link w:val="71"/>
    <w:unhideWhenUsed/>
    <w:qFormat/>
    <w:uiPriority w:val="99"/>
    <w:pPr>
      <w:tabs>
        <w:tab w:val="center" w:pos="4153"/>
        <w:tab w:val="right" w:pos="8306"/>
      </w:tabs>
      <w:snapToGrid w:val="0"/>
      <w:jc w:val="left"/>
    </w:pPr>
    <w:rPr>
      <w:kern w:val="0"/>
      <w:sz w:val="18"/>
      <w:szCs w:val="18"/>
    </w:rPr>
  </w:style>
  <w:style w:type="paragraph" w:styleId="28">
    <w:name w:val="header"/>
    <w:basedOn w:val="1"/>
    <w:link w:val="7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style>
  <w:style w:type="paragraph" w:styleId="30">
    <w:name w:val="toc 4"/>
    <w:basedOn w:val="1"/>
    <w:next w:val="1"/>
    <w:qFormat/>
    <w:uiPriority w:val="39"/>
    <w:pPr>
      <w:ind w:left="600" w:leftChars="600"/>
    </w:pPr>
  </w:style>
  <w:style w:type="paragraph" w:styleId="31">
    <w:name w:val="toc 6"/>
    <w:basedOn w:val="1"/>
    <w:next w:val="1"/>
    <w:qFormat/>
    <w:uiPriority w:val="39"/>
    <w:pPr>
      <w:ind w:left="1000" w:leftChars="1000"/>
    </w:pPr>
  </w:style>
  <w:style w:type="paragraph" w:styleId="32">
    <w:name w:val="Body Text Indent 3"/>
    <w:basedOn w:val="1"/>
    <w:link w:val="73"/>
    <w:qFormat/>
    <w:uiPriority w:val="0"/>
    <w:pPr>
      <w:spacing w:after="120"/>
      <w:ind w:left="200" w:leftChars="200"/>
    </w:pPr>
    <w:rPr>
      <w:kern w:val="0"/>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Body Text 2"/>
    <w:basedOn w:val="1"/>
    <w:link w:val="74"/>
    <w:qFormat/>
    <w:uiPriority w:val="0"/>
    <w:rPr>
      <w:rFonts w:ascii="宋体" w:hAnsi="宋体"/>
      <w:kern w:val="0"/>
      <w:sz w:val="20"/>
      <w:szCs w:val="24"/>
      <w:u w:val="single"/>
    </w:rPr>
  </w:style>
  <w:style w:type="paragraph" w:styleId="36">
    <w:name w:val="Normal (Web)"/>
    <w:basedOn w:val="1"/>
    <w:qFormat/>
    <w:uiPriority w:val="0"/>
    <w:pPr>
      <w:widowControl/>
      <w:spacing w:before="100" w:beforeAutospacing="1" w:after="100" w:afterAutospacing="1"/>
      <w:jc w:val="left"/>
    </w:pPr>
    <w:rPr>
      <w:rFonts w:ascii="宋体" w:hAnsi="宋体" w:cs="Calibri"/>
      <w:kern w:val="0"/>
      <w:sz w:val="24"/>
      <w:szCs w:val="24"/>
    </w:rPr>
  </w:style>
  <w:style w:type="paragraph" w:styleId="37">
    <w:name w:val="index 1"/>
    <w:basedOn w:val="1"/>
    <w:next w:val="1"/>
    <w:qFormat/>
    <w:uiPriority w:val="0"/>
    <w:pPr>
      <w:spacing w:line="220" w:lineRule="exact"/>
      <w:jc w:val="center"/>
    </w:pPr>
    <w:rPr>
      <w:rFonts w:ascii="仿宋_GB2312" w:eastAsia="仿宋_GB2312"/>
      <w:szCs w:val="21"/>
    </w:rPr>
  </w:style>
  <w:style w:type="paragraph" w:styleId="38">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76"/>
    <w:unhideWhenUsed/>
    <w:qFormat/>
    <w:uiPriority w:val="0"/>
    <w:pPr>
      <w:widowControl/>
    </w:pPr>
    <w:rPr>
      <w:b/>
      <w:bCs/>
      <w:kern w:val="0"/>
      <w:sz w:val="20"/>
      <w:szCs w:val="20"/>
    </w:rPr>
  </w:style>
  <w:style w:type="paragraph" w:styleId="40">
    <w:name w:val="Body Text First Indent"/>
    <w:basedOn w:val="17"/>
    <w:link w:val="52"/>
    <w:qFormat/>
    <w:uiPriority w:val="0"/>
    <w:pPr>
      <w:spacing w:line="312" w:lineRule="auto"/>
      <w:ind w:firstLine="420"/>
    </w:pPr>
    <w:rPr>
      <w:kern w:val="0"/>
      <w:sz w:val="20"/>
      <w:szCs w:val="24"/>
    </w:rPr>
  </w:style>
  <w:style w:type="paragraph" w:styleId="41">
    <w:name w:val="Body Text First Indent 2"/>
    <w:basedOn w:val="18"/>
    <w:unhideWhenUsed/>
    <w:qFormat/>
    <w:uiPriority w:val="99"/>
    <w:pPr>
      <w:ind w:firstLine="420" w:firstLineChars="200"/>
    </w:p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unhideWhenUsed/>
    <w:qFormat/>
    <w:uiPriority w:val="99"/>
    <w:rPr>
      <w:color w:val="800080"/>
      <w:u w:val="single"/>
    </w:rPr>
  </w:style>
  <w:style w:type="character" w:styleId="48">
    <w:name w:val="Hyperlink"/>
    <w:qFormat/>
    <w:uiPriority w:val="99"/>
    <w:rPr>
      <w:color w:val="0000FF"/>
      <w:u w:val="single"/>
    </w:rPr>
  </w:style>
  <w:style w:type="character" w:styleId="49">
    <w:name w:val="annotation reference"/>
    <w:unhideWhenUsed/>
    <w:qFormat/>
    <w:uiPriority w:val="99"/>
    <w:rPr>
      <w:sz w:val="21"/>
      <w:szCs w:val="21"/>
    </w:rPr>
  </w:style>
  <w:style w:type="character" w:styleId="50">
    <w:name w:val="footnote reference"/>
    <w:qFormat/>
    <w:uiPriority w:val="0"/>
    <w:rPr>
      <w:vertAlign w:val="superscript"/>
    </w:rPr>
  </w:style>
  <w:style w:type="character" w:customStyle="1" w:styleId="51">
    <w:name w:val="正文文本 Char5"/>
    <w:link w:val="17"/>
    <w:qFormat/>
    <w:uiPriority w:val="99"/>
    <w:rPr>
      <w:rFonts w:ascii="Times New Roman" w:hAnsi="Times New Roman"/>
      <w:kern w:val="2"/>
      <w:sz w:val="21"/>
      <w:szCs w:val="22"/>
    </w:rPr>
  </w:style>
  <w:style w:type="character" w:customStyle="1" w:styleId="52">
    <w:name w:val="正文首行缩进 Char"/>
    <w:link w:val="40"/>
    <w:qFormat/>
    <w:uiPriority w:val="0"/>
    <w:rPr>
      <w:szCs w:val="24"/>
    </w:rPr>
  </w:style>
  <w:style w:type="character" w:customStyle="1" w:styleId="53">
    <w:name w:val="标题 1 Char"/>
    <w:link w:val="3"/>
    <w:qFormat/>
    <w:uiPriority w:val="0"/>
    <w:rPr>
      <w:rFonts w:ascii="Times New Roman" w:hAnsi="Times New Roman"/>
      <w:b/>
      <w:bCs/>
      <w:kern w:val="44"/>
      <w:sz w:val="44"/>
      <w:szCs w:val="44"/>
    </w:rPr>
  </w:style>
  <w:style w:type="character" w:customStyle="1" w:styleId="54">
    <w:name w:val="标题 2 Char"/>
    <w:link w:val="4"/>
    <w:qFormat/>
    <w:uiPriority w:val="0"/>
    <w:rPr>
      <w:rFonts w:ascii="Arial" w:hAnsi="Arial" w:eastAsia="黑体"/>
      <w:b/>
      <w:bCs/>
      <w:color w:val="000000"/>
      <w:sz w:val="36"/>
      <w:szCs w:val="32"/>
    </w:rPr>
  </w:style>
  <w:style w:type="character" w:customStyle="1" w:styleId="55">
    <w:name w:val="标题 3 Char"/>
    <w:link w:val="5"/>
    <w:qFormat/>
    <w:uiPriority w:val="0"/>
    <w:rPr>
      <w:rFonts w:ascii="Times New Roman" w:hAnsi="Times New Roman"/>
      <w:b/>
      <w:bCs/>
      <w:kern w:val="2"/>
      <w:sz w:val="32"/>
      <w:szCs w:val="32"/>
    </w:rPr>
  </w:style>
  <w:style w:type="character" w:customStyle="1" w:styleId="56">
    <w:name w:val="标题 4 Char"/>
    <w:link w:val="6"/>
    <w:qFormat/>
    <w:uiPriority w:val="0"/>
    <w:rPr>
      <w:rFonts w:ascii="Arial" w:hAnsi="Arial" w:eastAsia="黑体"/>
      <w:b/>
      <w:bCs/>
      <w:color w:val="0000FF"/>
      <w:sz w:val="24"/>
      <w:szCs w:val="24"/>
    </w:rPr>
  </w:style>
  <w:style w:type="character" w:customStyle="1" w:styleId="57">
    <w:name w:val="标题 5 Char"/>
    <w:link w:val="7"/>
    <w:qFormat/>
    <w:uiPriority w:val="0"/>
    <w:rPr>
      <w:rFonts w:ascii="Times New Roman" w:hAnsi="Times New Roman" w:eastAsia="华文中宋"/>
      <w:b/>
      <w:bCs/>
      <w:color w:val="800000"/>
      <w:sz w:val="24"/>
      <w:szCs w:val="24"/>
    </w:rPr>
  </w:style>
  <w:style w:type="character" w:customStyle="1" w:styleId="58">
    <w:name w:val="标题 6 Char"/>
    <w:link w:val="8"/>
    <w:qFormat/>
    <w:uiPriority w:val="9"/>
    <w:rPr>
      <w:rFonts w:ascii="Arial" w:hAnsi="Arial" w:eastAsia="黑体"/>
      <w:b/>
      <w:bCs/>
      <w:sz w:val="24"/>
    </w:rPr>
  </w:style>
  <w:style w:type="character" w:customStyle="1" w:styleId="59">
    <w:name w:val="标题 7 Char"/>
    <w:link w:val="9"/>
    <w:qFormat/>
    <w:uiPriority w:val="0"/>
    <w:rPr>
      <w:rFonts w:ascii="Times New Roman" w:hAnsi="Times New Roman" w:eastAsia="华文中宋"/>
      <w:bCs/>
      <w:sz w:val="24"/>
      <w:szCs w:val="24"/>
    </w:rPr>
  </w:style>
  <w:style w:type="character" w:customStyle="1" w:styleId="60">
    <w:name w:val="标题 8 Char"/>
    <w:link w:val="10"/>
    <w:qFormat/>
    <w:uiPriority w:val="0"/>
    <w:rPr>
      <w:rFonts w:ascii="Times New Roman" w:hAnsi="Times New Roman" w:eastAsia="华文中宋"/>
      <w:sz w:val="24"/>
      <w:szCs w:val="24"/>
    </w:rPr>
  </w:style>
  <w:style w:type="character" w:customStyle="1" w:styleId="61">
    <w:name w:val="标题 9 Char"/>
    <w:link w:val="11"/>
    <w:qFormat/>
    <w:uiPriority w:val="0"/>
    <w:rPr>
      <w:rFonts w:ascii="Arial" w:hAnsi="Arial" w:eastAsia="黑体"/>
      <w:sz w:val="21"/>
      <w:szCs w:val="21"/>
    </w:rPr>
  </w:style>
  <w:style w:type="character" w:customStyle="1" w:styleId="62">
    <w:name w:val="正文缩进 Char"/>
    <w:link w:val="13"/>
    <w:qFormat/>
    <w:uiPriority w:val="0"/>
    <w:rPr>
      <w:rFonts w:ascii="Times New Roman" w:hAnsi="Times New Roman"/>
      <w:kern w:val="2"/>
      <w:sz w:val="21"/>
      <w:szCs w:val="22"/>
    </w:rPr>
  </w:style>
  <w:style w:type="character" w:customStyle="1" w:styleId="63">
    <w:name w:val="文档结构图 Char"/>
    <w:link w:val="14"/>
    <w:qFormat/>
    <w:uiPriority w:val="0"/>
    <w:rPr>
      <w:rFonts w:ascii="宋体"/>
      <w:sz w:val="18"/>
      <w:szCs w:val="18"/>
    </w:rPr>
  </w:style>
  <w:style w:type="character" w:customStyle="1" w:styleId="64">
    <w:name w:val="批注文字 Char6"/>
    <w:link w:val="15"/>
    <w:semiHidden/>
    <w:qFormat/>
    <w:uiPriority w:val="99"/>
    <w:rPr>
      <w:kern w:val="2"/>
      <w:sz w:val="21"/>
      <w:szCs w:val="22"/>
    </w:rPr>
  </w:style>
  <w:style w:type="character" w:customStyle="1" w:styleId="65">
    <w:name w:val="正文文本 3 Char"/>
    <w:link w:val="16"/>
    <w:qFormat/>
    <w:uiPriority w:val="0"/>
    <w:rPr>
      <w:rFonts w:eastAsia="楷体_GB2312"/>
      <w:sz w:val="16"/>
      <w:szCs w:val="16"/>
    </w:rPr>
  </w:style>
  <w:style w:type="character" w:customStyle="1" w:styleId="66">
    <w:name w:val="正文文本缩进 Char"/>
    <w:link w:val="18"/>
    <w:qFormat/>
    <w:uiPriority w:val="0"/>
  </w:style>
  <w:style w:type="character" w:customStyle="1" w:styleId="67">
    <w:name w:val="纯文本 Char"/>
    <w:link w:val="22"/>
    <w:qFormat/>
    <w:uiPriority w:val="0"/>
    <w:rPr>
      <w:rFonts w:ascii="宋体"/>
    </w:rPr>
  </w:style>
  <w:style w:type="character" w:customStyle="1" w:styleId="68">
    <w:name w:val="日期 Char"/>
    <w:link w:val="24"/>
    <w:qFormat/>
    <w:uiPriority w:val="0"/>
  </w:style>
  <w:style w:type="character" w:customStyle="1" w:styleId="69">
    <w:name w:val="正文文本缩进 2 Char"/>
    <w:link w:val="25"/>
    <w:semiHidden/>
    <w:qFormat/>
    <w:uiPriority w:val="99"/>
    <w:rPr>
      <w:kern w:val="2"/>
      <w:sz w:val="21"/>
      <w:szCs w:val="22"/>
    </w:rPr>
  </w:style>
  <w:style w:type="character" w:customStyle="1" w:styleId="70">
    <w:name w:val="批注框文本 Char"/>
    <w:link w:val="26"/>
    <w:qFormat/>
    <w:uiPriority w:val="0"/>
    <w:rPr>
      <w:rFonts w:ascii="Times New Roman" w:hAnsi="Times New Roman"/>
      <w:kern w:val="2"/>
      <w:sz w:val="18"/>
      <w:szCs w:val="18"/>
    </w:rPr>
  </w:style>
  <w:style w:type="character" w:customStyle="1" w:styleId="71">
    <w:name w:val="页脚 Char"/>
    <w:link w:val="27"/>
    <w:qFormat/>
    <w:uiPriority w:val="99"/>
    <w:rPr>
      <w:sz w:val="18"/>
      <w:szCs w:val="18"/>
    </w:rPr>
  </w:style>
  <w:style w:type="character" w:customStyle="1" w:styleId="72">
    <w:name w:val="页眉 Char"/>
    <w:link w:val="28"/>
    <w:qFormat/>
    <w:uiPriority w:val="0"/>
    <w:rPr>
      <w:sz w:val="18"/>
      <w:szCs w:val="18"/>
    </w:rPr>
  </w:style>
  <w:style w:type="character" w:customStyle="1" w:styleId="73">
    <w:name w:val="正文文本缩进 3 Char"/>
    <w:link w:val="32"/>
    <w:qFormat/>
    <w:uiPriority w:val="0"/>
    <w:rPr>
      <w:sz w:val="16"/>
      <w:szCs w:val="16"/>
    </w:rPr>
  </w:style>
  <w:style w:type="character" w:customStyle="1" w:styleId="74">
    <w:name w:val="正文文本 2 Char"/>
    <w:link w:val="35"/>
    <w:qFormat/>
    <w:uiPriority w:val="0"/>
    <w:rPr>
      <w:rFonts w:ascii="宋体" w:hAnsi="宋体"/>
      <w:szCs w:val="24"/>
      <w:u w:val="single"/>
    </w:rPr>
  </w:style>
  <w:style w:type="character" w:customStyle="1" w:styleId="75">
    <w:name w:val="标题 Char"/>
    <w:link w:val="38"/>
    <w:qFormat/>
    <w:uiPriority w:val="0"/>
    <w:rPr>
      <w:rFonts w:ascii="Arial" w:hAnsi="Arial"/>
      <w:b/>
      <w:sz w:val="32"/>
    </w:rPr>
  </w:style>
  <w:style w:type="character" w:customStyle="1" w:styleId="76">
    <w:name w:val="批注主题 Char"/>
    <w:link w:val="39"/>
    <w:qFormat/>
    <w:uiPriority w:val="0"/>
    <w:rPr>
      <w:b/>
      <w:bCs/>
    </w:rPr>
  </w:style>
  <w:style w:type="character" w:customStyle="1" w:styleId="77">
    <w:name w:val="font41"/>
    <w:qFormat/>
    <w:uiPriority w:val="0"/>
    <w:rPr>
      <w:rFonts w:hint="eastAsia" w:ascii="宋体" w:hAnsi="宋体" w:eastAsia="宋体" w:cs="宋体"/>
      <w:b/>
      <w:color w:val="D9D9D9"/>
      <w:sz w:val="28"/>
      <w:szCs w:val="28"/>
      <w:u w:val="none"/>
    </w:rPr>
  </w:style>
  <w:style w:type="character" w:customStyle="1" w:styleId="78">
    <w:name w:val="Char Char6"/>
    <w:qFormat/>
    <w:uiPriority w:val="0"/>
    <w:rPr>
      <w:rFonts w:ascii="Times New Roman" w:hAnsi="Times New Roman" w:eastAsia="楷体_GB2312" w:cs="Times New Roman"/>
      <w:b/>
      <w:bCs/>
      <w:kern w:val="2"/>
      <w:sz w:val="24"/>
      <w:szCs w:val="24"/>
    </w:rPr>
  </w:style>
  <w:style w:type="character" w:customStyle="1" w:styleId="79">
    <w:name w:val="正文首行缩进 Char4"/>
    <w:semiHidden/>
    <w:qFormat/>
    <w:uiPriority w:val="99"/>
  </w:style>
  <w:style w:type="character" w:customStyle="1" w:styleId="80">
    <w:name w:val="文档结构图 Char1"/>
    <w:semiHidden/>
    <w:qFormat/>
    <w:uiPriority w:val="99"/>
    <w:rPr>
      <w:rFonts w:ascii="宋体" w:hAnsi="Calibri"/>
      <w:sz w:val="18"/>
      <w:szCs w:val="18"/>
    </w:rPr>
  </w:style>
  <w:style w:type="character" w:customStyle="1" w:styleId="81">
    <w:name w:val="正文文本缩进 Char2"/>
    <w:semiHidden/>
    <w:qFormat/>
    <w:uiPriority w:val="99"/>
    <w:rPr>
      <w:kern w:val="2"/>
      <w:sz w:val="21"/>
      <w:szCs w:val="22"/>
    </w:rPr>
  </w:style>
  <w:style w:type="character" w:customStyle="1" w:styleId="82">
    <w:name w:val="批注框文本 Char3"/>
    <w:semiHidden/>
    <w:qFormat/>
    <w:uiPriority w:val="99"/>
    <w:rPr>
      <w:kern w:val="2"/>
      <w:sz w:val="18"/>
      <w:szCs w:val="18"/>
    </w:rPr>
  </w:style>
  <w:style w:type="character" w:customStyle="1" w:styleId="83">
    <w:name w:val="Char Char5"/>
    <w:qFormat/>
    <w:uiPriority w:val="0"/>
    <w:rPr>
      <w:rFonts w:ascii="Times New Roman" w:hAnsi="Times New Roman" w:eastAsia="长城仿宋" w:cs="Times New Roman"/>
      <w:sz w:val="18"/>
      <w:lang w:val="en-US" w:eastAsia="zh-CN" w:bidi="ar-SA"/>
    </w:rPr>
  </w:style>
  <w:style w:type="character" w:customStyle="1" w:styleId="84">
    <w:name w:val="批注文字 Char4"/>
    <w:semiHidden/>
    <w:qFormat/>
    <w:uiPriority w:val="99"/>
    <w:rPr>
      <w:rFonts w:ascii="Calibri" w:hAnsi="Calibri"/>
      <w:kern w:val="2"/>
      <w:sz w:val="21"/>
      <w:szCs w:val="22"/>
    </w:rPr>
  </w:style>
  <w:style w:type="character" w:customStyle="1" w:styleId="85">
    <w:name w:val="批注框文本 Char1"/>
    <w:semiHidden/>
    <w:qFormat/>
    <w:uiPriority w:val="99"/>
    <w:rPr>
      <w:rFonts w:ascii="Calibri" w:hAnsi="Calibri"/>
      <w:sz w:val="18"/>
      <w:szCs w:val="18"/>
    </w:rPr>
  </w:style>
  <w:style w:type="character" w:customStyle="1" w:styleId="86">
    <w:name w:val="正文文本缩进 Char1"/>
    <w:semiHidden/>
    <w:qFormat/>
    <w:uiPriority w:val="99"/>
    <w:rPr>
      <w:rFonts w:ascii="Calibri" w:hAnsi="Calibri"/>
      <w:sz w:val="21"/>
      <w:szCs w:val="22"/>
    </w:rPr>
  </w:style>
  <w:style w:type="character" w:customStyle="1" w:styleId="87">
    <w:name w:val="日期 Char3"/>
    <w:semiHidden/>
    <w:qFormat/>
    <w:uiPriority w:val="99"/>
    <w:rPr>
      <w:kern w:val="2"/>
      <w:sz w:val="21"/>
      <w:szCs w:val="22"/>
    </w:rPr>
  </w:style>
  <w:style w:type="character" w:customStyle="1" w:styleId="88">
    <w:name w:val="正文文本 3 Char4"/>
    <w:semiHidden/>
    <w:qFormat/>
    <w:uiPriority w:val="99"/>
    <w:rPr>
      <w:kern w:val="2"/>
      <w:sz w:val="16"/>
      <w:szCs w:val="16"/>
    </w:rPr>
  </w:style>
  <w:style w:type="character" w:customStyle="1" w:styleId="89">
    <w:name w:val="样式73 Char"/>
    <w:link w:val="90"/>
    <w:qFormat/>
    <w:uiPriority w:val="0"/>
    <w:rPr>
      <w:rFonts w:ascii="华文中宋" w:hAnsi="华文中宋" w:eastAsia="华文中宋"/>
      <w:sz w:val="28"/>
      <w:szCs w:val="28"/>
    </w:rPr>
  </w:style>
  <w:style w:type="paragraph" w:customStyle="1" w:styleId="90">
    <w:name w:val="样式73"/>
    <w:basedOn w:val="1"/>
    <w:link w:val="89"/>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91">
    <w:name w:val="日期 Char4"/>
    <w:semiHidden/>
    <w:qFormat/>
    <w:uiPriority w:val="99"/>
    <w:rPr>
      <w:kern w:val="2"/>
      <w:sz w:val="21"/>
      <w:szCs w:val="22"/>
    </w:rPr>
  </w:style>
  <w:style w:type="character" w:customStyle="1" w:styleId="92">
    <w:name w:val="正文首行缩进 Char3"/>
    <w:semiHidden/>
    <w:qFormat/>
    <w:uiPriority w:val="99"/>
  </w:style>
  <w:style w:type="character" w:customStyle="1" w:styleId="93">
    <w:name w:val="Char Char71"/>
    <w:qFormat/>
    <w:uiPriority w:val="0"/>
    <w:rPr>
      <w:rFonts w:ascii="Times New Roman" w:hAnsi="Times New Roman" w:eastAsia="宋体" w:cs="Times New Roman"/>
      <w:kern w:val="2"/>
      <w:sz w:val="21"/>
      <w:lang w:val="en-US" w:eastAsia="zh-CN" w:bidi="ar-SA"/>
    </w:rPr>
  </w:style>
  <w:style w:type="character" w:customStyle="1" w:styleId="94">
    <w:name w:val="批注主题 Char1"/>
    <w:semiHidden/>
    <w:qFormat/>
    <w:uiPriority w:val="99"/>
    <w:rPr>
      <w:rFonts w:ascii="Calibri" w:hAnsi="Calibri"/>
      <w:b/>
      <w:bCs/>
      <w:sz w:val="21"/>
      <w:szCs w:val="22"/>
    </w:rPr>
  </w:style>
  <w:style w:type="character" w:customStyle="1" w:styleId="95">
    <w:name w:val="批注主题 Char3"/>
    <w:semiHidden/>
    <w:qFormat/>
    <w:uiPriority w:val="99"/>
    <w:rPr>
      <w:b/>
      <w:bCs/>
      <w:kern w:val="2"/>
      <w:sz w:val="21"/>
      <w:szCs w:val="22"/>
    </w:rPr>
  </w:style>
  <w:style w:type="character" w:customStyle="1" w:styleId="96">
    <w:name w:val="标题 Char2"/>
    <w:qFormat/>
    <w:uiPriority w:val="10"/>
    <w:rPr>
      <w:rFonts w:ascii="Cambria" w:hAnsi="Cambria" w:eastAsia="宋体" w:cs="Times New Roman"/>
      <w:b/>
      <w:bCs/>
      <w:kern w:val="2"/>
      <w:sz w:val="32"/>
      <w:szCs w:val="32"/>
    </w:rPr>
  </w:style>
  <w:style w:type="character" w:customStyle="1" w:styleId="97">
    <w:name w:val="fontstyle01"/>
    <w:qFormat/>
    <w:uiPriority w:val="0"/>
    <w:rPr>
      <w:rFonts w:hint="eastAsia" w:ascii="宋体" w:hAnsi="宋体" w:eastAsia="宋体"/>
      <w:color w:val="000000"/>
      <w:sz w:val="22"/>
      <w:szCs w:val="22"/>
    </w:rPr>
  </w:style>
  <w:style w:type="character" w:customStyle="1" w:styleId="98">
    <w:name w:val="Char Char3"/>
    <w:qFormat/>
    <w:uiPriority w:val="0"/>
    <w:rPr>
      <w:rFonts w:ascii="Times New Roman" w:hAnsi="Times New Roman" w:eastAsia="宋体" w:cs="Times New Roman"/>
      <w:kern w:val="2"/>
      <w:sz w:val="18"/>
      <w:lang w:val="en-US" w:eastAsia="zh-CN" w:bidi="ar-SA"/>
    </w:rPr>
  </w:style>
  <w:style w:type="character" w:customStyle="1" w:styleId="99">
    <w:name w:val="正文文本 3 Char1"/>
    <w:semiHidden/>
    <w:qFormat/>
    <w:uiPriority w:val="99"/>
    <w:rPr>
      <w:rFonts w:ascii="Calibri" w:hAnsi="Calibri"/>
      <w:sz w:val="16"/>
      <w:szCs w:val="16"/>
    </w:rPr>
  </w:style>
  <w:style w:type="character" w:customStyle="1" w:styleId="100">
    <w:name w:val="批注文字 Char3"/>
    <w:qFormat/>
    <w:uiPriority w:val="99"/>
    <w:rPr>
      <w:rFonts w:ascii="Calibri" w:hAnsi="Calibri"/>
      <w:sz w:val="21"/>
      <w:szCs w:val="22"/>
    </w:rPr>
  </w:style>
  <w:style w:type="character" w:customStyle="1" w:styleId="101">
    <w:name w:val="正文文本缩进 Char3"/>
    <w:semiHidden/>
    <w:qFormat/>
    <w:uiPriority w:val="99"/>
    <w:rPr>
      <w:kern w:val="2"/>
      <w:sz w:val="21"/>
      <w:szCs w:val="22"/>
    </w:rPr>
  </w:style>
  <w:style w:type="character" w:customStyle="1" w:styleId="102">
    <w:name w:val="font71"/>
    <w:qFormat/>
    <w:uiPriority w:val="0"/>
    <w:rPr>
      <w:rFonts w:hint="eastAsia" w:ascii="宋体" w:hAnsi="宋体" w:eastAsia="宋体" w:cs="宋体"/>
      <w:color w:val="0070C0"/>
      <w:sz w:val="20"/>
      <w:szCs w:val="20"/>
      <w:u w:val="none"/>
    </w:rPr>
  </w:style>
  <w:style w:type="character" w:customStyle="1" w:styleId="103">
    <w:name w:val="页眉 字符"/>
    <w:qFormat/>
    <w:uiPriority w:val="0"/>
    <w:rPr>
      <w:rFonts w:ascii="Times New Roman" w:hAnsi="Times New Roman" w:eastAsia="楷体_GB2312" w:cs="Times New Roman"/>
      <w:kern w:val="2"/>
      <w:sz w:val="18"/>
      <w:szCs w:val="18"/>
    </w:rPr>
  </w:style>
  <w:style w:type="character" w:customStyle="1" w:styleId="104">
    <w:name w:val="标题 Char5"/>
    <w:qFormat/>
    <w:uiPriority w:val="10"/>
    <w:rPr>
      <w:rFonts w:ascii="Cambria" w:hAnsi="Cambria" w:cs="Times New Roman"/>
      <w:b/>
      <w:bCs/>
      <w:kern w:val="2"/>
      <w:sz w:val="32"/>
      <w:szCs w:val="32"/>
    </w:rPr>
  </w:style>
  <w:style w:type="character" w:customStyle="1" w:styleId="105">
    <w:name w:val="正文文本 Char"/>
    <w:qFormat/>
    <w:uiPriority w:val="99"/>
    <w:rPr>
      <w:rFonts w:ascii="Calibri" w:hAnsi="Calibri" w:eastAsia="宋体"/>
      <w:lang w:bidi="ar-SA"/>
    </w:rPr>
  </w:style>
  <w:style w:type="character" w:customStyle="1" w:styleId="106">
    <w:name w:val="批注文字 字符"/>
    <w:qFormat/>
    <w:uiPriority w:val="0"/>
    <w:rPr>
      <w:rFonts w:ascii="Times New Roman" w:hAnsi="Times New Roman" w:eastAsia="楷体_GB2312" w:cs="Times New Roman"/>
      <w:kern w:val="2"/>
      <w:sz w:val="21"/>
      <w:szCs w:val="24"/>
    </w:rPr>
  </w:style>
  <w:style w:type="character" w:customStyle="1" w:styleId="107">
    <w:name w:val="正文首行缩进 Char1"/>
    <w:qFormat/>
    <w:uiPriority w:val="99"/>
    <w:rPr>
      <w:rFonts w:eastAsia="宋体"/>
      <w:kern w:val="2"/>
      <w:sz w:val="21"/>
    </w:rPr>
  </w:style>
  <w:style w:type="character" w:customStyle="1" w:styleId="108">
    <w:name w:val="Char Char62"/>
    <w:qFormat/>
    <w:uiPriority w:val="0"/>
    <w:rPr>
      <w:rFonts w:ascii="Times New Roman" w:hAnsi="Times New Roman" w:eastAsia="楷体_GB2312" w:cs="Times New Roman"/>
      <w:b/>
      <w:bCs/>
      <w:kern w:val="2"/>
      <w:sz w:val="24"/>
      <w:szCs w:val="24"/>
    </w:rPr>
  </w:style>
  <w:style w:type="character" w:customStyle="1" w:styleId="109">
    <w:name w:val="正文文本缩进 3 Char2"/>
    <w:semiHidden/>
    <w:qFormat/>
    <w:uiPriority w:val="99"/>
    <w:rPr>
      <w:kern w:val="2"/>
      <w:sz w:val="16"/>
      <w:szCs w:val="16"/>
    </w:rPr>
  </w:style>
  <w:style w:type="character" w:customStyle="1" w:styleId="110">
    <w:name w:val="批注文字 Char5"/>
    <w:semiHidden/>
    <w:qFormat/>
    <w:uiPriority w:val="99"/>
    <w:rPr>
      <w:kern w:val="2"/>
      <w:sz w:val="21"/>
      <w:szCs w:val="22"/>
    </w:rPr>
  </w:style>
  <w:style w:type="character" w:customStyle="1" w:styleId="111">
    <w:name w:val="正文文本 Char6"/>
    <w:semiHidden/>
    <w:qFormat/>
    <w:uiPriority w:val="99"/>
    <w:rPr>
      <w:kern w:val="2"/>
      <w:sz w:val="21"/>
      <w:szCs w:val="22"/>
    </w:rPr>
  </w:style>
  <w:style w:type="character" w:customStyle="1" w:styleId="112">
    <w:name w:val="正文文本 3 Char2"/>
    <w:semiHidden/>
    <w:qFormat/>
    <w:uiPriority w:val="99"/>
    <w:rPr>
      <w:kern w:val="2"/>
      <w:sz w:val="16"/>
      <w:szCs w:val="16"/>
    </w:rPr>
  </w:style>
  <w:style w:type="character" w:customStyle="1" w:styleId="113">
    <w:name w:val="批注文字 Char"/>
    <w:qFormat/>
    <w:uiPriority w:val="99"/>
  </w:style>
  <w:style w:type="character" w:customStyle="1" w:styleId="114">
    <w:name w:val="正文文本 Char2"/>
    <w:semiHidden/>
    <w:qFormat/>
    <w:uiPriority w:val="99"/>
    <w:rPr>
      <w:rFonts w:ascii="Calibri" w:hAnsi="Calibri"/>
      <w:sz w:val="21"/>
      <w:szCs w:val="22"/>
    </w:rPr>
  </w:style>
  <w:style w:type="character" w:customStyle="1" w:styleId="115">
    <w:name w:val="文档结构图 Char4"/>
    <w:semiHidden/>
    <w:qFormat/>
    <w:uiPriority w:val="99"/>
    <w:rPr>
      <w:rFonts w:ascii="宋体"/>
      <w:kern w:val="2"/>
      <w:sz w:val="18"/>
      <w:szCs w:val="18"/>
    </w:rPr>
  </w:style>
  <w:style w:type="character" w:customStyle="1" w:styleId="116">
    <w:name w:val="Char Char4"/>
    <w:qFormat/>
    <w:uiPriority w:val="0"/>
    <w:rPr>
      <w:rFonts w:ascii="Times New Roman" w:hAnsi="Times New Roman" w:eastAsia="楷体_GB2312" w:cs="Times New Roman"/>
      <w:sz w:val="18"/>
      <w:szCs w:val="18"/>
    </w:rPr>
  </w:style>
  <w:style w:type="character" w:customStyle="1" w:styleId="117">
    <w:name w:val="Comment Text Char"/>
    <w:qFormat/>
    <w:uiPriority w:val="0"/>
  </w:style>
  <w:style w:type="character" w:customStyle="1" w:styleId="118">
    <w:name w:val="正文文本 2 Char1"/>
    <w:semiHidden/>
    <w:qFormat/>
    <w:uiPriority w:val="99"/>
    <w:rPr>
      <w:rFonts w:ascii="Times New Roman" w:hAnsi="Times New Roman" w:eastAsia="宋体" w:cs="Calibri"/>
      <w:kern w:val="2"/>
      <w:sz w:val="21"/>
      <w:szCs w:val="24"/>
    </w:rPr>
  </w:style>
  <w:style w:type="character" w:customStyle="1" w:styleId="119">
    <w:name w:val="纯文本 Char4"/>
    <w:semiHidden/>
    <w:qFormat/>
    <w:uiPriority w:val="99"/>
    <w:rPr>
      <w:rFonts w:ascii="宋体" w:hAnsi="Courier New" w:cs="Courier New"/>
      <w:kern w:val="2"/>
      <w:sz w:val="21"/>
      <w:szCs w:val="21"/>
    </w:rPr>
  </w:style>
  <w:style w:type="character" w:customStyle="1" w:styleId="120">
    <w:name w:val="正文文本 3 Char3"/>
    <w:semiHidden/>
    <w:qFormat/>
    <w:uiPriority w:val="99"/>
    <w:rPr>
      <w:kern w:val="2"/>
      <w:sz w:val="16"/>
      <w:szCs w:val="16"/>
    </w:rPr>
  </w:style>
  <w:style w:type="character" w:customStyle="1" w:styleId="121">
    <w:name w:val="Char Char51"/>
    <w:qFormat/>
    <w:uiPriority w:val="0"/>
    <w:rPr>
      <w:rFonts w:ascii="Times New Roman" w:hAnsi="Times New Roman" w:eastAsia="长城仿宋" w:cs="Times New Roman"/>
      <w:sz w:val="18"/>
      <w:lang w:val="en-US" w:eastAsia="zh-CN" w:bidi="ar-SA"/>
    </w:rPr>
  </w:style>
  <w:style w:type="character" w:customStyle="1" w:styleId="122">
    <w:name w:val="style_kwd"/>
    <w:qFormat/>
    <w:uiPriority w:val="0"/>
  </w:style>
  <w:style w:type="character" w:customStyle="1" w:styleId="123">
    <w:name w:val="Char Char52"/>
    <w:qFormat/>
    <w:uiPriority w:val="0"/>
    <w:rPr>
      <w:rFonts w:ascii="Times New Roman" w:hAnsi="Times New Roman" w:eastAsia="长城仿宋" w:cs="Times New Roman"/>
      <w:sz w:val="18"/>
      <w:lang w:val="en-US" w:eastAsia="zh-CN" w:bidi="ar-SA"/>
    </w:rPr>
  </w:style>
  <w:style w:type="character" w:customStyle="1" w:styleId="124">
    <w:name w:val="纯文本 Char2"/>
    <w:semiHidden/>
    <w:qFormat/>
    <w:uiPriority w:val="99"/>
    <w:rPr>
      <w:rFonts w:ascii="宋体" w:hAnsi="Courier New" w:eastAsia="宋体" w:cs="Courier New"/>
      <w:kern w:val="2"/>
      <w:sz w:val="21"/>
      <w:szCs w:val="21"/>
    </w:rPr>
  </w:style>
  <w:style w:type="character" w:customStyle="1" w:styleId="125">
    <w:name w:val="Char Char7"/>
    <w:qFormat/>
    <w:uiPriority w:val="0"/>
    <w:rPr>
      <w:rFonts w:ascii="Times New Roman" w:hAnsi="Times New Roman" w:eastAsia="宋体" w:cs="Times New Roman"/>
      <w:kern w:val="2"/>
      <w:sz w:val="21"/>
      <w:lang w:val="en-US" w:eastAsia="zh-CN" w:bidi="ar-SA"/>
    </w:rPr>
  </w:style>
  <w:style w:type="character" w:customStyle="1" w:styleId="126">
    <w:name w:val="章节二 Char"/>
    <w:qFormat/>
    <w:uiPriority w:val="0"/>
    <w:rPr>
      <w:rFonts w:ascii="Times New Roman" w:hAnsi="Times New Roman" w:eastAsia="黑体" w:cs="Times New Roman"/>
      <w:b/>
      <w:snapToGrid/>
      <w:spacing w:val="4"/>
      <w:sz w:val="30"/>
      <w:szCs w:val="30"/>
      <w:lang w:val="en-US" w:eastAsia="zh-CN" w:bidi="ar-SA"/>
    </w:rPr>
  </w:style>
  <w:style w:type="character" w:customStyle="1" w:styleId="127">
    <w:name w:val="正文文本缩进 3 Char1"/>
    <w:semiHidden/>
    <w:qFormat/>
    <w:uiPriority w:val="99"/>
    <w:rPr>
      <w:rFonts w:ascii="Calibri" w:hAnsi="Calibri"/>
      <w:sz w:val="16"/>
      <w:szCs w:val="16"/>
    </w:rPr>
  </w:style>
  <w:style w:type="character" w:customStyle="1" w:styleId="128">
    <w:name w:val="font161"/>
    <w:qFormat/>
    <w:uiPriority w:val="0"/>
    <w:rPr>
      <w:b/>
      <w:bCs/>
      <w:sz w:val="32"/>
      <w:szCs w:val="32"/>
    </w:rPr>
  </w:style>
  <w:style w:type="character" w:customStyle="1" w:styleId="129">
    <w:name w:val="标题 Char4"/>
    <w:qFormat/>
    <w:uiPriority w:val="10"/>
    <w:rPr>
      <w:rFonts w:ascii="Cambria" w:hAnsi="Cambria" w:cs="Times New Roman"/>
      <w:b/>
      <w:bCs/>
      <w:kern w:val="2"/>
      <w:sz w:val="32"/>
      <w:szCs w:val="32"/>
    </w:rPr>
  </w:style>
  <w:style w:type="character" w:customStyle="1" w:styleId="130">
    <w:name w:val="正文文本 2 Char3"/>
    <w:semiHidden/>
    <w:qFormat/>
    <w:uiPriority w:val="99"/>
    <w:rPr>
      <w:kern w:val="2"/>
      <w:sz w:val="21"/>
      <w:szCs w:val="22"/>
    </w:rPr>
  </w:style>
  <w:style w:type="character" w:customStyle="1" w:styleId="131">
    <w:name w:val="批注文字 Char1"/>
    <w:qFormat/>
    <w:uiPriority w:val="0"/>
    <w:rPr>
      <w:kern w:val="2"/>
      <w:sz w:val="21"/>
      <w:szCs w:val="22"/>
    </w:rPr>
  </w:style>
  <w:style w:type="character" w:customStyle="1" w:styleId="132">
    <w:name w:val="正文首行缩进 Char2"/>
    <w:semiHidden/>
    <w:qFormat/>
    <w:uiPriority w:val="99"/>
    <w:rPr>
      <w:rFonts w:ascii="Calibri" w:hAnsi="Calibri"/>
      <w:sz w:val="21"/>
      <w:szCs w:val="22"/>
    </w:rPr>
  </w:style>
  <w:style w:type="character" w:customStyle="1" w:styleId="133">
    <w:name w:val="纯文本 Char1"/>
    <w:qFormat/>
    <w:uiPriority w:val="0"/>
    <w:rPr>
      <w:rFonts w:ascii="宋体" w:hAnsi="Courier New" w:cs="Courier New"/>
      <w:sz w:val="21"/>
      <w:szCs w:val="21"/>
    </w:rPr>
  </w:style>
  <w:style w:type="character" w:customStyle="1" w:styleId="134">
    <w:name w:val="纯文本 Char5"/>
    <w:semiHidden/>
    <w:qFormat/>
    <w:uiPriority w:val="99"/>
    <w:rPr>
      <w:rFonts w:ascii="宋体" w:hAnsi="Courier New" w:cs="Courier New"/>
      <w:kern w:val="2"/>
      <w:sz w:val="21"/>
      <w:szCs w:val="21"/>
    </w:rPr>
  </w:style>
  <w:style w:type="character" w:customStyle="1" w:styleId="135">
    <w:name w:val="页脚 Char1"/>
    <w:semiHidden/>
    <w:qFormat/>
    <w:uiPriority w:val="99"/>
    <w:rPr>
      <w:rFonts w:ascii="Calibri" w:hAnsi="Calibri"/>
      <w:sz w:val="18"/>
      <w:szCs w:val="18"/>
    </w:rPr>
  </w:style>
  <w:style w:type="character" w:customStyle="1" w:styleId="136">
    <w:name w:val="正文首行缩进 Char5"/>
    <w:semiHidden/>
    <w:qFormat/>
    <w:uiPriority w:val="99"/>
  </w:style>
  <w:style w:type="character" w:customStyle="1" w:styleId="137">
    <w:name w:val="标题 Char1"/>
    <w:qFormat/>
    <w:uiPriority w:val="10"/>
    <w:rPr>
      <w:rFonts w:ascii="Cambria" w:hAnsi="Cambria" w:cs="Times New Roman"/>
      <w:b/>
      <w:bCs/>
      <w:sz w:val="32"/>
      <w:szCs w:val="32"/>
    </w:rPr>
  </w:style>
  <w:style w:type="character" w:customStyle="1" w:styleId="138">
    <w:name w:val="正文文本 Char1"/>
    <w:qFormat/>
    <w:uiPriority w:val="99"/>
    <w:rPr>
      <w:sz w:val="21"/>
    </w:rPr>
  </w:style>
  <w:style w:type="character" w:customStyle="1" w:styleId="139">
    <w:name w:val="文一 Char"/>
    <w:link w:val="140"/>
    <w:qFormat/>
    <w:uiPriority w:val="0"/>
    <w:rPr>
      <w:spacing w:val="4"/>
      <w:sz w:val="24"/>
      <w:szCs w:val="24"/>
    </w:rPr>
  </w:style>
  <w:style w:type="paragraph" w:customStyle="1" w:styleId="140">
    <w:name w:val="文一"/>
    <w:basedOn w:val="1"/>
    <w:link w:val="139"/>
    <w:qFormat/>
    <w:uiPriority w:val="0"/>
    <w:pPr>
      <w:topLinePunct/>
      <w:adjustRightInd w:val="0"/>
      <w:snapToGrid w:val="0"/>
      <w:spacing w:line="360" w:lineRule="auto"/>
      <w:ind w:firstLine="200" w:firstLineChars="200"/>
    </w:pPr>
    <w:rPr>
      <w:spacing w:val="4"/>
      <w:kern w:val="0"/>
      <w:sz w:val="24"/>
      <w:szCs w:val="24"/>
    </w:rPr>
  </w:style>
  <w:style w:type="character" w:customStyle="1" w:styleId="141">
    <w:name w:val="批注框文本 Char2"/>
    <w:semiHidden/>
    <w:qFormat/>
    <w:uiPriority w:val="99"/>
    <w:rPr>
      <w:kern w:val="2"/>
      <w:sz w:val="18"/>
      <w:szCs w:val="18"/>
    </w:rPr>
  </w:style>
  <w:style w:type="character" w:customStyle="1" w:styleId="142">
    <w:name w:val="正文文本缩进 3 Char4"/>
    <w:semiHidden/>
    <w:qFormat/>
    <w:uiPriority w:val="99"/>
    <w:rPr>
      <w:kern w:val="2"/>
      <w:sz w:val="16"/>
      <w:szCs w:val="16"/>
    </w:rPr>
  </w:style>
  <w:style w:type="character" w:customStyle="1" w:styleId="143">
    <w:name w:val="title1"/>
    <w:qFormat/>
    <w:uiPriority w:val="0"/>
    <w:rPr>
      <w:rFonts w:ascii="Times New Roman" w:hAnsi="Times New Roman" w:eastAsia="楷体_GB2312" w:cs="Times New Roman"/>
      <w:sz w:val="24"/>
      <w:szCs w:val="24"/>
    </w:rPr>
  </w:style>
  <w:style w:type="character" w:customStyle="1" w:styleId="144">
    <w:name w:val="正文文本缩进 Char4"/>
    <w:semiHidden/>
    <w:qFormat/>
    <w:uiPriority w:val="99"/>
    <w:rPr>
      <w:kern w:val="2"/>
      <w:sz w:val="21"/>
      <w:szCs w:val="22"/>
    </w:rPr>
  </w:style>
  <w:style w:type="character" w:customStyle="1" w:styleId="145">
    <w:name w:val="文档结构图 Char2"/>
    <w:semiHidden/>
    <w:qFormat/>
    <w:uiPriority w:val="99"/>
    <w:rPr>
      <w:rFonts w:ascii="宋体"/>
      <w:kern w:val="2"/>
      <w:sz w:val="18"/>
      <w:szCs w:val="18"/>
    </w:rPr>
  </w:style>
  <w:style w:type="character" w:customStyle="1" w:styleId="146">
    <w:name w:val="批注主题 Char4"/>
    <w:semiHidden/>
    <w:qFormat/>
    <w:uiPriority w:val="99"/>
    <w:rPr>
      <w:b/>
      <w:bCs/>
      <w:kern w:val="2"/>
      <w:sz w:val="21"/>
      <w:szCs w:val="22"/>
    </w:rPr>
  </w:style>
  <w:style w:type="character" w:customStyle="1" w:styleId="147">
    <w:name w:val="正文文本 2 Char4"/>
    <w:semiHidden/>
    <w:qFormat/>
    <w:uiPriority w:val="99"/>
    <w:rPr>
      <w:kern w:val="2"/>
      <w:sz w:val="21"/>
      <w:szCs w:val="22"/>
    </w:rPr>
  </w:style>
  <w:style w:type="character" w:customStyle="1" w:styleId="148">
    <w:name w:val="页眉 Char1"/>
    <w:semiHidden/>
    <w:qFormat/>
    <w:uiPriority w:val="99"/>
    <w:rPr>
      <w:rFonts w:ascii="Calibri" w:hAnsi="Calibri"/>
      <w:sz w:val="18"/>
      <w:szCs w:val="18"/>
    </w:rPr>
  </w:style>
  <w:style w:type="character" w:customStyle="1" w:styleId="149">
    <w:name w:val="日期 Char1"/>
    <w:semiHidden/>
    <w:qFormat/>
    <w:uiPriority w:val="99"/>
    <w:rPr>
      <w:rFonts w:ascii="Calibri" w:hAnsi="Calibri"/>
      <w:sz w:val="21"/>
      <w:szCs w:val="22"/>
    </w:rPr>
  </w:style>
  <w:style w:type="character" w:customStyle="1" w:styleId="150">
    <w:name w:val="批注主题 Char2"/>
    <w:semiHidden/>
    <w:qFormat/>
    <w:uiPriority w:val="99"/>
    <w:rPr>
      <w:b/>
      <w:bCs/>
      <w:kern w:val="2"/>
      <w:sz w:val="21"/>
      <w:szCs w:val="22"/>
    </w:rPr>
  </w:style>
  <w:style w:type="character" w:customStyle="1" w:styleId="151">
    <w:name w:val="标题 Char3"/>
    <w:qFormat/>
    <w:uiPriority w:val="10"/>
    <w:rPr>
      <w:rFonts w:ascii="Cambria" w:hAnsi="Cambria" w:cs="Times New Roman"/>
      <w:b/>
      <w:bCs/>
      <w:kern w:val="2"/>
      <w:sz w:val="32"/>
      <w:szCs w:val="32"/>
    </w:rPr>
  </w:style>
  <w:style w:type="character" w:customStyle="1" w:styleId="152">
    <w:name w:val="章节一 Char"/>
    <w:qFormat/>
    <w:uiPriority w:val="0"/>
    <w:rPr>
      <w:rFonts w:ascii="Times New Roman" w:hAnsi="Times New Roman" w:eastAsia="黑体" w:cs="Times New Roman"/>
      <w:b/>
      <w:snapToGrid/>
      <w:spacing w:val="4"/>
      <w:sz w:val="36"/>
      <w:szCs w:val="36"/>
      <w:lang w:val="en-US" w:eastAsia="zh-CN" w:bidi="ar-SA"/>
    </w:rPr>
  </w:style>
  <w:style w:type="character" w:customStyle="1" w:styleId="153">
    <w:name w:val="批注文字 Char2"/>
    <w:semiHidden/>
    <w:qFormat/>
    <w:locked/>
    <w:uiPriority w:val="99"/>
    <w:rPr>
      <w:rFonts w:ascii="Times New Roman" w:hAnsi="Times New Roman"/>
      <w:kern w:val="2"/>
      <w:sz w:val="21"/>
      <w:szCs w:val="24"/>
    </w:rPr>
  </w:style>
  <w:style w:type="character" w:customStyle="1" w:styleId="154">
    <w:name w:val="Char Char31"/>
    <w:qFormat/>
    <w:uiPriority w:val="0"/>
    <w:rPr>
      <w:rFonts w:ascii="Times New Roman" w:hAnsi="Times New Roman" w:eastAsia="宋体" w:cs="Times New Roman"/>
      <w:kern w:val="2"/>
      <w:sz w:val="18"/>
      <w:lang w:val="en-US" w:eastAsia="zh-CN" w:bidi="ar-SA"/>
    </w:rPr>
  </w:style>
  <w:style w:type="character" w:customStyle="1" w:styleId="155">
    <w:name w:val="页脚 字符"/>
    <w:qFormat/>
    <w:uiPriority w:val="0"/>
    <w:rPr>
      <w:rFonts w:ascii="Times New Roman" w:hAnsi="Times New Roman" w:eastAsia="楷体_GB2312" w:cs="Times New Roman"/>
      <w:kern w:val="2"/>
      <w:sz w:val="18"/>
      <w:szCs w:val="18"/>
    </w:rPr>
  </w:style>
  <w:style w:type="character" w:customStyle="1" w:styleId="156">
    <w:name w:val="正文文本 2 Char2"/>
    <w:semiHidden/>
    <w:qFormat/>
    <w:uiPriority w:val="99"/>
    <w:rPr>
      <w:kern w:val="2"/>
      <w:sz w:val="21"/>
      <w:szCs w:val="22"/>
    </w:rPr>
  </w:style>
  <w:style w:type="character" w:customStyle="1" w:styleId="157">
    <w:name w:val="正文文本 Char3"/>
    <w:semiHidden/>
    <w:qFormat/>
    <w:uiPriority w:val="99"/>
    <w:rPr>
      <w:rFonts w:ascii="Calibri" w:hAnsi="Calibri"/>
      <w:kern w:val="2"/>
      <w:sz w:val="21"/>
      <w:szCs w:val="22"/>
    </w:rPr>
  </w:style>
  <w:style w:type="character" w:customStyle="1" w:styleId="158">
    <w:name w:val="纯文本 Char3"/>
    <w:semiHidden/>
    <w:qFormat/>
    <w:uiPriority w:val="99"/>
    <w:rPr>
      <w:rFonts w:ascii="宋体" w:hAnsi="Courier New" w:cs="Courier New"/>
      <w:kern w:val="2"/>
      <w:sz w:val="21"/>
      <w:szCs w:val="21"/>
    </w:rPr>
  </w:style>
  <w:style w:type="character" w:customStyle="1" w:styleId="159">
    <w:name w:val="文一 Char Char"/>
    <w:qFormat/>
    <w:uiPriority w:val="0"/>
    <w:rPr>
      <w:rFonts w:ascii="Times New Roman" w:hAnsi="Times New Roman" w:eastAsia="宋体" w:cs="Times New Roman"/>
      <w:snapToGrid/>
      <w:spacing w:val="4"/>
      <w:sz w:val="24"/>
      <w:szCs w:val="24"/>
      <w:lang w:val="en-US" w:eastAsia="zh-CN" w:bidi="ar-SA"/>
    </w:rPr>
  </w:style>
  <w:style w:type="character" w:customStyle="1" w:styleId="160">
    <w:name w:val="文档结构图 Char3"/>
    <w:semiHidden/>
    <w:qFormat/>
    <w:uiPriority w:val="99"/>
    <w:rPr>
      <w:rFonts w:ascii="宋体"/>
      <w:kern w:val="2"/>
      <w:sz w:val="18"/>
      <w:szCs w:val="18"/>
    </w:rPr>
  </w:style>
  <w:style w:type="character" w:customStyle="1" w:styleId="161">
    <w:name w:val="批注主题 字符"/>
    <w:qFormat/>
    <w:uiPriority w:val="0"/>
    <w:rPr>
      <w:rFonts w:ascii="Times New Roman" w:hAnsi="Times New Roman" w:eastAsia="楷体_GB2312" w:cs="Times New Roman"/>
      <w:b/>
      <w:bCs/>
      <w:kern w:val="2"/>
      <w:sz w:val="21"/>
      <w:szCs w:val="24"/>
    </w:rPr>
  </w:style>
  <w:style w:type="character" w:customStyle="1" w:styleId="162">
    <w:name w:val="font01"/>
    <w:qFormat/>
    <w:uiPriority w:val="0"/>
    <w:rPr>
      <w:rFonts w:hint="eastAsia" w:ascii="宋体" w:hAnsi="宋体" w:eastAsia="宋体" w:cs="宋体"/>
      <w:color w:val="000000"/>
      <w:sz w:val="20"/>
      <w:szCs w:val="20"/>
      <w:u w:val="none"/>
    </w:rPr>
  </w:style>
  <w:style w:type="character" w:customStyle="1" w:styleId="163">
    <w:name w:val="16"/>
    <w:qFormat/>
    <w:uiPriority w:val="0"/>
    <w:rPr>
      <w:rFonts w:hint="default" w:ascii="Times New Roman" w:hAnsi="Times New Roman" w:eastAsia="楷体_GB2312" w:cs="Times New Roman"/>
      <w:color w:val="0000FF"/>
      <w:u w:val="single"/>
    </w:rPr>
  </w:style>
  <w:style w:type="character" w:customStyle="1" w:styleId="164">
    <w:name w:val="font21"/>
    <w:qFormat/>
    <w:uiPriority w:val="0"/>
    <w:rPr>
      <w:rFonts w:hint="eastAsia" w:ascii="宋体" w:hAnsi="宋体" w:eastAsia="宋体" w:cs="宋体"/>
      <w:color w:val="0070C0"/>
      <w:sz w:val="20"/>
      <w:szCs w:val="20"/>
      <w:u w:val="none"/>
    </w:rPr>
  </w:style>
  <w:style w:type="character" w:customStyle="1" w:styleId="165">
    <w:name w:val="日期 Char2"/>
    <w:semiHidden/>
    <w:qFormat/>
    <w:uiPriority w:val="99"/>
    <w:rPr>
      <w:kern w:val="2"/>
      <w:sz w:val="21"/>
      <w:szCs w:val="22"/>
    </w:rPr>
  </w:style>
  <w:style w:type="character" w:customStyle="1" w:styleId="166">
    <w:name w:val="Char Char61"/>
    <w:qFormat/>
    <w:uiPriority w:val="0"/>
    <w:rPr>
      <w:rFonts w:ascii="Times New Roman" w:hAnsi="Times New Roman" w:eastAsia="楷体_GB2312" w:cs="Times New Roman"/>
      <w:b/>
      <w:bCs/>
      <w:kern w:val="2"/>
      <w:sz w:val="24"/>
      <w:szCs w:val="24"/>
    </w:rPr>
  </w:style>
  <w:style w:type="character" w:customStyle="1" w:styleId="167">
    <w:name w:val="正文文本缩进 3 Char3"/>
    <w:semiHidden/>
    <w:qFormat/>
    <w:uiPriority w:val="99"/>
    <w:rPr>
      <w:kern w:val="2"/>
      <w:sz w:val="16"/>
      <w:szCs w:val="16"/>
    </w:rPr>
  </w:style>
  <w:style w:type="character" w:customStyle="1" w:styleId="168">
    <w:name w:val="正文文本 Char4"/>
    <w:semiHidden/>
    <w:qFormat/>
    <w:uiPriority w:val="99"/>
    <w:rPr>
      <w:kern w:val="2"/>
      <w:sz w:val="21"/>
      <w:szCs w:val="22"/>
    </w:rPr>
  </w:style>
  <w:style w:type="paragraph" w:customStyle="1" w:styleId="169">
    <w:name w:val="章节三"/>
    <w:basedOn w:val="140"/>
    <w:next w:val="140"/>
    <w:qFormat/>
    <w:uiPriority w:val="0"/>
    <w:pPr>
      <w:spacing w:beforeLines="50" w:afterLines="50" w:line="240" w:lineRule="auto"/>
      <w:ind w:firstLine="0" w:firstLineChars="0"/>
      <w:jc w:val="left"/>
      <w:outlineLvl w:val="2"/>
    </w:pPr>
    <w:rPr>
      <w:rFonts w:ascii="黑体" w:hAnsi="宋体" w:eastAsia="黑体"/>
      <w:b/>
    </w:rPr>
  </w:style>
  <w:style w:type="paragraph" w:customStyle="1" w:styleId="170">
    <w:name w:val="_Style 71"/>
    <w:unhideWhenUsed/>
    <w:qFormat/>
    <w:uiPriority w:val="99"/>
    <w:rPr>
      <w:rFonts w:ascii="Times New Roman" w:hAnsi="Times New Roman" w:eastAsia="宋体" w:cs="Calibri"/>
      <w:kern w:val="2"/>
      <w:sz w:val="21"/>
      <w:szCs w:val="24"/>
      <w:lang w:val="en-US" w:eastAsia="zh-CN" w:bidi="ar-SA"/>
    </w:rPr>
  </w:style>
  <w:style w:type="paragraph" w:customStyle="1" w:styleId="171">
    <w:name w:val="正题"/>
    <w:basedOn w:val="140"/>
    <w:next w:val="140"/>
    <w:qFormat/>
    <w:uiPriority w:val="0"/>
    <w:pPr>
      <w:ind w:firstLine="0" w:firstLineChars="0"/>
      <w:jc w:val="center"/>
    </w:pPr>
    <w:rPr>
      <w:rFonts w:ascii="Calibri" w:hAnsi="Calibri" w:eastAsia="黑体"/>
      <w:b/>
      <w:sz w:val="36"/>
      <w:szCs w:val="36"/>
    </w:rPr>
  </w:style>
  <w:style w:type="paragraph" w:customStyle="1" w:styleId="172">
    <w:name w:val="Table Paragraph"/>
    <w:basedOn w:val="1"/>
    <w:qFormat/>
    <w:uiPriority w:val="1"/>
    <w:pPr>
      <w:autoSpaceDE w:val="0"/>
      <w:autoSpaceDN w:val="0"/>
      <w:adjustRightInd w:val="0"/>
      <w:jc w:val="left"/>
    </w:pPr>
    <w:rPr>
      <w:kern w:val="0"/>
      <w:sz w:val="24"/>
      <w:szCs w:val="24"/>
    </w:rPr>
  </w:style>
  <w:style w:type="paragraph" w:customStyle="1" w:styleId="173">
    <w:name w:val="xl81"/>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17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5">
    <w:name w:val="样式1"/>
    <w:basedOn w:val="1"/>
    <w:next w:val="6"/>
    <w:qFormat/>
    <w:uiPriority w:val="0"/>
    <w:pPr>
      <w:spacing w:line="360" w:lineRule="auto"/>
      <w:ind w:firstLine="420" w:firstLineChars="200"/>
    </w:pPr>
    <w:rPr>
      <w:rFonts w:ascii="宋体" w:hAnsi="宋体"/>
      <w:szCs w:val="21"/>
    </w:rPr>
  </w:style>
  <w:style w:type="paragraph" w:customStyle="1" w:styleId="176">
    <w:name w:val="修订1"/>
    <w:qFormat/>
    <w:uiPriority w:val="0"/>
    <w:rPr>
      <w:rFonts w:ascii="Times New Roman" w:hAnsi="Times New Roman" w:eastAsia="宋体" w:cs="Times New Roman"/>
      <w:kern w:val="2"/>
      <w:sz w:val="21"/>
      <w:lang w:val="en-US" w:eastAsia="zh-CN" w:bidi="ar-SA"/>
    </w:rPr>
  </w:style>
  <w:style w:type="paragraph" w:customStyle="1" w:styleId="177">
    <w:name w:val="修订11"/>
    <w:qFormat/>
    <w:uiPriority w:val="0"/>
    <w:rPr>
      <w:rFonts w:ascii="Times New Roman" w:hAnsi="Times New Roman" w:eastAsia="宋体" w:cs="Times New Roman"/>
      <w:kern w:val="2"/>
      <w:sz w:val="21"/>
      <w:szCs w:val="24"/>
      <w:lang w:val="en-US" w:eastAsia="zh-CN" w:bidi="ar-SA"/>
    </w:rPr>
  </w:style>
  <w:style w:type="paragraph" w:customStyle="1" w:styleId="178">
    <w:name w:val="样式 标题 2 + Times New Roman 四号 非加粗 段前: 5 磅 段后: 0 磅 行距: 固定值 20..."/>
    <w:basedOn w:val="4"/>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7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80">
    <w:name w:val="xl80"/>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81">
    <w:name w:val="我的正文"/>
    <w:basedOn w:val="1"/>
    <w:qFormat/>
    <w:uiPriority w:val="0"/>
    <w:rPr>
      <w:rFonts w:ascii="宋体" w:hAnsi="宋体"/>
      <w:sz w:val="24"/>
      <w:szCs w:val="24"/>
    </w:rPr>
  </w:style>
  <w:style w:type="paragraph" w:customStyle="1" w:styleId="182">
    <w:name w:val="样式2"/>
    <w:basedOn w:val="5"/>
    <w:qFormat/>
    <w:uiPriority w:val="0"/>
    <w:pPr>
      <w:spacing w:line="415" w:lineRule="auto"/>
      <w:ind w:firstLine="137" w:firstLineChars="49"/>
    </w:pPr>
    <w:rPr>
      <w:rFonts w:ascii="黑体" w:hAnsi="Calibri" w:eastAsia="黑体"/>
      <w:b w:val="0"/>
      <w:i/>
      <w:kern w:val="0"/>
      <w:sz w:val="28"/>
      <w:szCs w:val="28"/>
    </w:rPr>
  </w:style>
  <w:style w:type="paragraph" w:customStyle="1" w:styleId="183">
    <w:name w:val="默认段落字体 Para Char"/>
    <w:basedOn w:val="1"/>
    <w:qFormat/>
    <w:uiPriority w:val="0"/>
    <w:rPr>
      <w:sz w:val="30"/>
      <w:szCs w:val="24"/>
    </w:rPr>
  </w:style>
  <w:style w:type="paragraph" w:customStyle="1" w:styleId="184">
    <w:name w:val="修订2"/>
    <w:qFormat/>
    <w:uiPriority w:val="0"/>
    <w:rPr>
      <w:rFonts w:ascii="Times New Roman" w:hAnsi="Times New Roman" w:eastAsia="宋体" w:cs="Times New Roman"/>
      <w:kern w:val="2"/>
      <w:sz w:val="21"/>
      <w:szCs w:val="24"/>
      <w:lang w:val="en-US" w:eastAsia="zh-CN" w:bidi="ar-SA"/>
    </w:rPr>
  </w:style>
  <w:style w:type="paragraph" w:customStyle="1" w:styleId="185">
    <w:name w:val="Char1"/>
    <w:basedOn w:val="1"/>
    <w:qFormat/>
    <w:uiPriority w:val="0"/>
    <w:pPr>
      <w:tabs>
        <w:tab w:val="left" w:pos="360"/>
      </w:tabs>
    </w:pPr>
    <w:rPr>
      <w:sz w:val="24"/>
      <w:szCs w:val="20"/>
    </w:rPr>
  </w:style>
  <w:style w:type="paragraph" w:customStyle="1" w:styleId="186">
    <w:name w:val="表格文字"/>
    <w:basedOn w:val="1"/>
    <w:next w:val="1"/>
    <w:qFormat/>
    <w:uiPriority w:val="0"/>
    <w:pPr>
      <w:snapToGrid w:val="0"/>
      <w:spacing w:line="360" w:lineRule="atLeast"/>
      <w:jc w:val="center"/>
    </w:pPr>
    <w:rPr>
      <w:rFonts w:ascii="宋体" w:eastAsia="幼圆"/>
      <w:szCs w:val="20"/>
    </w:rPr>
  </w:style>
  <w:style w:type="paragraph" w:customStyle="1" w:styleId="187">
    <w:name w:val="样式 标题 3 + (中文) 黑体 小四 非加粗 段前: 7.8 磅 段后: 0 磅 行距: 固定值 20 磅"/>
    <w:basedOn w:val="5"/>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88">
    <w:name w:val="文二"/>
    <w:basedOn w:val="1"/>
    <w:qFormat/>
    <w:uiPriority w:val="99"/>
    <w:pPr>
      <w:jc w:val="left"/>
    </w:pPr>
    <w:rPr>
      <w:rFonts w:ascii="宋体" w:hAnsi="宋体" w:cs="Calibri"/>
      <w:szCs w:val="21"/>
    </w:rPr>
  </w:style>
  <w:style w:type="paragraph" w:customStyle="1" w:styleId="18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0">
    <w:name w:val="表头"/>
    <w:basedOn w:val="1"/>
    <w:qFormat/>
    <w:uiPriority w:val="0"/>
    <w:pPr>
      <w:spacing w:line="360" w:lineRule="auto"/>
      <w:jc w:val="center"/>
    </w:pPr>
    <w:rPr>
      <w:rFonts w:ascii="黑体" w:eastAsia="黑体"/>
      <w:kern w:val="0"/>
      <w:sz w:val="24"/>
      <w:szCs w:val="20"/>
    </w:rPr>
  </w:style>
  <w:style w:type="paragraph" w:customStyle="1" w:styleId="191">
    <w:name w:val="_Style 23"/>
    <w:basedOn w:val="1"/>
    <w:qFormat/>
    <w:uiPriority w:val="0"/>
    <w:pPr>
      <w:widowControl/>
      <w:spacing w:after="160" w:line="240" w:lineRule="exact"/>
      <w:jc w:val="left"/>
    </w:pPr>
  </w:style>
  <w:style w:type="paragraph" w:customStyle="1" w:styleId="192">
    <w:name w:val="发文落款"/>
    <w:basedOn w:val="193"/>
    <w:qFormat/>
    <w:uiPriority w:val="0"/>
    <w:pPr>
      <w:ind w:left="4094" w:right="607" w:firstLine="0"/>
      <w:jc w:val="center"/>
    </w:pPr>
  </w:style>
  <w:style w:type="paragraph" w:customStyle="1" w:styleId="19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4">
    <w:name w:val="xl84"/>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95">
    <w:name w:val="1"/>
    <w:basedOn w:val="1"/>
    <w:qFormat/>
    <w:uiPriority w:val="0"/>
    <w:rPr>
      <w:szCs w:val="20"/>
    </w:rPr>
  </w:style>
  <w:style w:type="paragraph" w:customStyle="1" w:styleId="196">
    <w:name w:val="表格"/>
    <w:basedOn w:val="1"/>
    <w:qFormat/>
    <w:uiPriority w:val="0"/>
    <w:pPr>
      <w:jc w:val="center"/>
      <w:textAlignment w:val="center"/>
    </w:pPr>
    <w:rPr>
      <w:rFonts w:ascii="华文细黑" w:hAnsi="华文细黑"/>
      <w:kern w:val="0"/>
      <w:szCs w:val="20"/>
    </w:rPr>
  </w:style>
  <w:style w:type="paragraph" w:customStyle="1" w:styleId="19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8">
    <w:name w:val="修订3"/>
    <w:qFormat/>
    <w:uiPriority w:val="99"/>
    <w:rPr>
      <w:rFonts w:ascii="Times New Roman" w:hAnsi="Times New Roman" w:eastAsia="宋体" w:cs="Arial"/>
      <w:lang w:val="en-US" w:eastAsia="zh-CN" w:bidi="ar-SA"/>
    </w:rPr>
  </w:style>
  <w:style w:type="paragraph" w:customStyle="1" w:styleId="199">
    <w:name w:val="_Style 47"/>
    <w:semiHidden/>
    <w:qFormat/>
    <w:uiPriority w:val="0"/>
    <w:rPr>
      <w:rFonts w:ascii="Times New Roman" w:hAnsi="Times New Roman" w:eastAsia="宋体" w:cs="Calibri"/>
      <w:kern w:val="2"/>
      <w:sz w:val="21"/>
      <w:szCs w:val="24"/>
      <w:lang w:val="en-US" w:eastAsia="zh-CN" w:bidi="ar-SA"/>
    </w:rPr>
  </w:style>
  <w:style w:type="paragraph" w:customStyle="1" w:styleId="20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0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6">
    <w:name w:val="图片"/>
    <w:basedOn w:val="1"/>
    <w:qFormat/>
    <w:uiPriority w:val="0"/>
    <w:pPr>
      <w:adjustRightInd w:val="0"/>
      <w:snapToGrid w:val="0"/>
      <w:spacing w:line="312" w:lineRule="atLeast"/>
      <w:ind w:firstLine="200" w:firstLineChars="200"/>
      <w:textAlignment w:val="baseline"/>
    </w:pPr>
    <w:rPr>
      <w:rFonts w:eastAsia="华文宋体"/>
      <w:kern w:val="0"/>
      <w:sz w:val="28"/>
      <w:szCs w:val="20"/>
    </w:rPr>
  </w:style>
  <w:style w:type="paragraph" w:customStyle="1" w:styleId="207">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20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TOC 标题11"/>
    <w:basedOn w:val="3"/>
    <w:next w:val="1"/>
    <w:qFormat/>
    <w:uiPriority w:val="0"/>
    <w:pPr>
      <w:widowControl/>
      <w:spacing w:before="480" w:after="0" w:line="276" w:lineRule="auto"/>
      <w:jc w:val="center"/>
      <w:outlineLvl w:val="9"/>
    </w:pPr>
    <w:rPr>
      <w:rFonts w:ascii="Cambria" w:hAnsi="Cambria"/>
      <w:bCs w:val="0"/>
      <w:color w:val="365F91"/>
      <w:kern w:val="0"/>
      <w:sz w:val="28"/>
      <w:szCs w:val="20"/>
    </w:rPr>
  </w:style>
  <w:style w:type="paragraph" w:styleId="210">
    <w:name w:val="List Paragraph"/>
    <w:basedOn w:val="1"/>
    <w:qFormat/>
    <w:uiPriority w:val="0"/>
    <w:pPr>
      <w:ind w:firstLine="420" w:firstLineChars="200"/>
    </w:pPr>
  </w:style>
  <w:style w:type="paragraph" w:customStyle="1" w:styleId="211">
    <w:name w:val="结构图及表格"/>
    <w:qFormat/>
    <w:uiPriority w:val="0"/>
    <w:pPr>
      <w:widowControl w:val="0"/>
      <w:jc w:val="center"/>
    </w:pPr>
    <w:rPr>
      <w:rFonts w:ascii="Times New Roman" w:hAnsi="Times New Roman" w:eastAsia="宋体" w:cs="Times New Roman"/>
      <w:kern w:val="21"/>
      <w:sz w:val="21"/>
      <w:lang w:val="en-US" w:eastAsia="zh-CN" w:bidi="ar-SA"/>
    </w:rPr>
  </w:style>
  <w:style w:type="paragraph" w:styleId="21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xl82"/>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15">
    <w:name w:val="xl8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6">
    <w:name w:val="xl8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17">
    <w:name w:val="xl86"/>
    <w:basedOn w:val="1"/>
    <w:qFormat/>
    <w:uiPriority w:val="0"/>
    <w:pPr>
      <w:widowControl/>
      <w:spacing w:before="100" w:beforeAutospacing="1" w:after="100" w:afterAutospacing="1"/>
      <w:jc w:val="center"/>
    </w:pPr>
    <w:rPr>
      <w:rFonts w:ascii="宋体" w:hAnsi="宋体" w:cs="宋体"/>
      <w:color w:val="FF0000"/>
      <w:kern w:val="0"/>
      <w:sz w:val="18"/>
      <w:szCs w:val="18"/>
    </w:rPr>
  </w:style>
  <w:style w:type="paragraph" w:customStyle="1" w:styleId="218">
    <w:name w:val="xl87"/>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219">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20">
    <w:name w:val="xl8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2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22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2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2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3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3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3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3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4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4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character" w:customStyle="1" w:styleId="243">
    <w:name w:val="font151"/>
    <w:qFormat/>
    <w:uiPriority w:val="0"/>
    <w:rPr>
      <w:rFonts w:hint="default" w:ascii="Times New Roman" w:hAnsi="Times New Roman" w:cs="Times New Roman"/>
      <w:color w:val="000000"/>
      <w:sz w:val="22"/>
      <w:szCs w:val="22"/>
      <w:u w:val="none"/>
    </w:rPr>
  </w:style>
  <w:style w:type="character" w:customStyle="1" w:styleId="244">
    <w:name w:val="font121"/>
    <w:qFormat/>
    <w:uiPriority w:val="0"/>
    <w:rPr>
      <w:rFonts w:hint="default" w:ascii="Times New Roman" w:hAnsi="Times New Roman" w:cs="Times New Roman"/>
      <w:color w:val="000000"/>
      <w:sz w:val="22"/>
      <w:szCs w:val="22"/>
      <w:u w:val="none"/>
    </w:rPr>
  </w:style>
  <w:style w:type="character" w:customStyle="1" w:styleId="245">
    <w:name w:val="font141"/>
    <w:qFormat/>
    <w:uiPriority w:val="0"/>
    <w:rPr>
      <w:rFonts w:hint="eastAsia" w:ascii="宋体" w:hAnsi="宋体" w:eastAsia="宋体" w:cs="宋体"/>
      <w:color w:val="000000"/>
      <w:sz w:val="22"/>
      <w:szCs w:val="22"/>
      <w:u w:val="none"/>
    </w:rPr>
  </w:style>
  <w:style w:type="character" w:customStyle="1" w:styleId="246">
    <w:name w:val="font171"/>
    <w:qFormat/>
    <w:uiPriority w:val="0"/>
    <w:rPr>
      <w:rFonts w:hint="default" w:ascii="Times New Roman" w:hAnsi="Times New Roman" w:cs="Times New Roman"/>
      <w:color w:val="000000"/>
      <w:sz w:val="22"/>
      <w:szCs w:val="22"/>
      <w:u w:val="none"/>
    </w:rPr>
  </w:style>
  <w:style w:type="character" w:customStyle="1" w:styleId="247">
    <w:name w:val="font51"/>
    <w:qFormat/>
    <w:uiPriority w:val="0"/>
    <w:rPr>
      <w:rFonts w:hint="eastAsia" w:ascii="宋体" w:hAnsi="宋体" w:eastAsia="宋体" w:cs="宋体"/>
      <w:color w:val="000000"/>
      <w:sz w:val="22"/>
      <w:szCs w:val="22"/>
      <w:u w:val="none"/>
    </w:rPr>
  </w:style>
  <w:style w:type="character" w:customStyle="1" w:styleId="248">
    <w:name w:val="font31"/>
    <w:qFormat/>
    <w:uiPriority w:val="0"/>
    <w:rPr>
      <w:rFonts w:hint="default" w:ascii="Times New Roman" w:hAnsi="Times New Roman" w:cs="Times New Roman"/>
      <w:color w:val="000000"/>
      <w:sz w:val="22"/>
      <w:szCs w:val="22"/>
      <w:u w:val="none"/>
    </w:rPr>
  </w:style>
  <w:style w:type="character" w:customStyle="1" w:styleId="249">
    <w:name w:val="font12"/>
    <w:qFormat/>
    <w:uiPriority w:val="0"/>
    <w:rPr>
      <w:rFonts w:hint="default" w:ascii="Times New Roman" w:hAnsi="Times New Roman" w:cs="Times New Roman"/>
      <w:b/>
      <w:bCs/>
      <w:color w:val="000000"/>
      <w:sz w:val="22"/>
      <w:szCs w:val="22"/>
      <w:u w:val="none"/>
    </w:rPr>
  </w:style>
  <w:style w:type="character" w:customStyle="1" w:styleId="250">
    <w:name w:val="font11"/>
    <w:qFormat/>
    <w:uiPriority w:val="0"/>
    <w:rPr>
      <w:rFonts w:hint="default" w:ascii="Times New Roman" w:hAnsi="Times New Roman" w:cs="Times New Roman"/>
      <w:b/>
      <w:bCs/>
      <w:color w:val="000000"/>
      <w:sz w:val="22"/>
      <w:szCs w:val="22"/>
      <w:u w:val="none"/>
    </w:rPr>
  </w:style>
  <w:style w:type="character" w:customStyle="1" w:styleId="251">
    <w:name w:val="font131"/>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25279</Words>
  <Characters>26810</Characters>
  <Lines>199</Lines>
  <Paragraphs>56</Paragraphs>
  <TotalTime>15</TotalTime>
  <ScaleCrop>false</ScaleCrop>
  <LinksUpToDate>false</LinksUpToDate>
  <CharactersWithSpaces>27223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2022-03-24T02:40:00Z</dcterms:created>
  <dc:creator>admin</dc:creator>
  <cp:lastModifiedBy>Rain。</cp:lastModifiedBy>
  <cp:lastPrinted>2022-03-10T01:55:00Z</cp:lastPrinted>
  <dcterms:modified xsi:type="dcterms:W3CDTF">2022-04-12T07:26:32Z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ADCCB44270174665814C088FFED24A12</vt:lpwstr>
  </property>
</Properties>
</file>