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rFonts w:ascii="宋体" w:hAnsi="宋体" w:eastAsia="宋体"/>
          <w:b/>
          <w:bCs/>
          <w:sz w:val="36"/>
        </w:rPr>
      </w:pPr>
      <w:r>
        <w:rPr>
          <w:rFonts w:hint="eastAsia" w:ascii="宋体" w:hAnsi="宋体" w:eastAsia="宋体"/>
          <w:b/>
          <w:kern w:val="32"/>
          <w:sz w:val="36"/>
        </w:rPr>
        <w:t>广州市花都区花山镇城西石场建筑用花岗岩矿项目首采区第一标段剥离料竞买</w:t>
      </w:r>
      <w:r>
        <w:rPr>
          <w:rFonts w:ascii="宋体" w:hAnsi="宋体" w:eastAsia="宋体"/>
          <w:b/>
          <w:kern w:val="32"/>
          <w:sz w:val="36"/>
        </w:rPr>
        <w:t>须知</w:t>
      </w:r>
    </w:p>
    <w:p>
      <w:pPr>
        <w:rPr>
          <w:rFonts w:ascii="宋体" w:hAnsi="宋体" w:eastAsia="宋体"/>
          <w:sz w:val="24"/>
          <w:szCs w:val="24"/>
        </w:rPr>
      </w:pP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w:t>
      </w:r>
      <w:bookmarkStart w:id="0" w:name="_Hlk170895933"/>
      <w:r>
        <w:rPr>
          <w:rFonts w:hint="eastAsia" w:ascii="宋体" w:hAnsi="宋体" w:eastAsia="宋体"/>
          <w:sz w:val="24"/>
          <w:szCs w:val="24"/>
        </w:rPr>
        <w:t>广州市花都区花山镇城西石场建筑用花岗岩矿项目</w:t>
      </w:r>
      <w:bookmarkStart w:id="1" w:name="_Hlk170830352"/>
      <w:r>
        <w:rPr>
          <w:rFonts w:hint="eastAsia" w:ascii="宋体" w:hAnsi="宋体" w:eastAsia="宋体"/>
          <w:sz w:val="24"/>
          <w:szCs w:val="24"/>
        </w:rPr>
        <w:t>首采区第一标段剥离料</w:t>
      </w:r>
      <w:bookmarkEnd w:id="0"/>
      <w:bookmarkEnd w:id="1"/>
      <w:r>
        <w:rPr>
          <w:rFonts w:hint="eastAsia" w:ascii="宋体" w:hAnsi="宋体" w:eastAsia="宋体"/>
          <w:sz w:val="24"/>
          <w:szCs w:val="24"/>
        </w:rPr>
        <w:t>（以下简称“首采区第一标段剥离料”）网上拍卖，是指广州交易集团有限公司（广州公共资源交易中心）（以下简称</w:t>
      </w:r>
      <w:r>
        <w:rPr>
          <w:rFonts w:hint="eastAsia" w:ascii="宋体" w:hAnsi="宋体" w:eastAsia="宋体"/>
          <w:sz w:val="24"/>
          <w:szCs w:val="24"/>
          <w:lang w:val="en-US" w:eastAsia="zh-CN"/>
        </w:rPr>
        <w:t>广州交易集团</w:t>
      </w:r>
      <w:r>
        <w:rPr>
          <w:rFonts w:hint="eastAsia" w:ascii="宋体" w:hAnsi="宋体" w:eastAsia="宋体"/>
          <w:sz w:val="24"/>
          <w:szCs w:val="24"/>
        </w:rPr>
        <w:t>）接受中电建智都城市投资有限公司（以下简称</w:t>
      </w:r>
      <w:r>
        <w:rPr>
          <w:rFonts w:hint="eastAsia" w:ascii="宋体" w:hAnsi="宋体" w:eastAsia="宋体"/>
          <w:sz w:val="24"/>
          <w:szCs w:val="24"/>
          <w:lang w:eastAsia="zh-CN"/>
        </w:rPr>
        <w:t>委托人</w:t>
      </w:r>
      <w:r>
        <w:rPr>
          <w:rFonts w:hint="eastAsia" w:ascii="宋体" w:hAnsi="宋体" w:eastAsia="宋体"/>
          <w:sz w:val="24"/>
          <w:szCs w:val="24"/>
        </w:rPr>
        <w:t>）委托，在互联网和平台规定场所发布</w:t>
      </w:r>
      <w:bookmarkStart w:id="2" w:name="_Hlk170830435"/>
      <w:r>
        <w:rPr>
          <w:rFonts w:hint="eastAsia" w:ascii="宋体" w:hAnsi="宋体" w:eastAsia="宋体"/>
          <w:sz w:val="24"/>
          <w:szCs w:val="24"/>
        </w:rPr>
        <w:t>《广州市花都区花山镇城西石场建筑用花岗岩矿项目首采区第一标段剥离料网上拍卖公告》（以下简称“《拍卖公告》”）</w:t>
      </w:r>
      <w:bookmarkEnd w:id="2"/>
      <w:r>
        <w:rPr>
          <w:rFonts w:hint="eastAsia" w:ascii="宋体" w:hAnsi="宋体" w:eastAsia="宋体"/>
          <w:sz w:val="24"/>
          <w:szCs w:val="24"/>
        </w:rPr>
        <w:t>，通过广州交易集团土地矿业权网上交易系统（以下简称交易系统）接受竞买申请，组织竞买人参与网上拍卖，确认竞买资格，最终确定</w:t>
      </w:r>
      <w:bookmarkStart w:id="3" w:name="_Hlk170830383"/>
      <w:r>
        <w:rPr>
          <w:rFonts w:hint="eastAsia" w:ascii="宋体" w:hAnsi="宋体" w:eastAsia="宋体"/>
          <w:sz w:val="24"/>
          <w:szCs w:val="24"/>
        </w:rPr>
        <w:t>竞</w:t>
      </w:r>
      <w:bookmarkEnd w:id="3"/>
      <w:r>
        <w:rPr>
          <w:rFonts w:hint="eastAsia" w:ascii="宋体" w:hAnsi="宋体" w:eastAsia="宋体"/>
          <w:sz w:val="24"/>
          <w:szCs w:val="24"/>
        </w:rPr>
        <w:t>得人的活动。</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本次拍卖</w:t>
      </w:r>
      <w:r>
        <w:rPr>
          <w:rFonts w:ascii="宋体" w:hAnsi="宋体" w:eastAsia="宋体"/>
          <w:sz w:val="24"/>
          <w:szCs w:val="24"/>
        </w:rPr>
        <w:t>遵循公开、公平、公正和诚实信用原则。</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三、竞买人资格要求，以网上交易公告为准。</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四、提交竞买申请之前，竞买人应当详细阅读</w:t>
      </w:r>
      <w:bookmarkStart w:id="4" w:name="_Hlk170895894"/>
      <w:r>
        <w:rPr>
          <w:rFonts w:hint="eastAsia" w:ascii="宋体" w:hAnsi="宋体" w:eastAsia="宋体"/>
          <w:bCs/>
          <w:sz w:val="24"/>
          <w:szCs w:val="24"/>
        </w:rPr>
        <w:t>首采区第一标段剥离料</w:t>
      </w:r>
      <w:bookmarkEnd w:id="4"/>
      <w:r>
        <w:rPr>
          <w:rFonts w:ascii="宋体" w:hAnsi="宋体" w:eastAsia="宋体"/>
          <w:bCs/>
          <w:sz w:val="24"/>
          <w:szCs w:val="24"/>
        </w:rPr>
        <w:t>网上</w:t>
      </w:r>
      <w:r>
        <w:rPr>
          <w:rFonts w:hint="eastAsia" w:ascii="宋体" w:hAnsi="宋体" w:eastAsia="宋体"/>
          <w:bCs/>
          <w:sz w:val="24"/>
          <w:szCs w:val="24"/>
        </w:rPr>
        <w:t>拍卖</w:t>
      </w:r>
      <w:r>
        <w:rPr>
          <w:rFonts w:ascii="宋体" w:hAnsi="宋体" w:eastAsia="宋体"/>
          <w:bCs/>
          <w:sz w:val="24"/>
          <w:szCs w:val="24"/>
        </w:rPr>
        <w:t>公告</w:t>
      </w:r>
      <w:r>
        <w:rPr>
          <w:rFonts w:hint="eastAsia" w:ascii="宋体" w:hAnsi="宋体" w:eastAsia="宋体"/>
          <w:sz w:val="24"/>
          <w:szCs w:val="24"/>
        </w:rPr>
        <w:t>等文件，必要时，应当自行实地看样考察、电话咨询（咨询电话：18931076010）或前往</w:t>
      </w:r>
      <w:r>
        <w:rPr>
          <w:rFonts w:hint="eastAsia" w:ascii="宋体" w:hAnsi="宋体" w:eastAsia="宋体"/>
          <w:sz w:val="24"/>
          <w:szCs w:val="24"/>
          <w:lang w:val="en-US" w:eastAsia="zh-CN"/>
        </w:rPr>
        <w:t>广州</w:t>
      </w:r>
      <w:r>
        <w:rPr>
          <w:rFonts w:hint="eastAsia" w:ascii="宋体" w:hAnsi="宋体" w:eastAsia="宋体"/>
          <w:sz w:val="24"/>
          <w:szCs w:val="24"/>
        </w:rPr>
        <w:t>交易集团现场咨询。竞买申请书一经提交，即视为竞买人对拍卖的首采区第一标段剥离料现状、数量、</w:t>
      </w:r>
      <w:r>
        <w:rPr>
          <w:rFonts w:hint="eastAsia" w:ascii="宋体" w:hAnsi="宋体" w:eastAsia="宋体"/>
          <w:kern w:val="32"/>
          <w:sz w:val="24"/>
          <w:szCs w:val="24"/>
        </w:rPr>
        <w:t>有关风险、影响因素，以及</w:t>
      </w:r>
      <w:r>
        <w:rPr>
          <w:rFonts w:hint="eastAsia" w:ascii="宋体" w:hAnsi="宋体" w:eastAsia="宋体"/>
          <w:sz w:val="24"/>
          <w:szCs w:val="24"/>
        </w:rPr>
        <w:t>网上拍卖公告、评估报告、相关拍卖资料等已充分了解并无异议，由此产生的一切风险及后果由竞买人自行承担，</w:t>
      </w:r>
      <w:r>
        <w:rPr>
          <w:rFonts w:hint="eastAsia" w:ascii="宋体" w:hAnsi="宋体" w:eastAsia="宋体"/>
          <w:kern w:val="32"/>
          <w:sz w:val="24"/>
          <w:szCs w:val="24"/>
          <w:lang w:eastAsia="zh-CN"/>
        </w:rPr>
        <w:t>委托人</w:t>
      </w:r>
      <w:r>
        <w:rPr>
          <w:rFonts w:hint="eastAsia" w:ascii="宋体" w:hAnsi="宋体" w:eastAsia="宋体"/>
          <w:kern w:val="32"/>
          <w:sz w:val="24"/>
          <w:szCs w:val="24"/>
        </w:rPr>
        <w:t>对此不承担责任。</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w:t>
      </w:r>
      <w:r>
        <w:rPr>
          <w:rFonts w:hint="eastAsia" w:ascii="宋体" w:hAnsi="宋体" w:eastAsia="宋体"/>
          <w:sz w:val="24"/>
          <w:szCs w:val="24"/>
          <w:lang w:eastAsia="zh-CN"/>
        </w:rPr>
        <w:t>委托人</w:t>
      </w:r>
      <w:r>
        <w:rPr>
          <w:rFonts w:hint="eastAsia" w:ascii="宋体" w:hAnsi="宋体" w:eastAsia="宋体"/>
          <w:sz w:val="24"/>
          <w:szCs w:val="24"/>
        </w:rPr>
        <w:t>认为需要对拍卖公告作出修改、补充时，将于网上交易申请截止日前在交易中心门户网站发布补充公告，不作另行通知，若竞买人未自行及时关注交易中心门户网站发布的补充公告，由此产生的一切风险及后果由竞买人自行承担，</w:t>
      </w:r>
      <w:r>
        <w:rPr>
          <w:rFonts w:hint="eastAsia" w:ascii="宋体" w:hAnsi="宋体" w:eastAsia="宋体"/>
          <w:sz w:val="24"/>
          <w:szCs w:val="24"/>
          <w:lang w:eastAsia="zh-CN"/>
        </w:rPr>
        <w:t>委托人</w:t>
      </w:r>
      <w:r>
        <w:rPr>
          <w:rFonts w:hint="eastAsia" w:ascii="宋体" w:hAnsi="宋体" w:eastAsia="宋体"/>
          <w:sz w:val="24"/>
          <w:szCs w:val="24"/>
        </w:rPr>
        <w:t>不对此承担责任。</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六、参与网上拍卖出让活动前，竞买人应前往</w:t>
      </w:r>
      <w:r>
        <w:rPr>
          <w:rFonts w:hint="eastAsia" w:ascii="宋体" w:hAnsi="宋体" w:eastAsia="宋体"/>
          <w:sz w:val="24"/>
          <w:szCs w:val="24"/>
          <w:lang w:val="en-US" w:eastAsia="zh-CN"/>
        </w:rPr>
        <w:t>广州</w:t>
      </w:r>
      <w:r>
        <w:rPr>
          <w:rFonts w:hint="eastAsia" w:ascii="宋体" w:hAnsi="宋体" w:eastAsia="宋体"/>
          <w:sz w:val="24"/>
          <w:szCs w:val="24"/>
        </w:rPr>
        <w:t>交易集团二楼窗口办理CA数字证书及电子签章。竞买人办理的CA数字证书须提前与交易系统进行绑定，绑定后方可登录交易系统参与网上拍卖活动。办理资料及流程详见</w:t>
      </w:r>
      <w:r>
        <w:rPr>
          <w:rFonts w:hint="eastAsia" w:ascii="宋体" w:hAnsi="宋体" w:eastAsia="宋体"/>
          <w:sz w:val="24"/>
          <w:szCs w:val="24"/>
          <w:lang w:val="en-US" w:eastAsia="zh-CN"/>
        </w:rPr>
        <w:t>广州</w:t>
      </w:r>
      <w:r>
        <w:rPr>
          <w:rFonts w:hint="eastAsia" w:ascii="宋体" w:hAnsi="宋体" w:eastAsia="宋体"/>
          <w:sz w:val="24"/>
          <w:szCs w:val="24"/>
        </w:rPr>
        <w:t>交易集团网门户网站（http://www.gzggzy.cn）服务指南/办事指引/CA及电子签章。</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七、网上拍卖申请程序</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（一）竞买人凭CA数字证书登录</w:t>
      </w:r>
      <w:r>
        <w:rPr>
          <w:rFonts w:hint="eastAsia" w:ascii="宋体" w:hAnsi="宋体" w:eastAsia="宋体"/>
          <w:sz w:val="24"/>
          <w:szCs w:val="24"/>
          <w:lang w:val="en-US" w:eastAsia="zh-CN"/>
        </w:rPr>
        <w:t>广州</w:t>
      </w:r>
      <w:r>
        <w:rPr>
          <w:rFonts w:hint="eastAsia" w:ascii="宋体" w:hAnsi="宋体" w:eastAsia="宋体"/>
          <w:sz w:val="24"/>
          <w:szCs w:val="24"/>
        </w:rPr>
        <w:t>交易集团土地（矿业）权交易平台的企业库系统（http://www.gzggzy.cn/cms/index.html）办理企业信息登记入库；办理资料及流程详见</w:t>
      </w:r>
      <w:r>
        <w:rPr>
          <w:rFonts w:hint="eastAsia" w:ascii="宋体" w:hAnsi="宋体" w:eastAsia="宋体"/>
          <w:sz w:val="24"/>
          <w:szCs w:val="24"/>
          <w:lang w:val="en-US" w:eastAsia="zh-CN"/>
        </w:rPr>
        <w:t>广州</w:t>
      </w:r>
      <w:r>
        <w:rPr>
          <w:rFonts w:hint="eastAsia" w:ascii="宋体" w:hAnsi="宋体" w:eastAsia="宋体"/>
          <w:sz w:val="24"/>
          <w:szCs w:val="24"/>
        </w:rPr>
        <w:t>交易集团网门户网站（</w:t>
      </w:r>
      <w:r>
        <w:fldChar w:fldCharType="begin"/>
      </w:r>
      <w:r>
        <w:instrText xml:space="preserve"> HYPERLINK "http://www.gzggzy.cn" </w:instrText>
      </w:r>
      <w:r>
        <w:fldChar w:fldCharType="separate"/>
      </w:r>
      <w:r>
        <w:rPr>
          <w:rStyle w:val="13"/>
          <w:rFonts w:hint="eastAsia" w:ascii="宋体" w:hAnsi="宋体" w:eastAsia="宋体"/>
          <w:color w:val="auto"/>
          <w:sz w:val="24"/>
          <w:szCs w:val="24"/>
        </w:rPr>
        <w:t>http://www.gzggzy.cn</w:t>
      </w:r>
      <w:r>
        <w:rPr>
          <w:rStyle w:val="13"/>
          <w:rFonts w:hint="eastAsia" w:ascii="宋体" w:hAnsi="宋体" w:eastAsia="宋体"/>
          <w:color w:val="auto"/>
          <w:sz w:val="24"/>
          <w:szCs w:val="24"/>
        </w:rPr>
        <w:fldChar w:fldCharType="end"/>
      </w:r>
      <w:r>
        <w:rPr>
          <w:rFonts w:hint="eastAsia" w:ascii="宋体" w:hAnsi="宋体" w:eastAsia="宋体"/>
          <w:sz w:val="24"/>
          <w:szCs w:val="24"/>
        </w:rPr>
        <w:t>）服务指南/办事指引/企业信息登记/自然资源类栏目《土地使用权及矿业（其他自然资源）权类企业信息登记办事指引》。</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（二）企业库信息提交入库十分钟后，竞买人即可通过交易系统进行网上申请，并按照公告要求填报和上传相关申请资料；</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（三）竞买人应在公告约定截止时间前通过交易系统选择其中一间银行及相应币种（限人民币），并按照随机分配的银行子账号，按时足额缴纳保证金，交易系统以此子账号作为识别竞买人身份的依据；</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（四）竞买人登录交易系统在“保证金管理”栏目查询保证金缴纳状态，经交易系统确认到账后，方可进入后续报价、竞价环节。</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八、竞买人应在公告规定的申请截止日期前，通过交易系统提交网上申请及相关申请文件，因未按严格执行公告要求导致上传资料不全或逾期提交的，将无法取得竞买或竞得资格。申请文件包括但不限于下列文件：</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1.竞买申请书；</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2.营业执照副本；</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3.法定代表人证明及法人代表身份证复印件；</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4.授权委托书及代理人身份证复印件；</w:t>
      </w:r>
    </w:p>
    <w:p>
      <w:pPr>
        <w:shd w:val="clear" w:color="auto"/>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5.竞买人必须为中华人民共和国境内注册登记的营利法人、非营利法人中的事业单位法人、个人独资企业、合伙企业或个体工商户，个人不得参与竞拍；</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6.竞买人未被列入“信用中国”失信联合惩戒对象或失信黑名单；</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7.本次网上拍卖仅接受单独竞买；</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8.竞买人需具有：土石余渣或建筑废弃物消纳</w:t>
      </w:r>
      <w:r>
        <w:rPr>
          <w:rFonts w:hint="eastAsia" w:ascii="宋体" w:hAnsi="宋体" w:eastAsia="宋体"/>
          <w:sz w:val="24"/>
          <w:szCs w:val="24"/>
          <w:lang w:val="en-US" w:eastAsia="zh-CN"/>
        </w:rPr>
        <w:t>业绩</w:t>
      </w:r>
      <w:r>
        <w:rPr>
          <w:rFonts w:hint="eastAsia" w:ascii="宋体" w:hAnsi="宋体" w:eastAsia="宋体"/>
          <w:sz w:val="24"/>
          <w:szCs w:val="24"/>
        </w:rPr>
        <w:t>，在近三年内，须独立完成累计工程消纳方量200万m³或以上的类似施工业绩证明文件（包括合同文件及结算证明）。</w:t>
      </w:r>
    </w:p>
    <w:p>
      <w:pPr>
        <w:shd w:val="clear" w:color="auto" w:fill="FFFFFF"/>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9.</w:t>
      </w:r>
      <w:r>
        <w:rPr>
          <w:rFonts w:hint="eastAsia" w:ascii="宋体" w:hAnsi="宋体" w:eastAsia="宋体"/>
          <w:sz w:val="24"/>
          <w:szCs w:val="24"/>
        </w:rPr>
        <w:t>竞买人须在矿山30km直线范围内有1处以上（含1处）在营建筑废弃物再生资源处置场所，处置场所需经县（区）</w:t>
      </w:r>
      <w:r>
        <w:rPr>
          <w:rFonts w:hint="eastAsia" w:ascii="宋体" w:hAnsi="宋体" w:eastAsia="宋体"/>
          <w:sz w:val="24"/>
          <w:szCs w:val="24"/>
          <w:lang w:val="en-US" w:eastAsia="zh-CN"/>
        </w:rPr>
        <w:t>及</w:t>
      </w:r>
      <w:bookmarkStart w:id="6" w:name="_GoBack"/>
      <w:bookmarkEnd w:id="6"/>
      <w:r>
        <w:rPr>
          <w:rFonts w:hint="eastAsia" w:ascii="宋体" w:hAnsi="宋体" w:eastAsia="宋体"/>
          <w:sz w:val="24"/>
          <w:szCs w:val="24"/>
        </w:rPr>
        <w:t>以上相关主管部门认可，消纳处置量以证载数据为准，合计消纳处置能力须不小于150万m³/年，资格审查时需提供建筑废弃物处置证(消纳)或城市建设垃圾处置(受纳)核准许可证原件。</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10</w:t>
      </w:r>
      <w:r>
        <w:rPr>
          <w:rFonts w:hint="eastAsia" w:ascii="宋体" w:hAnsi="宋体" w:eastAsia="宋体"/>
          <w:sz w:val="24"/>
          <w:szCs w:val="24"/>
        </w:rPr>
        <w:t>.竞买人拟参与本次拍卖标的，应当按照本公告、竞买须知等相关文件提交参与拍卖申请，并缴纳竞</w:t>
      </w:r>
      <w:r>
        <w:rPr>
          <w:rFonts w:hint="eastAsia" w:ascii="宋体" w:hAnsi="宋体" w:eastAsia="宋体"/>
          <w:sz w:val="24"/>
          <w:szCs w:val="24"/>
          <w:lang w:val="en-US" w:eastAsia="zh-CN"/>
        </w:rPr>
        <w:t>买</w:t>
      </w:r>
      <w:r>
        <w:rPr>
          <w:rFonts w:hint="eastAsia" w:ascii="宋体" w:hAnsi="宋体" w:eastAsia="宋体"/>
          <w:sz w:val="24"/>
          <w:szCs w:val="24"/>
        </w:rPr>
        <w:t>保证金，竞</w:t>
      </w:r>
      <w:r>
        <w:rPr>
          <w:rFonts w:hint="eastAsia" w:ascii="宋体" w:hAnsi="宋体" w:eastAsia="宋体"/>
          <w:sz w:val="24"/>
          <w:szCs w:val="24"/>
          <w:lang w:val="en-US" w:eastAsia="zh-CN"/>
        </w:rPr>
        <w:t>买</w:t>
      </w:r>
      <w:r>
        <w:rPr>
          <w:rFonts w:hint="eastAsia" w:ascii="宋体" w:hAnsi="宋体" w:eastAsia="宋体"/>
          <w:sz w:val="24"/>
          <w:szCs w:val="24"/>
        </w:rPr>
        <w:t>保证金暂定人民币大写【</w:t>
      </w:r>
      <w:r>
        <w:rPr>
          <w:rFonts w:hint="eastAsia" w:ascii="宋体" w:hAnsi="宋体" w:eastAsia="宋体"/>
          <w:sz w:val="24"/>
          <w:szCs w:val="24"/>
          <w:lang w:val="en-US" w:eastAsia="zh-CN"/>
        </w:rPr>
        <w:t>壹仟贰佰万</w:t>
      </w:r>
      <w:r>
        <w:rPr>
          <w:rFonts w:hint="eastAsia" w:ascii="宋体" w:hAnsi="宋体" w:eastAsia="宋体"/>
          <w:sz w:val="24"/>
          <w:szCs w:val="24"/>
        </w:rPr>
        <w:t>元整】（小写：¥</w:t>
      </w:r>
      <w:r>
        <w:rPr>
          <w:rFonts w:hint="eastAsia" w:ascii="宋体" w:hAnsi="宋体" w:eastAsia="宋体"/>
          <w:sz w:val="24"/>
          <w:szCs w:val="24"/>
          <w:lang w:val="en-US" w:eastAsia="zh-CN"/>
        </w:rPr>
        <w:t>12</w:t>
      </w:r>
      <w:r>
        <w:rPr>
          <w:rFonts w:hint="eastAsia" w:ascii="宋体" w:hAnsi="宋体" w:eastAsia="宋体"/>
          <w:sz w:val="24"/>
          <w:szCs w:val="24"/>
        </w:rPr>
        <w:t>,000,000元）</w:t>
      </w:r>
      <w:r>
        <w:rPr>
          <w:rFonts w:hint="eastAsia" w:ascii="宋体" w:hAnsi="宋体" w:eastAsia="宋体"/>
          <w:sz w:val="24"/>
          <w:szCs w:val="24"/>
          <w:lang w:eastAsia="zh-CN"/>
        </w:rPr>
        <w:t>；</w:t>
      </w:r>
    </w:p>
    <w:p>
      <w:pPr>
        <w:pStyle w:val="8"/>
        <w:topLinePunct/>
        <w:ind w:firstLine="480" w:firstLineChars="200"/>
        <w:textAlignment w:val="center"/>
        <w:rPr>
          <w:rFonts w:ascii="宋体" w:hAnsi="宋体" w:eastAsia="宋体"/>
          <w:szCs w:val="24"/>
        </w:rPr>
      </w:pPr>
      <w:r>
        <w:rPr>
          <w:rFonts w:hint="eastAsia" w:ascii="宋体" w:hAnsi="宋体" w:eastAsia="宋体"/>
          <w:szCs w:val="24"/>
        </w:rPr>
        <w:t>九、网上交易的报价规则</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（一）竞买人通过交易系统进行报价；</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（二）同一竞买人可连续、多次报价；</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（三）初次报价不得低于起拍总价；</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（四）报价应以增价方式进行，每次增价幅度不得小于公告规定增价幅度；</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（五）符合相关条件的报价，交易系统予以接受，并即时公布；</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（六）交易系统自动提醒竞买人谨慎报价，报价一经提交并经系统记录即视为有效报价，不得撤回。</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十、竞买申请截止时，根据下列条件判断是否成交，或者转入网上限时竞价程序： </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（一）竞买申请截止时，无竞买人成功申请的，交易系统显示拍卖不成交；</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（二）竞买申请截止时，有一个或者一个以上的竞买人成功申请的，交易系统自动进入网上限时竞价程序。</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一、网上限时竞价程序。交易系统以5分钟倒计时为竞价时限，如在5分钟倒计时内有新的报价，交易系统即从接受新报价之时起再倒计时5分钟，竞买人可参与新一轮的报价。任何一次5分钟倒计时内无人报价，则在该次5分钟倒计时结束，交易系统自动关闭报价通道，并自动确认成交结果。</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十二、网上限时竞价结束，交易系统按下列规则确定是否成交，并在相关信息栏中显示交易结果：</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（一）网上限时竞价中，有竞买人进行报价，最高报价为最终报价，该竞买人为最终报价人，最终报价人待资格审核通过后确定为竞得人；</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（二）网上限时竞价中无人报价的，交易系统显示拍卖不成交。</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十三、竞买人未按时缴纳竞买保证金，造成竞买保证金在规定时间内未到账的，所造成的一切损失和法律后果由竞买人自行承担。</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十四、竞买人在交易系统实施的所有行为，均由交易系统服务器自动记录，视为竞买人真实或经合法授权的行为，该行为所引起的法律责任由竞买人承担。</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十五、竞买人在2</w:t>
      </w:r>
      <w:r>
        <w:rPr>
          <w:rFonts w:ascii="宋体" w:hAnsi="宋体" w:eastAsia="宋体"/>
          <w:sz w:val="24"/>
          <w:szCs w:val="24"/>
        </w:rPr>
        <w:t>4</w:t>
      </w:r>
      <w:r>
        <w:rPr>
          <w:rFonts w:hint="eastAsia" w:ascii="宋体" w:hAnsi="宋体" w:eastAsia="宋体"/>
          <w:sz w:val="24"/>
          <w:szCs w:val="24"/>
        </w:rPr>
        <w:t>小时内连续六次输错密码，交易系统将自动锁定竞买人相关权限。CA证书锁定后需要解锁的，竞买人应向电子商务认证机构提供相关证明申请办理解锁。</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竞买人应当妥善保管数字证书和密码。因竞买人电脑操作系统被侵入或其他自身原因导致数字证书遗失或密码泄漏等造成的损失，由竞买人自行承担。</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六、竞买人在参与网上公开交易活动前，应当及时检查所使用的计算机系统，若竞买人计算机系统遭遇网络安全事故（包括黑客攻击、病毒入侵等）、网络堵塞和系统硬件故障等导致不能正常登录交易系统进行竞买申请、网上报价、限时竞价的，后果由竞买人自行承担。</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十七、有下列情形之一的，应暂停、中止或终止网上交易活动：</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（一）交易系统受到网络恶意入侵的；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（二）因交易系统遭受破坏或发生电力、网络故障等不可抗力的非交易中心因素，导致交易系统不能正常运行的；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w:t>
      </w:r>
      <w:r>
        <w:rPr>
          <w:rFonts w:hint="eastAsia" w:ascii="宋体" w:hAnsi="宋体" w:eastAsia="宋体"/>
          <w:sz w:val="24"/>
          <w:szCs w:val="24"/>
          <w:lang w:eastAsia="zh-CN"/>
        </w:rPr>
        <w:t>委托人</w:t>
      </w:r>
      <w:r>
        <w:rPr>
          <w:rFonts w:hint="eastAsia" w:ascii="宋体" w:hAnsi="宋体" w:eastAsia="宋体"/>
          <w:sz w:val="24"/>
          <w:szCs w:val="24"/>
        </w:rPr>
        <w:t>根据有关规定要求暂停、中止或终止网上交易活动的；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（四）司法机关要求暂停、中止或终止网上交易活动的；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（五）涉及网上交易标的纠纷，不能及时解决的；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w:t>
      </w:r>
      <w:r>
        <w:rPr>
          <w:rFonts w:hint="eastAsia" w:ascii="宋体" w:hAnsi="宋体" w:eastAsia="宋体"/>
          <w:sz w:val="24"/>
          <w:szCs w:val="24"/>
          <w:lang w:eastAsia="zh-CN"/>
        </w:rPr>
        <w:t>委托人</w:t>
      </w:r>
      <w:r>
        <w:rPr>
          <w:rFonts w:hint="eastAsia" w:ascii="宋体" w:hAnsi="宋体" w:eastAsia="宋体"/>
          <w:sz w:val="24"/>
          <w:szCs w:val="24"/>
        </w:rPr>
        <w:t>、交易中心认为应当暂停、中止或终止网上交易活动的其他情形。</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十八、出现本须知第十七条第（一）项规定情形的，交易中心暂停网上交易活动后，应将情况及时上报</w:t>
      </w:r>
      <w:r>
        <w:rPr>
          <w:rFonts w:hint="eastAsia" w:ascii="宋体" w:hAnsi="宋体" w:eastAsia="宋体"/>
          <w:sz w:val="24"/>
          <w:szCs w:val="24"/>
          <w:lang w:eastAsia="zh-CN"/>
        </w:rPr>
        <w:t>委托人</w:t>
      </w:r>
      <w:r>
        <w:rPr>
          <w:rFonts w:hint="eastAsia" w:ascii="宋体" w:hAnsi="宋体" w:eastAsia="宋体"/>
          <w:sz w:val="24"/>
          <w:szCs w:val="24"/>
        </w:rPr>
        <w:t>，待问题排查、清除后恢复交易；</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出现本须知第十七条第（一）项、（二）项及第（四）项规定情形的，广州交易集团应发函告知</w:t>
      </w:r>
      <w:r>
        <w:rPr>
          <w:rFonts w:hint="eastAsia" w:ascii="宋体" w:hAnsi="宋体" w:eastAsia="宋体"/>
          <w:sz w:val="24"/>
          <w:szCs w:val="24"/>
          <w:lang w:eastAsia="zh-CN"/>
        </w:rPr>
        <w:t>委托人</w:t>
      </w:r>
      <w:r>
        <w:rPr>
          <w:rFonts w:hint="eastAsia" w:ascii="宋体" w:hAnsi="宋体" w:eastAsia="宋体"/>
          <w:sz w:val="24"/>
          <w:szCs w:val="24"/>
        </w:rPr>
        <w:t>；</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出现本须知第十七条第（五）项及第（六）项规定情形的，交易中心应报</w:t>
      </w:r>
      <w:r>
        <w:rPr>
          <w:rFonts w:hint="eastAsia" w:ascii="宋体" w:hAnsi="宋体" w:eastAsia="宋体"/>
          <w:sz w:val="24"/>
          <w:szCs w:val="24"/>
          <w:lang w:eastAsia="zh-CN"/>
        </w:rPr>
        <w:t>委托人</w:t>
      </w:r>
      <w:r>
        <w:rPr>
          <w:rFonts w:hint="eastAsia" w:ascii="宋体" w:hAnsi="宋体" w:eastAsia="宋体"/>
          <w:sz w:val="24"/>
          <w:szCs w:val="24"/>
        </w:rPr>
        <w:t>审核。在</w:t>
      </w:r>
      <w:r>
        <w:rPr>
          <w:rFonts w:hint="eastAsia" w:ascii="宋体" w:hAnsi="宋体" w:eastAsia="宋体"/>
          <w:sz w:val="24"/>
          <w:szCs w:val="24"/>
          <w:lang w:eastAsia="zh-CN"/>
        </w:rPr>
        <w:t>委托人</w:t>
      </w:r>
      <w:r>
        <w:rPr>
          <w:rFonts w:hint="eastAsia" w:ascii="宋体" w:hAnsi="宋体" w:eastAsia="宋体"/>
          <w:sz w:val="24"/>
          <w:szCs w:val="24"/>
        </w:rPr>
        <w:t>做出暂停、中止或终止网上交易活动的决定后，由交易中心通过原公告渠道发布暂停、中止或终止公告，并关闭交易系统竞价通道。</w:t>
      </w:r>
    </w:p>
    <w:p>
      <w:pPr>
        <w:numPr>
          <w:ilvl w:val="0"/>
          <w:numId w:val="1"/>
        </w:numPr>
        <w:shd w:val="clear" w:color="auto" w:fill="FFFFFF"/>
        <w:spacing w:line="360" w:lineRule="auto"/>
        <w:ind w:firstLine="480" w:firstLineChars="200"/>
        <w:rPr>
          <w:rFonts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网上拍卖活动结束后，未竞得人缴纳的保证金及利息由广州交易集团</w:t>
      </w:r>
      <w:r>
        <w:rPr>
          <w:rFonts w:hint="eastAsia" w:asciiTheme="majorEastAsia" w:hAnsiTheme="majorEastAsia" w:eastAsiaTheme="majorEastAsia" w:cstheme="majorEastAsia"/>
          <w:sz w:val="24"/>
          <w:szCs w:val="24"/>
          <w:shd w:val="clear" w:color="auto" w:fill="FFFFFF"/>
          <w:lang w:val="en-US" w:eastAsia="zh-CN"/>
        </w:rPr>
        <w:t>在</w:t>
      </w:r>
      <w:r>
        <w:rPr>
          <w:rFonts w:hint="eastAsia" w:asciiTheme="majorEastAsia" w:hAnsiTheme="majorEastAsia" w:eastAsiaTheme="majorEastAsia" w:cstheme="majorEastAsia"/>
          <w:sz w:val="24"/>
          <w:szCs w:val="24"/>
          <w:shd w:val="clear" w:color="auto" w:fill="FFFFFF"/>
        </w:rPr>
        <w:t>5个工作日内予以退还，利息按银行的同期活期利率计算。</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二十、竞得人应于资格确认后1个工作日内与广州交易集团签订《成交确认书》，</w:t>
      </w:r>
      <w:r>
        <w:rPr>
          <w:rFonts w:ascii="宋体" w:hAnsi="宋体" w:eastAsia="宋体"/>
          <w:sz w:val="24"/>
          <w:szCs w:val="24"/>
        </w:rPr>
        <w:t>并在签订《成交确认书》后</w:t>
      </w:r>
      <w:r>
        <w:rPr>
          <w:rFonts w:hint="eastAsia" w:ascii="宋体" w:hAnsi="宋体" w:eastAsia="宋体"/>
          <w:sz w:val="24"/>
          <w:szCs w:val="24"/>
        </w:rPr>
        <w:t>3</w:t>
      </w:r>
      <w:r>
        <w:rPr>
          <w:rFonts w:ascii="宋体" w:hAnsi="宋体" w:eastAsia="宋体"/>
          <w:sz w:val="24"/>
          <w:szCs w:val="24"/>
        </w:rPr>
        <w:t>个工作日内</w:t>
      </w:r>
      <w:r>
        <w:rPr>
          <w:rFonts w:hint="eastAsia" w:asciiTheme="majorEastAsia" w:hAnsiTheme="majorEastAsia" w:eastAsiaTheme="majorEastAsia" w:cstheme="majorEastAsia"/>
          <w:sz w:val="24"/>
          <w:szCs w:val="24"/>
          <w:shd w:val="clear" w:color="auto" w:fill="FFFFFF"/>
        </w:rPr>
        <w:t>竞得人携企业营业执照原件及相关处理广州市花都区花山镇城西石场建筑用花岗岩矿项目首采区第一标段剥离料所需的相关证明材料到中电建</w:t>
      </w:r>
      <w:r>
        <w:rPr>
          <w:rFonts w:hint="eastAsia" w:asciiTheme="majorEastAsia" w:hAnsiTheme="majorEastAsia" w:eastAsiaTheme="majorEastAsia" w:cstheme="majorEastAsia"/>
          <w:sz w:val="24"/>
          <w:szCs w:val="24"/>
          <w:shd w:val="clear" w:color="auto" w:fill="FFFFFF"/>
          <w:lang w:val="en-US" w:eastAsia="zh-CN"/>
        </w:rPr>
        <w:t>智都</w:t>
      </w:r>
      <w:r>
        <w:rPr>
          <w:rFonts w:hint="eastAsia" w:asciiTheme="majorEastAsia" w:hAnsiTheme="majorEastAsia" w:eastAsiaTheme="majorEastAsia" w:cstheme="majorEastAsia"/>
          <w:sz w:val="24"/>
          <w:szCs w:val="24"/>
          <w:shd w:val="clear" w:color="auto" w:fill="FFFFFF"/>
        </w:rPr>
        <w:t>城市投资有限公司</w:t>
      </w:r>
      <w:r>
        <w:rPr>
          <w:rFonts w:hint="eastAsia" w:ascii="宋体" w:hAnsi="宋体" w:eastAsia="宋体"/>
          <w:sz w:val="24"/>
          <w:szCs w:val="24"/>
        </w:rPr>
        <w:t>签订《广州市花都区花山镇城西石场建筑用花岗岩矿项目首采区第一标段剥离料交易合同》。在签订交易合同之日起</w:t>
      </w:r>
      <w:r>
        <w:rPr>
          <w:rFonts w:hint="eastAsia" w:ascii="宋体" w:hAnsi="宋体" w:eastAsia="宋体"/>
          <w:sz w:val="24"/>
          <w:szCs w:val="24"/>
          <w:lang w:val="en-US" w:eastAsia="zh-CN"/>
        </w:rPr>
        <w:t>5</w:t>
      </w:r>
      <w:r>
        <w:rPr>
          <w:rFonts w:hint="eastAsia" w:ascii="宋体" w:hAnsi="宋体" w:eastAsia="宋体"/>
          <w:sz w:val="24"/>
          <w:szCs w:val="24"/>
        </w:rPr>
        <w:t>个工作日内，采用先款后货模式支付预付货款开始提货，直至提清货物。</w:t>
      </w:r>
    </w:p>
    <w:p>
      <w:pPr>
        <w:shd w:val="clear" w:color="auto" w:fill="FFFFFF"/>
        <w:spacing w:line="360" w:lineRule="auto"/>
        <w:ind w:firstLine="480" w:firstLineChars="200"/>
        <w:rPr>
          <w:rFonts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1.本次网上拍卖标的物处于矿区范围，且周边环境、关系复杂，为不影响在建项目施工，竞得人提货时间必须与</w:t>
      </w:r>
      <w:r>
        <w:rPr>
          <w:rFonts w:hint="eastAsia" w:asciiTheme="majorEastAsia" w:hAnsiTheme="majorEastAsia" w:eastAsiaTheme="majorEastAsia" w:cstheme="majorEastAsia"/>
          <w:sz w:val="24"/>
          <w:szCs w:val="24"/>
          <w:shd w:val="clear" w:color="auto" w:fill="FFFFFF"/>
          <w:lang w:val="en-US" w:eastAsia="zh-CN"/>
        </w:rPr>
        <w:t>委托人提出的相关计划</w:t>
      </w:r>
      <w:r>
        <w:rPr>
          <w:rFonts w:hint="eastAsia" w:asciiTheme="majorEastAsia" w:hAnsiTheme="majorEastAsia" w:eastAsiaTheme="majorEastAsia" w:cstheme="majorEastAsia"/>
          <w:sz w:val="24"/>
          <w:szCs w:val="24"/>
          <w:shd w:val="clear" w:color="auto" w:fill="FFFFFF"/>
        </w:rPr>
        <w:t>保持同步，故本次拍卖的第一标段剥离料的提货时间以配合项目</w:t>
      </w:r>
      <w:r>
        <w:rPr>
          <w:rFonts w:hint="eastAsia" w:asciiTheme="majorEastAsia" w:hAnsiTheme="majorEastAsia" w:eastAsiaTheme="majorEastAsia" w:cstheme="majorEastAsia"/>
          <w:sz w:val="24"/>
          <w:szCs w:val="24"/>
          <w:shd w:val="clear" w:color="auto" w:fill="FFFFFF"/>
          <w:lang w:val="en-US" w:eastAsia="zh-CN"/>
        </w:rPr>
        <w:t>剥离料剥离</w:t>
      </w:r>
      <w:r>
        <w:rPr>
          <w:rFonts w:hint="eastAsia" w:asciiTheme="majorEastAsia" w:hAnsiTheme="majorEastAsia" w:eastAsiaTheme="majorEastAsia" w:cstheme="majorEastAsia"/>
          <w:sz w:val="24"/>
          <w:szCs w:val="24"/>
          <w:shd w:val="clear" w:color="auto" w:fill="FFFFFF"/>
        </w:rPr>
        <w:t>进度时间为准。</w:t>
      </w:r>
      <w:r>
        <w:rPr>
          <w:rFonts w:hint="eastAsia" w:asciiTheme="majorEastAsia" w:hAnsiTheme="majorEastAsia" w:eastAsiaTheme="majorEastAsia" w:cstheme="majorEastAsia"/>
          <w:sz w:val="24"/>
          <w:szCs w:val="24"/>
          <w:shd w:val="clear" w:color="auto" w:fill="FFFFFF"/>
          <w:lang w:val="en-US" w:eastAsia="zh-CN"/>
        </w:rPr>
        <w:t>因竞得人自身原因</w:t>
      </w:r>
      <w:r>
        <w:rPr>
          <w:rFonts w:hint="eastAsia" w:asciiTheme="majorEastAsia" w:hAnsiTheme="majorEastAsia" w:eastAsiaTheme="majorEastAsia" w:cstheme="majorEastAsia"/>
          <w:sz w:val="24"/>
          <w:szCs w:val="24"/>
          <w:shd w:val="clear" w:color="auto" w:fill="FFFFFF"/>
        </w:rPr>
        <w:t>无法配合矿区剥离进度且协调后仍无法满足的，未处置剥离料由委托人收回，履约保证金不予退还；已</w:t>
      </w:r>
      <w:r>
        <w:rPr>
          <w:rFonts w:hint="eastAsia" w:asciiTheme="majorEastAsia" w:hAnsiTheme="majorEastAsia" w:eastAsiaTheme="majorEastAsia" w:cstheme="majorEastAsia"/>
          <w:sz w:val="24"/>
          <w:szCs w:val="24"/>
          <w:shd w:val="clear" w:color="auto" w:fill="FFFFFF"/>
          <w:lang w:val="en-US" w:eastAsia="zh-CN"/>
        </w:rPr>
        <w:t>处置</w:t>
      </w:r>
      <w:r>
        <w:rPr>
          <w:rFonts w:hint="eastAsia" w:asciiTheme="majorEastAsia" w:hAnsiTheme="majorEastAsia" w:eastAsiaTheme="majorEastAsia" w:cstheme="majorEastAsia"/>
          <w:sz w:val="24"/>
          <w:szCs w:val="24"/>
          <w:shd w:val="clear" w:color="auto" w:fill="FFFFFF"/>
        </w:rPr>
        <w:t>部分，据实结算。竞得人需对该时间风险有充分的考虑。</w:t>
      </w:r>
    </w:p>
    <w:p>
      <w:pPr>
        <w:shd w:val="clear" w:color="auto" w:fill="FFFFFF"/>
        <w:spacing w:line="360" w:lineRule="auto"/>
        <w:ind w:firstLine="480" w:firstLineChars="200"/>
        <w:rPr>
          <w:rFonts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2.本次网上拍卖标的物在装车完成后，如果有产生的渣土、泥尾等，竞得人自行清理、处置，直至满足交通、环保相关要求，相关责任和费用由竞得人承担。</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二十一、广州市花都区花山镇城西石场建筑用花岗岩矿项目</w:t>
      </w:r>
      <w:bookmarkStart w:id="5" w:name="_Hlk170892162"/>
      <w:r>
        <w:rPr>
          <w:rFonts w:hint="eastAsia" w:ascii="宋体" w:hAnsi="宋体" w:eastAsia="宋体"/>
          <w:sz w:val="24"/>
          <w:szCs w:val="24"/>
        </w:rPr>
        <w:t>首采区第一标段剥离料</w:t>
      </w:r>
      <w:bookmarkEnd w:id="5"/>
      <w:r>
        <w:rPr>
          <w:rFonts w:hint="eastAsia" w:ascii="宋体" w:hAnsi="宋体" w:eastAsia="宋体"/>
          <w:sz w:val="24"/>
          <w:szCs w:val="24"/>
        </w:rPr>
        <w:t>交易合同</w:t>
      </w:r>
      <w:r>
        <w:rPr>
          <w:rFonts w:ascii="宋体" w:hAnsi="宋体" w:eastAsia="宋体"/>
          <w:sz w:val="24"/>
          <w:szCs w:val="24"/>
        </w:rPr>
        <w:t>生效后</w:t>
      </w:r>
      <w:r>
        <w:rPr>
          <w:rFonts w:hint="eastAsia" w:ascii="宋体" w:hAnsi="宋体" w:eastAsia="宋体"/>
          <w:sz w:val="24"/>
          <w:szCs w:val="24"/>
        </w:rPr>
        <w:t>，竞得人必须</w:t>
      </w:r>
      <w:r>
        <w:rPr>
          <w:rFonts w:hint="eastAsia" w:ascii="宋体" w:hAnsi="宋体" w:eastAsia="宋体"/>
          <w:sz w:val="24"/>
          <w:szCs w:val="24"/>
          <w:lang w:eastAsia="zh-Hans"/>
        </w:rPr>
        <w:t>按照</w:t>
      </w:r>
      <w:r>
        <w:rPr>
          <w:rFonts w:hint="eastAsia" w:ascii="宋体" w:hAnsi="宋体" w:eastAsia="宋体"/>
          <w:sz w:val="24"/>
          <w:szCs w:val="24"/>
        </w:rPr>
        <w:t>合同约定支付合同价款。</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二十二、竞得人缴纳的</w:t>
      </w:r>
      <w:r>
        <w:rPr>
          <w:rFonts w:hint="eastAsia" w:ascii="宋体" w:hAnsi="宋体" w:eastAsia="宋体"/>
          <w:sz w:val="24"/>
          <w:szCs w:val="24"/>
          <w:lang w:val="en-US" w:eastAsia="zh-CN"/>
        </w:rPr>
        <w:t>竞买</w:t>
      </w:r>
      <w:r>
        <w:rPr>
          <w:rFonts w:hint="eastAsia" w:ascii="宋体" w:hAnsi="宋体" w:eastAsia="宋体"/>
          <w:sz w:val="24"/>
          <w:szCs w:val="24"/>
        </w:rPr>
        <w:t>保证金，在竞得人签订广州市花都区花山镇城西石场建筑用花岗岩矿项目首采区第一标段剥离料交易合同</w:t>
      </w:r>
      <w:r>
        <w:rPr>
          <w:rFonts w:hint="eastAsia" w:ascii="宋体" w:hAnsi="宋体" w:eastAsia="宋体"/>
          <w:sz w:val="24"/>
          <w:szCs w:val="24"/>
          <w:lang w:val="en-US" w:eastAsia="zh-CN"/>
        </w:rPr>
        <w:t>后，该笔竞买保证金转到委托人（中电建智都城市投资有限公司）指定账户。委托人扣除履约保证金（</w:t>
      </w:r>
      <w:r>
        <w:rPr>
          <w:rFonts w:hint="eastAsia" w:ascii="宋体" w:hAnsi="宋体" w:eastAsia="宋体"/>
          <w:sz w:val="24"/>
          <w:szCs w:val="24"/>
        </w:rPr>
        <w:t>成交价款的</w:t>
      </w:r>
      <w:r>
        <w:rPr>
          <w:rFonts w:hint="eastAsia" w:ascii="宋体" w:hAnsi="宋体" w:eastAsia="宋体"/>
          <w:sz w:val="24"/>
          <w:szCs w:val="24"/>
          <w:lang w:val="en-US" w:eastAsia="zh-CN"/>
        </w:rPr>
        <w:t>20</w:t>
      </w:r>
      <w:r>
        <w:rPr>
          <w:rFonts w:hint="eastAsia" w:ascii="宋体" w:hAnsi="宋体" w:eastAsia="宋体"/>
          <w:sz w:val="24"/>
          <w:szCs w:val="24"/>
        </w:rPr>
        <w:t>%</w:t>
      </w:r>
      <w:r>
        <w:rPr>
          <w:rFonts w:hint="eastAsia" w:ascii="宋体" w:hAnsi="宋体" w:eastAsia="宋体"/>
          <w:sz w:val="24"/>
          <w:szCs w:val="24"/>
          <w:lang w:val="en-US" w:eastAsia="zh-CN"/>
        </w:rPr>
        <w:t>），剩余部分转为首期货款；如履约保证金不足，不足部分由竞得人在5个工作日内补齐并预缴首期货款（成交价款的10%）。履约保证金在竞得人</w:t>
      </w:r>
      <w:r>
        <w:rPr>
          <w:rFonts w:hint="eastAsia" w:ascii="宋体" w:hAnsi="宋体" w:eastAsia="宋体"/>
          <w:sz w:val="24"/>
          <w:szCs w:val="24"/>
          <w:lang w:eastAsia="zh-Hans"/>
        </w:rPr>
        <w:t>按期处理完毕全部</w:t>
      </w:r>
      <w:r>
        <w:rPr>
          <w:rFonts w:hint="eastAsia" w:ascii="宋体" w:hAnsi="宋体" w:eastAsia="宋体"/>
          <w:sz w:val="24"/>
          <w:szCs w:val="24"/>
        </w:rPr>
        <w:t>首采区第一标段剥离料，双方完成结算确认后，</w:t>
      </w:r>
      <w:r>
        <w:rPr>
          <w:rFonts w:ascii="宋体" w:hAnsi="宋体" w:eastAsia="宋体"/>
          <w:sz w:val="24"/>
          <w:szCs w:val="24"/>
          <w:lang w:eastAsia="zh-Hans"/>
        </w:rPr>
        <w:t>5</w:t>
      </w:r>
      <w:r>
        <w:rPr>
          <w:rFonts w:hint="eastAsia" w:ascii="宋体" w:hAnsi="宋体" w:eastAsia="宋体"/>
          <w:sz w:val="24"/>
          <w:szCs w:val="24"/>
        </w:rPr>
        <w:t>个工作日内无息退还。</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二十三、竞得人有下列行为之一的，视为违约，</w:t>
      </w:r>
      <w:r>
        <w:rPr>
          <w:rFonts w:hint="eastAsia" w:ascii="宋体" w:hAnsi="宋体" w:eastAsia="宋体"/>
          <w:sz w:val="24"/>
          <w:szCs w:val="24"/>
          <w:lang w:eastAsia="zh-CN"/>
        </w:rPr>
        <w:t>委托人</w:t>
      </w:r>
      <w:r>
        <w:rPr>
          <w:rFonts w:hint="eastAsia" w:ascii="宋体" w:hAnsi="宋体" w:eastAsia="宋体"/>
          <w:sz w:val="24"/>
          <w:szCs w:val="24"/>
        </w:rPr>
        <w:t>可取消其竞得人资格，竞买保证金不予退还：</w:t>
      </w:r>
    </w:p>
    <w:p>
      <w:pPr>
        <w:shd w:val="clear" w:color="auto" w:fill="FFFFFF"/>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竞得人逾期或拒绝签订《成交确认书》的；</w:t>
      </w:r>
    </w:p>
    <w:p>
      <w:pPr>
        <w:shd w:val="clear" w:color="auto" w:fill="FFFFFF"/>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竞得人逾期或拒绝签订广州市花都区花山镇城西石场建筑用花岗岩矿项目首采区第一标段剥离料交易合同的；</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3.竞得人逾期或拒绝</w:t>
      </w:r>
      <w:r>
        <w:rPr>
          <w:rFonts w:hint="eastAsia" w:ascii="宋体" w:hAnsi="宋体" w:eastAsia="宋体"/>
          <w:sz w:val="24"/>
          <w:szCs w:val="24"/>
          <w:lang w:eastAsia="zh-Hans"/>
        </w:rPr>
        <w:t>处理完毕</w:t>
      </w:r>
      <w:r>
        <w:rPr>
          <w:rFonts w:hint="eastAsia" w:ascii="宋体" w:hAnsi="宋体" w:eastAsia="宋体"/>
          <w:sz w:val="24"/>
          <w:szCs w:val="24"/>
        </w:rPr>
        <w:t>首采区第一标段剥离料</w:t>
      </w:r>
      <w:r>
        <w:rPr>
          <w:rFonts w:hint="eastAsia" w:ascii="宋体" w:hAnsi="宋体" w:eastAsia="宋体"/>
          <w:sz w:val="24"/>
          <w:szCs w:val="24"/>
          <w:lang w:eastAsia="zh-Hans"/>
        </w:rPr>
        <w:t>的</w:t>
      </w:r>
      <w:r>
        <w:rPr>
          <w:rFonts w:hint="eastAsia" w:ascii="宋体" w:hAnsi="宋体" w:eastAsia="宋体"/>
          <w:sz w:val="24"/>
          <w:szCs w:val="24"/>
        </w:rPr>
        <w:t>；</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4.因竞得人提供的信息不真实、不准确、不完整等原因造成拍卖成交的；</w:t>
      </w:r>
    </w:p>
    <w:p>
      <w:pPr>
        <w:shd w:val="clear" w:color="auto" w:fill="FFFFFF"/>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5.竞买人提供虚假文件材料、隐瞒重要事实的</w:t>
      </w:r>
      <w:r>
        <w:rPr>
          <w:rFonts w:hint="eastAsia" w:ascii="宋体" w:hAnsi="宋体" w:eastAsia="宋体"/>
          <w:sz w:val="24"/>
          <w:szCs w:val="24"/>
          <w:lang w:eastAsia="zh-CN"/>
        </w:rPr>
        <w:t>；</w:t>
      </w:r>
    </w:p>
    <w:p>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.竞得人不按处置方案违规处置的；</w:t>
      </w:r>
    </w:p>
    <w:p>
      <w:pPr>
        <w:shd w:val="clear" w:color="auto" w:fill="FFFFFF"/>
        <w:spacing w:line="360" w:lineRule="auto"/>
        <w:ind w:firstLine="480" w:firstLineChars="200"/>
      </w:pPr>
      <w:r>
        <w:rPr>
          <w:rFonts w:hint="eastAsia" w:ascii="宋体" w:hAnsi="宋体" w:eastAsia="宋体"/>
          <w:sz w:val="24"/>
          <w:szCs w:val="24"/>
          <w:lang w:val="en-US" w:eastAsia="zh-CN"/>
        </w:rPr>
        <w:t>7</w:t>
      </w:r>
      <w:r>
        <w:rPr>
          <w:rFonts w:hint="eastAsia" w:ascii="宋体" w:hAnsi="宋体" w:eastAsia="宋体"/>
          <w:sz w:val="24"/>
          <w:szCs w:val="24"/>
        </w:rPr>
        <w:t>.构成违约责任的其他行为。</w:t>
      </w:r>
    </w:p>
    <w:p>
      <w:pPr>
        <w:shd w:val="clear" w:color="auto" w:fill="FFFFFF"/>
        <w:spacing w:line="360" w:lineRule="auto"/>
        <w:ind w:firstLine="480" w:firstLineChars="200"/>
        <w:rPr>
          <w:rFonts w:ascii="宋体" w:hAnsi="宋体" w:eastAsia="宋体"/>
          <w:sz w:val="24"/>
          <w:szCs w:val="24"/>
        </w:rPr>
      </w:pPr>
    </w:p>
    <w:sectPr>
      <w:footerReference r:id="rId3" w:type="default"/>
      <w:pgSz w:w="11906" w:h="16838"/>
      <w:pgMar w:top="2097" w:right="1587" w:bottom="1587"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962072"/>
    </w:sdtPr>
    <w:sdtContent>
      <w:p>
        <w:pPr>
          <w:pStyle w:val="6"/>
          <w:ind w:firstLine="360"/>
          <w:jc w:val="center"/>
        </w:pPr>
        <w:r>
          <w:fldChar w:fldCharType="begin"/>
        </w:r>
        <w:r>
          <w:instrText xml:space="preserve">PAGE   \* MERGEFORMAT</w:instrText>
        </w:r>
        <w:r>
          <w:fldChar w:fldCharType="separate"/>
        </w:r>
        <w:r>
          <w:rPr>
            <w:lang w:val="zh-CN"/>
          </w:rPr>
          <w:t>-</w:t>
        </w:r>
        <w:r>
          <w:t xml:space="preserve"> 6 -</w:t>
        </w:r>
        <w:r>
          <w:fldChar w:fldCharType="end"/>
        </w:r>
      </w:p>
    </w:sdtContent>
  </w:sdt>
  <w:p>
    <w:pPr>
      <w:pStyle w:val="6"/>
      <w:ind w:firstLine="360"/>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3AFA4"/>
    <w:multiLevelType w:val="singleLevel"/>
    <w:tmpl w:val="3793AFA4"/>
    <w:lvl w:ilvl="0" w:tentative="0">
      <w:start w:val="1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MDc1ZTJjMTAwNTRjM2Y1ODgyNmZiOTEwYjNkNDUifQ=="/>
  </w:docVars>
  <w:rsids>
    <w:rsidRoot w:val="004F6211"/>
    <w:rsid w:val="0002170C"/>
    <w:rsid w:val="00062195"/>
    <w:rsid w:val="000661F7"/>
    <w:rsid w:val="000679E6"/>
    <w:rsid w:val="00067CD6"/>
    <w:rsid w:val="00074942"/>
    <w:rsid w:val="000A6410"/>
    <w:rsid w:val="000C4E4F"/>
    <w:rsid w:val="000D27E6"/>
    <w:rsid w:val="000E76DD"/>
    <w:rsid w:val="00105CC4"/>
    <w:rsid w:val="00106FD6"/>
    <w:rsid w:val="00117890"/>
    <w:rsid w:val="00133E5A"/>
    <w:rsid w:val="0013408F"/>
    <w:rsid w:val="00136086"/>
    <w:rsid w:val="001363F6"/>
    <w:rsid w:val="001423A0"/>
    <w:rsid w:val="00153DAB"/>
    <w:rsid w:val="00154743"/>
    <w:rsid w:val="00155BB9"/>
    <w:rsid w:val="00164B4C"/>
    <w:rsid w:val="00167A3E"/>
    <w:rsid w:val="00177584"/>
    <w:rsid w:val="00187C50"/>
    <w:rsid w:val="00194819"/>
    <w:rsid w:val="001A5315"/>
    <w:rsid w:val="001C0318"/>
    <w:rsid w:val="001C3BC9"/>
    <w:rsid w:val="001C56E8"/>
    <w:rsid w:val="001D034A"/>
    <w:rsid w:val="001F5D74"/>
    <w:rsid w:val="00201C57"/>
    <w:rsid w:val="002216FB"/>
    <w:rsid w:val="0023453F"/>
    <w:rsid w:val="002615E4"/>
    <w:rsid w:val="00267A2B"/>
    <w:rsid w:val="00274574"/>
    <w:rsid w:val="00276332"/>
    <w:rsid w:val="00292148"/>
    <w:rsid w:val="002A33E1"/>
    <w:rsid w:val="002B60D5"/>
    <w:rsid w:val="002C1694"/>
    <w:rsid w:val="002C7F6C"/>
    <w:rsid w:val="002E67DF"/>
    <w:rsid w:val="002F31DE"/>
    <w:rsid w:val="002F3D15"/>
    <w:rsid w:val="003057FE"/>
    <w:rsid w:val="003079D6"/>
    <w:rsid w:val="00314275"/>
    <w:rsid w:val="0033005C"/>
    <w:rsid w:val="0033288E"/>
    <w:rsid w:val="00343788"/>
    <w:rsid w:val="00357671"/>
    <w:rsid w:val="00357D65"/>
    <w:rsid w:val="00360E75"/>
    <w:rsid w:val="00374855"/>
    <w:rsid w:val="00382B6A"/>
    <w:rsid w:val="00391475"/>
    <w:rsid w:val="003A30BA"/>
    <w:rsid w:val="003C1A02"/>
    <w:rsid w:val="003C2A15"/>
    <w:rsid w:val="003C6D88"/>
    <w:rsid w:val="003D4F98"/>
    <w:rsid w:val="003D7573"/>
    <w:rsid w:val="00407D83"/>
    <w:rsid w:val="0041577A"/>
    <w:rsid w:val="00415F2C"/>
    <w:rsid w:val="00417791"/>
    <w:rsid w:val="00427E89"/>
    <w:rsid w:val="00431CC0"/>
    <w:rsid w:val="004541CE"/>
    <w:rsid w:val="0045706E"/>
    <w:rsid w:val="00461B6D"/>
    <w:rsid w:val="00461D4A"/>
    <w:rsid w:val="0047176F"/>
    <w:rsid w:val="00471D75"/>
    <w:rsid w:val="00485E24"/>
    <w:rsid w:val="0048674E"/>
    <w:rsid w:val="004A19BA"/>
    <w:rsid w:val="004B6204"/>
    <w:rsid w:val="004C0E0B"/>
    <w:rsid w:val="004E44FF"/>
    <w:rsid w:val="004F6211"/>
    <w:rsid w:val="00523696"/>
    <w:rsid w:val="00530C15"/>
    <w:rsid w:val="00532FED"/>
    <w:rsid w:val="00551E6F"/>
    <w:rsid w:val="00564B6C"/>
    <w:rsid w:val="00566AA1"/>
    <w:rsid w:val="005722AC"/>
    <w:rsid w:val="005724DD"/>
    <w:rsid w:val="00572D0E"/>
    <w:rsid w:val="00577EF9"/>
    <w:rsid w:val="00577F3E"/>
    <w:rsid w:val="00582F07"/>
    <w:rsid w:val="00585DBA"/>
    <w:rsid w:val="00593A5D"/>
    <w:rsid w:val="005B5805"/>
    <w:rsid w:val="005B75A7"/>
    <w:rsid w:val="005F0456"/>
    <w:rsid w:val="006002AE"/>
    <w:rsid w:val="00623CBF"/>
    <w:rsid w:val="00631B18"/>
    <w:rsid w:val="006352CB"/>
    <w:rsid w:val="00645B14"/>
    <w:rsid w:val="00665A32"/>
    <w:rsid w:val="0066731E"/>
    <w:rsid w:val="006763E5"/>
    <w:rsid w:val="00677462"/>
    <w:rsid w:val="00693507"/>
    <w:rsid w:val="00695905"/>
    <w:rsid w:val="006A6F93"/>
    <w:rsid w:val="006B193F"/>
    <w:rsid w:val="006B78EE"/>
    <w:rsid w:val="006E10B2"/>
    <w:rsid w:val="006F5B59"/>
    <w:rsid w:val="006F7654"/>
    <w:rsid w:val="00701E26"/>
    <w:rsid w:val="00710D2B"/>
    <w:rsid w:val="00731BD6"/>
    <w:rsid w:val="007409AD"/>
    <w:rsid w:val="007500BE"/>
    <w:rsid w:val="0075321C"/>
    <w:rsid w:val="00797D51"/>
    <w:rsid w:val="007A5E7D"/>
    <w:rsid w:val="007A742D"/>
    <w:rsid w:val="007B426E"/>
    <w:rsid w:val="007B6D1C"/>
    <w:rsid w:val="007B7385"/>
    <w:rsid w:val="007D22C9"/>
    <w:rsid w:val="007D654C"/>
    <w:rsid w:val="007D681F"/>
    <w:rsid w:val="0081443C"/>
    <w:rsid w:val="00817B25"/>
    <w:rsid w:val="0087162E"/>
    <w:rsid w:val="00876E5F"/>
    <w:rsid w:val="008B67EF"/>
    <w:rsid w:val="008E5951"/>
    <w:rsid w:val="008E6C3E"/>
    <w:rsid w:val="008F4A9B"/>
    <w:rsid w:val="00900293"/>
    <w:rsid w:val="00905582"/>
    <w:rsid w:val="0092014D"/>
    <w:rsid w:val="00924B8B"/>
    <w:rsid w:val="00925045"/>
    <w:rsid w:val="00927762"/>
    <w:rsid w:val="0097021D"/>
    <w:rsid w:val="009748DA"/>
    <w:rsid w:val="00977B34"/>
    <w:rsid w:val="009819ED"/>
    <w:rsid w:val="0098381F"/>
    <w:rsid w:val="00985C44"/>
    <w:rsid w:val="00987CCC"/>
    <w:rsid w:val="009A5BC0"/>
    <w:rsid w:val="009A6F92"/>
    <w:rsid w:val="009B03E9"/>
    <w:rsid w:val="009C34D2"/>
    <w:rsid w:val="009C4A3E"/>
    <w:rsid w:val="009C4A5F"/>
    <w:rsid w:val="009D60A2"/>
    <w:rsid w:val="009E2359"/>
    <w:rsid w:val="009E3B2B"/>
    <w:rsid w:val="009E4D5F"/>
    <w:rsid w:val="009F2E35"/>
    <w:rsid w:val="00A100EF"/>
    <w:rsid w:val="00A129F2"/>
    <w:rsid w:val="00A140F6"/>
    <w:rsid w:val="00A16461"/>
    <w:rsid w:val="00A24A36"/>
    <w:rsid w:val="00A320DF"/>
    <w:rsid w:val="00A66DA2"/>
    <w:rsid w:val="00A7214C"/>
    <w:rsid w:val="00A72FB5"/>
    <w:rsid w:val="00A7750F"/>
    <w:rsid w:val="00A90FCD"/>
    <w:rsid w:val="00A931C1"/>
    <w:rsid w:val="00AA0A73"/>
    <w:rsid w:val="00AB2DC0"/>
    <w:rsid w:val="00AB53D3"/>
    <w:rsid w:val="00AB7C2D"/>
    <w:rsid w:val="00AC7FF9"/>
    <w:rsid w:val="00AD0F9E"/>
    <w:rsid w:val="00AD691C"/>
    <w:rsid w:val="00AF0831"/>
    <w:rsid w:val="00AF1E1C"/>
    <w:rsid w:val="00AF36AD"/>
    <w:rsid w:val="00AF433D"/>
    <w:rsid w:val="00B1265C"/>
    <w:rsid w:val="00B21A33"/>
    <w:rsid w:val="00B24B32"/>
    <w:rsid w:val="00B27D9C"/>
    <w:rsid w:val="00B45861"/>
    <w:rsid w:val="00B47D0A"/>
    <w:rsid w:val="00B6508D"/>
    <w:rsid w:val="00B66BE2"/>
    <w:rsid w:val="00B72B4E"/>
    <w:rsid w:val="00B86708"/>
    <w:rsid w:val="00B92B56"/>
    <w:rsid w:val="00B955AE"/>
    <w:rsid w:val="00BC4191"/>
    <w:rsid w:val="00BE317F"/>
    <w:rsid w:val="00BF5D00"/>
    <w:rsid w:val="00C12689"/>
    <w:rsid w:val="00C16185"/>
    <w:rsid w:val="00C45616"/>
    <w:rsid w:val="00C47CF4"/>
    <w:rsid w:val="00C52218"/>
    <w:rsid w:val="00C60CFE"/>
    <w:rsid w:val="00C6692C"/>
    <w:rsid w:val="00C71F79"/>
    <w:rsid w:val="00C909D8"/>
    <w:rsid w:val="00C940D1"/>
    <w:rsid w:val="00C941C7"/>
    <w:rsid w:val="00C9657A"/>
    <w:rsid w:val="00CA3A3E"/>
    <w:rsid w:val="00CB64DE"/>
    <w:rsid w:val="00CC647E"/>
    <w:rsid w:val="00CC6B89"/>
    <w:rsid w:val="00CD5F2F"/>
    <w:rsid w:val="00CF6494"/>
    <w:rsid w:val="00D05572"/>
    <w:rsid w:val="00D17D68"/>
    <w:rsid w:val="00D21395"/>
    <w:rsid w:val="00D50D50"/>
    <w:rsid w:val="00D525E0"/>
    <w:rsid w:val="00D54963"/>
    <w:rsid w:val="00D613CA"/>
    <w:rsid w:val="00D70C3D"/>
    <w:rsid w:val="00D75D31"/>
    <w:rsid w:val="00D860DB"/>
    <w:rsid w:val="00D93378"/>
    <w:rsid w:val="00D944DF"/>
    <w:rsid w:val="00D97E85"/>
    <w:rsid w:val="00DB287A"/>
    <w:rsid w:val="00DC225B"/>
    <w:rsid w:val="00DC3B67"/>
    <w:rsid w:val="00DD0043"/>
    <w:rsid w:val="00DD5B47"/>
    <w:rsid w:val="00DE4A7A"/>
    <w:rsid w:val="00DF273D"/>
    <w:rsid w:val="00DF57BF"/>
    <w:rsid w:val="00E00546"/>
    <w:rsid w:val="00E119A5"/>
    <w:rsid w:val="00E144CB"/>
    <w:rsid w:val="00E374B9"/>
    <w:rsid w:val="00E42D21"/>
    <w:rsid w:val="00E458B2"/>
    <w:rsid w:val="00E61E9E"/>
    <w:rsid w:val="00E718DD"/>
    <w:rsid w:val="00E7385F"/>
    <w:rsid w:val="00E76995"/>
    <w:rsid w:val="00E904A6"/>
    <w:rsid w:val="00E97473"/>
    <w:rsid w:val="00EA0271"/>
    <w:rsid w:val="00EA0668"/>
    <w:rsid w:val="00EA477D"/>
    <w:rsid w:val="00EA4AD1"/>
    <w:rsid w:val="00ED20F4"/>
    <w:rsid w:val="00ED2821"/>
    <w:rsid w:val="00ED6A9E"/>
    <w:rsid w:val="00EE1462"/>
    <w:rsid w:val="00EE1C63"/>
    <w:rsid w:val="00EF4C60"/>
    <w:rsid w:val="00F06A4A"/>
    <w:rsid w:val="00F201BF"/>
    <w:rsid w:val="00F20867"/>
    <w:rsid w:val="00F219BA"/>
    <w:rsid w:val="00F25066"/>
    <w:rsid w:val="00F3085D"/>
    <w:rsid w:val="00F36D42"/>
    <w:rsid w:val="00F544A3"/>
    <w:rsid w:val="00F76145"/>
    <w:rsid w:val="00F95A5B"/>
    <w:rsid w:val="00FD0DCF"/>
    <w:rsid w:val="00FE2685"/>
    <w:rsid w:val="00FE4F8E"/>
    <w:rsid w:val="01635052"/>
    <w:rsid w:val="01AF0E8E"/>
    <w:rsid w:val="0237028C"/>
    <w:rsid w:val="02F021F4"/>
    <w:rsid w:val="04B223B8"/>
    <w:rsid w:val="05D4091E"/>
    <w:rsid w:val="064536A2"/>
    <w:rsid w:val="06B34AD0"/>
    <w:rsid w:val="078D2442"/>
    <w:rsid w:val="07FB56BA"/>
    <w:rsid w:val="09FA0E74"/>
    <w:rsid w:val="0ADB08C0"/>
    <w:rsid w:val="0B5A6644"/>
    <w:rsid w:val="0B637951"/>
    <w:rsid w:val="0B93484D"/>
    <w:rsid w:val="0C181ECC"/>
    <w:rsid w:val="0C2946EA"/>
    <w:rsid w:val="0D0F361F"/>
    <w:rsid w:val="0DD362D8"/>
    <w:rsid w:val="0DE162A3"/>
    <w:rsid w:val="10192B03"/>
    <w:rsid w:val="10CD22A4"/>
    <w:rsid w:val="11503C0C"/>
    <w:rsid w:val="11F346D0"/>
    <w:rsid w:val="12280B6E"/>
    <w:rsid w:val="141C7108"/>
    <w:rsid w:val="16E643C4"/>
    <w:rsid w:val="187E58BC"/>
    <w:rsid w:val="18DC5277"/>
    <w:rsid w:val="1A8F770C"/>
    <w:rsid w:val="1AD21DBA"/>
    <w:rsid w:val="1B1063D8"/>
    <w:rsid w:val="1B713881"/>
    <w:rsid w:val="1C6172DD"/>
    <w:rsid w:val="1D6141EB"/>
    <w:rsid w:val="1D770D8A"/>
    <w:rsid w:val="1EAD2CE3"/>
    <w:rsid w:val="1FEF78BE"/>
    <w:rsid w:val="20341C0E"/>
    <w:rsid w:val="20473607"/>
    <w:rsid w:val="2270017D"/>
    <w:rsid w:val="229E2534"/>
    <w:rsid w:val="23661773"/>
    <w:rsid w:val="247F55ED"/>
    <w:rsid w:val="24C4278D"/>
    <w:rsid w:val="25627B0B"/>
    <w:rsid w:val="273E5D3E"/>
    <w:rsid w:val="29175DBA"/>
    <w:rsid w:val="29B82A95"/>
    <w:rsid w:val="2A43092E"/>
    <w:rsid w:val="2ABA1EB6"/>
    <w:rsid w:val="2B7550A0"/>
    <w:rsid w:val="2BC64C6D"/>
    <w:rsid w:val="2C4436A1"/>
    <w:rsid w:val="2DCB10B0"/>
    <w:rsid w:val="2DDC4D74"/>
    <w:rsid w:val="307D5C30"/>
    <w:rsid w:val="30BD6B69"/>
    <w:rsid w:val="338E23C5"/>
    <w:rsid w:val="33C32726"/>
    <w:rsid w:val="342F786B"/>
    <w:rsid w:val="34350C37"/>
    <w:rsid w:val="34AC0C7D"/>
    <w:rsid w:val="355359DB"/>
    <w:rsid w:val="375351AC"/>
    <w:rsid w:val="39331C92"/>
    <w:rsid w:val="39A06C5D"/>
    <w:rsid w:val="3AF33D54"/>
    <w:rsid w:val="3BD10E05"/>
    <w:rsid w:val="3D316BD2"/>
    <w:rsid w:val="3E043BE7"/>
    <w:rsid w:val="3E59135C"/>
    <w:rsid w:val="3F9E515E"/>
    <w:rsid w:val="400B1B99"/>
    <w:rsid w:val="40265C96"/>
    <w:rsid w:val="41DA582B"/>
    <w:rsid w:val="4208751B"/>
    <w:rsid w:val="43373F32"/>
    <w:rsid w:val="44D05DBF"/>
    <w:rsid w:val="454121AE"/>
    <w:rsid w:val="45A651B1"/>
    <w:rsid w:val="45A87FE1"/>
    <w:rsid w:val="48ED4377"/>
    <w:rsid w:val="492B1BEA"/>
    <w:rsid w:val="4AA96836"/>
    <w:rsid w:val="4BCD01A5"/>
    <w:rsid w:val="4C6E207F"/>
    <w:rsid w:val="4CD11242"/>
    <w:rsid w:val="4D6E1503"/>
    <w:rsid w:val="4D827B3A"/>
    <w:rsid w:val="4F5F28F1"/>
    <w:rsid w:val="503F121B"/>
    <w:rsid w:val="51A717B5"/>
    <w:rsid w:val="520212A0"/>
    <w:rsid w:val="54813843"/>
    <w:rsid w:val="563B6BD0"/>
    <w:rsid w:val="563C4689"/>
    <w:rsid w:val="565412B2"/>
    <w:rsid w:val="573F1A3E"/>
    <w:rsid w:val="57C51504"/>
    <w:rsid w:val="57CA1F7E"/>
    <w:rsid w:val="581A7D50"/>
    <w:rsid w:val="59C53C55"/>
    <w:rsid w:val="5B154313"/>
    <w:rsid w:val="5CB1489E"/>
    <w:rsid w:val="5D9E7A1A"/>
    <w:rsid w:val="5F0261B6"/>
    <w:rsid w:val="609437E2"/>
    <w:rsid w:val="60AA14C5"/>
    <w:rsid w:val="6116554E"/>
    <w:rsid w:val="624163EE"/>
    <w:rsid w:val="62AD0F9A"/>
    <w:rsid w:val="64834092"/>
    <w:rsid w:val="659D2A1F"/>
    <w:rsid w:val="66B10EF0"/>
    <w:rsid w:val="67335160"/>
    <w:rsid w:val="675C4B50"/>
    <w:rsid w:val="678621B0"/>
    <w:rsid w:val="684D4B6C"/>
    <w:rsid w:val="686103AD"/>
    <w:rsid w:val="686310CE"/>
    <w:rsid w:val="68AD782B"/>
    <w:rsid w:val="68CE0D04"/>
    <w:rsid w:val="68EA0C4F"/>
    <w:rsid w:val="69D46307"/>
    <w:rsid w:val="6A7D5A9F"/>
    <w:rsid w:val="6ACA565B"/>
    <w:rsid w:val="6B1004CF"/>
    <w:rsid w:val="6C597D53"/>
    <w:rsid w:val="6CF67EB1"/>
    <w:rsid w:val="6FCB344D"/>
    <w:rsid w:val="7048198B"/>
    <w:rsid w:val="71791CDC"/>
    <w:rsid w:val="72644FFF"/>
    <w:rsid w:val="744D5ADF"/>
    <w:rsid w:val="74AC5396"/>
    <w:rsid w:val="753E657A"/>
    <w:rsid w:val="7790403B"/>
    <w:rsid w:val="77977FFA"/>
    <w:rsid w:val="78A84FDC"/>
    <w:rsid w:val="79E86F11"/>
    <w:rsid w:val="7BB36982"/>
    <w:rsid w:val="7BC75146"/>
    <w:rsid w:val="7C1E4D05"/>
    <w:rsid w:val="7DA24F81"/>
    <w:rsid w:val="7E171744"/>
    <w:rsid w:val="7E9A0429"/>
    <w:rsid w:val="CBFF5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3"/>
    <w:basedOn w:val="1"/>
    <w:next w:val="1"/>
    <w:link w:val="17"/>
    <w:qFormat/>
    <w:uiPriority w:val="0"/>
    <w:pPr>
      <w:keepNext/>
      <w:keepLines/>
      <w:adjustRightInd w:val="0"/>
      <w:spacing w:before="260" w:after="260" w:line="416" w:lineRule="atLeast"/>
      <w:ind w:firstLine="664" w:firstLineChars="200"/>
      <w:outlineLvl w:val="2"/>
    </w:pPr>
    <w:rPr>
      <w:rFonts w:ascii="仿宋_GB2312" w:eastAsia="方正仿宋简体"/>
      <w:b/>
      <w:bCs/>
      <w:kern w:val="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unhideWhenUsed/>
    <w:qFormat/>
    <w:uiPriority w:val="99"/>
    <w:pPr>
      <w:jc w:val="left"/>
    </w:pPr>
  </w:style>
  <w:style w:type="paragraph" w:styleId="4">
    <w:name w:val="Body Text"/>
    <w:basedOn w:val="1"/>
    <w:qFormat/>
    <w:uiPriority w:val="99"/>
    <w:pPr>
      <w:spacing w:after="120"/>
    </w:p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paragraph" w:styleId="9">
    <w:name w:val="annotation subject"/>
    <w:basedOn w:val="3"/>
    <w:next w:val="3"/>
    <w:link w:val="24"/>
    <w:unhideWhenUsed/>
    <w:qFormat/>
    <w:uiPriority w:val="99"/>
    <w:rPr>
      <w:b/>
      <w:bCs/>
    </w:rPr>
  </w:style>
  <w:style w:type="character" w:styleId="12">
    <w:name w:val="FollowedHyperlink"/>
    <w:basedOn w:val="11"/>
    <w:unhideWhenUsed/>
    <w:qFormat/>
    <w:uiPriority w:val="99"/>
    <w:rPr>
      <w:color w:val="000000"/>
      <w:u w:val="none"/>
    </w:rPr>
  </w:style>
  <w:style w:type="character" w:styleId="13">
    <w:name w:val="Hyperlink"/>
    <w:basedOn w:val="11"/>
    <w:unhideWhenUsed/>
    <w:qFormat/>
    <w:uiPriority w:val="99"/>
    <w:rPr>
      <w:color w:val="000000"/>
      <w:u w:val="none"/>
    </w:rPr>
  </w:style>
  <w:style w:type="character" w:styleId="14">
    <w:name w:val="annotation reference"/>
    <w:basedOn w:val="11"/>
    <w:unhideWhenUsed/>
    <w:qFormat/>
    <w:uiPriority w:val="99"/>
    <w:rPr>
      <w:sz w:val="21"/>
      <w:szCs w:val="21"/>
    </w:rPr>
  </w:style>
  <w:style w:type="character" w:customStyle="1" w:styleId="15">
    <w:name w:val="页眉 字符"/>
    <w:basedOn w:val="11"/>
    <w:link w:val="7"/>
    <w:semiHidden/>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标题 3 字符"/>
    <w:basedOn w:val="11"/>
    <w:link w:val="2"/>
    <w:qFormat/>
    <w:uiPriority w:val="0"/>
    <w:rPr>
      <w:rFonts w:ascii="仿宋_GB2312" w:hAnsi="Calibri" w:eastAsia="方正仿宋简体" w:cs="Times New Roman"/>
      <w:b/>
      <w:bCs/>
      <w:kern w:val="0"/>
      <w:sz w:val="32"/>
      <w:szCs w:val="32"/>
    </w:rPr>
  </w:style>
  <w:style w:type="character" w:customStyle="1" w:styleId="18">
    <w:name w:val="批注框文本 字符"/>
    <w:basedOn w:val="11"/>
    <w:link w:val="5"/>
    <w:semiHidden/>
    <w:qFormat/>
    <w:uiPriority w:val="99"/>
    <w:rPr>
      <w:rFonts w:ascii="Calibri" w:hAnsi="Calibri" w:eastAsia="仿宋_GB2312" w:cs="Times New Roman"/>
      <w:kern w:val="2"/>
      <w:sz w:val="18"/>
      <w:szCs w:val="18"/>
    </w:rPr>
  </w:style>
  <w:style w:type="character" w:customStyle="1" w:styleId="19">
    <w:name w:val="times"/>
    <w:basedOn w:val="11"/>
    <w:qFormat/>
    <w:uiPriority w:val="0"/>
    <w:rPr>
      <w:color w:val="3399FF"/>
      <w:bdr w:val="single" w:color="D1EDF8" w:sz="6" w:space="0"/>
      <w:shd w:val="clear" w:color="auto" w:fill="EAF9FF"/>
    </w:rPr>
  </w:style>
  <w:style w:type="character" w:customStyle="1" w:styleId="20">
    <w:name w:val="times1"/>
    <w:basedOn w:val="11"/>
    <w:qFormat/>
    <w:uiPriority w:val="0"/>
    <w:rPr>
      <w:color w:val="CDCDCD"/>
      <w:bdr w:val="single" w:color="CDCDCD" w:sz="6" w:space="0"/>
      <w:shd w:val="clear" w:color="auto" w:fill="EFEFEF"/>
    </w:rPr>
  </w:style>
  <w:style w:type="character" w:customStyle="1" w:styleId="21">
    <w:name w:val="hover42"/>
    <w:basedOn w:val="11"/>
    <w:qFormat/>
    <w:uiPriority w:val="0"/>
  </w:style>
  <w:style w:type="character" w:customStyle="1" w:styleId="22">
    <w:name w:val="hover41"/>
    <w:basedOn w:val="11"/>
    <w:qFormat/>
    <w:uiPriority w:val="0"/>
  </w:style>
  <w:style w:type="character" w:customStyle="1" w:styleId="23">
    <w:name w:val="批注文字 字符"/>
    <w:basedOn w:val="11"/>
    <w:link w:val="3"/>
    <w:semiHidden/>
    <w:qFormat/>
    <w:uiPriority w:val="99"/>
    <w:rPr>
      <w:rFonts w:ascii="Calibri" w:hAnsi="Calibri" w:eastAsia="仿宋_GB2312"/>
      <w:kern w:val="2"/>
      <w:sz w:val="32"/>
      <w:szCs w:val="32"/>
    </w:rPr>
  </w:style>
  <w:style w:type="character" w:customStyle="1" w:styleId="24">
    <w:name w:val="批注主题 字符"/>
    <w:basedOn w:val="23"/>
    <w:link w:val="9"/>
    <w:semiHidden/>
    <w:qFormat/>
    <w:uiPriority w:val="99"/>
    <w:rPr>
      <w:rFonts w:ascii="Calibri" w:hAnsi="Calibri" w:eastAsia="仿宋_GB2312"/>
      <w:b/>
      <w:bCs/>
      <w:kern w:val="2"/>
      <w:sz w:val="32"/>
      <w:szCs w:val="32"/>
    </w:rPr>
  </w:style>
  <w:style w:type="paragraph" w:customStyle="1" w:styleId="25">
    <w:name w:val="列出段落1"/>
    <w:basedOn w:val="1"/>
    <w:unhideWhenUsed/>
    <w:qFormat/>
    <w:uiPriority w:val="99"/>
    <w:pPr>
      <w:ind w:firstLine="420" w:firstLineChars="200"/>
    </w:pPr>
  </w:style>
  <w:style w:type="paragraph" w:customStyle="1" w:styleId="26">
    <w:name w:val="Revision"/>
    <w:hidden/>
    <w:unhideWhenUsed/>
    <w:qFormat/>
    <w:uiPriority w:val="99"/>
    <w:rPr>
      <w:rFonts w:ascii="Calibri"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70C98-ABF3-4699-B2D8-AF92D72A050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3951</Words>
  <Characters>4084</Characters>
  <Lines>29</Lines>
  <Paragraphs>8</Paragraphs>
  <TotalTime>6</TotalTime>
  <ScaleCrop>false</ScaleCrop>
  <LinksUpToDate>false</LinksUpToDate>
  <CharactersWithSpaces>4085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2020-12-07T11:45:00Z</dcterms:created>
  <dc:creator>石丹</dc:creator>
  <cp:lastModifiedBy>凌云</cp:lastModifiedBy>
  <cp:lastPrinted>2023-07-11T10:22:00Z</cp:lastPrinted>
  <dcterms:modified xsi:type="dcterms:W3CDTF">2024-07-31T06:36:25Z</dcterms:modified>
  <dc:title>广东省海砂开采海域使用权及采矿权网上挂牌出让竞买须知</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4BE5E1FB7814498D98E5D558F056EC4F</vt:lpwstr>
  </property>
</Properties>
</file>