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jc w:val="center"/>
        <w:outlineLvl w:val="1"/>
        <w:rPr>
          <w:color w:val="000000" w:themeColor="text1"/>
          <w:highlight w:val="none"/>
          <w14:textFill>
            <w14:solidFill>
              <w14:schemeClr w14:val="tx1"/>
            </w14:solidFill>
          </w14:textFill>
        </w:rPr>
      </w:pPr>
      <w:r>
        <w:rPr>
          <w:b/>
          <w:color w:val="000000" w:themeColor="text1"/>
          <w:sz w:val="36"/>
          <w:highlight w:val="none"/>
          <w14:textFill>
            <w14:solidFill>
              <w14:schemeClr w14:val="tx1"/>
            </w14:solidFill>
          </w14:textFill>
        </w:rPr>
        <w:t>第二章 采购需求</w:t>
      </w:r>
    </w:p>
    <w:p>
      <w:pPr>
        <w:pStyle w:val="9"/>
        <w:outlineLvl w:val="2"/>
        <w:rPr>
          <w:color w:val="000000" w:themeColor="text1"/>
          <w:highlight w:val="none"/>
          <w14:textFill>
            <w14:solidFill>
              <w14:schemeClr w14:val="tx1"/>
            </w14:solidFill>
          </w14:textFill>
        </w:rPr>
      </w:pPr>
      <w:r>
        <w:rPr>
          <w:b/>
          <w:color w:val="000000" w:themeColor="text1"/>
          <w:sz w:val="28"/>
          <w:highlight w:val="none"/>
          <w14:textFill>
            <w14:solidFill>
              <w14:schemeClr w14:val="tx1"/>
            </w14:solidFill>
          </w14:textFill>
        </w:rPr>
        <w:t>一、项目概况：</w:t>
      </w:r>
    </w:p>
    <w:p>
      <w:pPr>
        <w:ind w:firstLine="562" w:firstLineChars="200"/>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项目属性：货物类</w:t>
      </w:r>
    </w:p>
    <w:p>
      <w:pPr>
        <w:outlineLvl w:val="9"/>
        <w:rPr>
          <w:rFonts w:hint="eastAsia"/>
          <w:color w:val="000000" w:themeColor="text1"/>
          <w:highlight w:val="none"/>
          <w14:textFill>
            <w14:solidFill>
              <w14:schemeClr w14:val="tx1"/>
            </w14:solidFill>
          </w14:textFill>
        </w:rPr>
      </w:pP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19"/>
          <w:szCs w:val="19"/>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本次采购产品为非进口产品（进口产品指通过中国海关报关验放进入中国境内且产自关境外的产品）。</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本项目核心</w:t>
      </w:r>
      <w:r>
        <w:rPr>
          <w:rFonts w:hint="eastAsia" w:ascii="宋体" w:hAnsi="宋体" w:eastAsia="宋体" w:cs="宋体"/>
          <w:color w:val="000000" w:themeColor="text1"/>
          <w:highlight w:val="none"/>
          <w:lang w:eastAsia="zh-CN"/>
          <w14:textFill>
            <w14:solidFill>
              <w14:schemeClr w14:val="tx1"/>
            </w14:solidFill>
          </w14:textFill>
        </w:rPr>
        <w:t>产品为LED显示屏。（多</w:t>
      </w:r>
      <w:r>
        <w:rPr>
          <w:rFonts w:hint="eastAsia" w:ascii="宋体" w:hAnsi="宋体" w:eastAsia="宋体" w:cs="宋体"/>
          <w:color w:val="000000" w:themeColor="text1"/>
          <w:highlight w:val="none"/>
          <w14:textFill>
            <w14:solidFill>
              <w14:schemeClr w14:val="tx1"/>
            </w14:solidFill>
          </w14:textFill>
        </w:rPr>
        <w:t>家</w:t>
      </w: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提供的核心产品中任意一个产品品牌相同的，按一家</w:t>
      </w: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计算）。</w:t>
      </w: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必须在投标文件中填写所投核心产品的品牌，否则按无效投标处理</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★采购人拟采购的</w:t>
      </w:r>
      <w:r>
        <w:rPr>
          <w:rFonts w:hint="eastAsia"/>
          <w:color w:val="000000" w:themeColor="text1"/>
          <w:highlight w:val="none"/>
          <w:lang w:eastAsia="zh-CN"/>
          <w14:textFill>
            <w14:solidFill>
              <w14:schemeClr w14:val="tx1"/>
            </w14:solidFill>
          </w14:textFill>
        </w:rPr>
        <w:t>监控屏、</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台式电脑</w:t>
      </w:r>
      <w:r>
        <w:rPr>
          <w:rFonts w:hint="eastAsia" w:ascii="宋体" w:hAnsi="宋体" w:eastAsia="宋体" w:cs="宋体"/>
          <w:color w:val="000000" w:themeColor="text1"/>
          <w:highlight w:val="none"/>
          <w14:textFill>
            <w14:solidFill>
              <w14:schemeClr w14:val="tx1"/>
            </w14:solidFill>
          </w14:textFill>
        </w:rPr>
        <w:t>产品</w:t>
      </w:r>
      <w:r>
        <w:rPr>
          <w:rFonts w:hint="eastAsia" w:ascii="宋体" w:hAnsi="宋体" w:eastAsia="宋体" w:cs="宋体"/>
          <w:b w:val="0"/>
          <w:color w:val="000000" w:themeColor="text1"/>
          <w:highlight w:val="none"/>
          <w14:textFill>
            <w14:solidFill>
              <w14:schemeClr w14:val="tx1"/>
            </w14:solidFill>
          </w14:textFill>
        </w:rPr>
        <w:t>中</w:t>
      </w:r>
      <w:r>
        <w:rPr>
          <w:rFonts w:hint="eastAsia" w:ascii="宋体" w:hAnsi="宋体" w:eastAsia="宋体" w:cs="宋体"/>
          <w:color w:val="000000" w:themeColor="text1"/>
          <w:highlight w:val="none"/>
          <w14:textFill>
            <w14:solidFill>
              <w14:schemeClr w14:val="tx1"/>
            </w14:solidFill>
          </w14:textFill>
        </w:rPr>
        <w:t>属于《节能产品政府采购品目清单》范围中政府强制采购产品类别的，</w:t>
      </w: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须在投标文件中提供：1.该产品属于《节能产品政府采购品目清单》范围中政府强制采购产品类别的相关内容页，并对相关内容作圈记；2.市场监管总局公布的参与实施政府采购节能产品认证机构名录截图；</w:t>
      </w:r>
      <w:r>
        <w:rPr>
          <w:rFonts w:hint="eastAsia" w:ascii="宋体" w:hAnsi="宋体" w:eastAsia="宋体" w:cs="宋体"/>
          <w:color w:val="000000" w:themeColor="text1"/>
          <w:highlight w:val="none"/>
          <w:lang w:val="en-US" w:eastAsia="zh-CN"/>
          <w14:textFill>
            <w14:solidFill>
              <w14:schemeClr w14:val="tx1"/>
            </w14:solidFill>
          </w14:textFill>
        </w:rPr>
        <w:t>3.该产品获得的由国家确定的认证机构出具的、处于有效期之内的节能产品认证证书（注：1.《节能产品政府采购品目清单》投标人可查询中国政府采购网，网址http://www.ccgp.gov.cn。）</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sz w:val="21"/>
          <w:szCs w:val="24"/>
          <w:highlight w:val="none"/>
          <w:lang w:val="en-US" w:eastAsia="zh-CN"/>
          <w14:textFill>
            <w14:solidFill>
              <w14:schemeClr w14:val="tx1"/>
            </w14:solidFill>
          </w14:textFill>
        </w:rPr>
        <w:t>凡</w:t>
      </w:r>
      <w:r>
        <w:rPr>
          <w:rFonts w:hint="eastAsia" w:ascii="宋体" w:hAnsi="宋体" w:eastAsia="宋体" w:cs="宋体"/>
          <w:color w:val="000000" w:themeColor="text1"/>
          <w:highlight w:val="none"/>
          <w14:textFill>
            <w14:solidFill>
              <w14:schemeClr w14:val="tx1"/>
            </w14:solidFill>
          </w14:textFill>
        </w:rPr>
        <w:t>属于《中华人民共和国实施强制性产品认证的产品目录》的产品，请</w:t>
      </w: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在投标文件中承诺在交货时提供该产品的“中国强制性产品认证”（CCC认证）证书。</w:t>
      </w:r>
    </w:p>
    <w:p>
      <w:pPr>
        <w:ind w:firstLine="496"/>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采购人拟采购的产品中监控屏</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主席台会议桌</w:t>
      </w:r>
      <w:r>
        <w:rPr>
          <w:rFonts w:hint="eastAsia" w:ascii="宋体" w:hAnsi="宋体" w:eastAsia="宋体" w:cs="宋体"/>
          <w:snapToGrid w:val="0"/>
          <w:color w:val="000000" w:themeColor="text1"/>
          <w:sz w:val="20"/>
          <w:szCs w:val="20"/>
          <w:highlight w:val="none"/>
          <w:lang w:bidi="ar"/>
          <w14:textFill>
            <w14:solidFill>
              <w14:schemeClr w14:val="tx1"/>
            </w14:solidFill>
          </w14:textFill>
        </w:rPr>
        <w:t>(600mm深)</w:t>
      </w:r>
      <w:r>
        <w:rPr>
          <w:rFonts w:hint="eastAsia" w:ascii="宋体" w:hAnsi="宋体" w:eastAsia="宋体" w:cs="宋体"/>
          <w:color w:val="000000" w:themeColor="text1"/>
          <w:highlight w:val="none"/>
          <w14:textFill>
            <w14:solidFill>
              <w14:schemeClr w14:val="tx1"/>
            </w14:solidFill>
          </w14:textFill>
        </w:rPr>
        <w:t>、主席台椅、观众席会议条桌、观众席椅、可折叠座椅、培训桌、培训椅、办公椅</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收纳柜、</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台式电脑</w:t>
      </w:r>
      <w:r>
        <w:rPr>
          <w:rFonts w:hint="eastAsia" w:ascii="宋体" w:hAnsi="宋体" w:eastAsia="宋体" w:cs="宋体"/>
          <w:color w:val="000000" w:themeColor="text1"/>
          <w:highlight w:val="none"/>
          <w14:textFill>
            <w14:solidFill>
              <w14:schemeClr w14:val="tx1"/>
            </w14:solidFill>
          </w14:textFill>
        </w:rPr>
        <w:t>属于《环境标志产品政府采购品目清单》范围的，</w:t>
      </w: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需填写《政策适用性说明》（见投标文件格式）并提交相关证明材料（证明材料包括：1.该产品属于《环境标志产品政府采购品目清单》范围的相关内容页，并对相关内容作圈记；2.市场监管总局公布的参与实施政府采购环境标志产品认证机构名录截图；3.该产品获得的由国家确定的认证机构出具的、处于有效期之内的环境标志产品认证证书），作为技术评审的依据（注：《环境标志产品政府采购品目清单》</w:t>
      </w: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可查询中国政府采购网，网址http://www.ccgp.gov.cn）。</w:t>
      </w:r>
    </w:p>
    <w:p>
      <w:pPr>
        <w:outlineLvl w:val="2"/>
        <w:rPr>
          <w:rFonts w:hint="default" w:ascii="宋体" w:hAnsi="宋体" w:eastAsia="宋体" w:cs="宋体"/>
          <w:b/>
          <w:color w:val="000000" w:themeColor="text1"/>
          <w:sz w:val="28"/>
          <w:szCs w:val="28"/>
          <w:highlight w:val="none"/>
          <w:lang w:val="en-US"/>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1</w:t>
      </w:r>
      <w:r>
        <w:rPr>
          <w:rFonts w:hint="eastAsia" w:ascii="宋体" w:hAnsi="宋体" w:eastAsia="宋体" w:cs="宋体"/>
          <w:b/>
          <w:color w:val="000000" w:themeColor="text1"/>
          <w:sz w:val="28"/>
          <w:szCs w:val="28"/>
          <w:highlight w:val="none"/>
          <w14:textFill>
            <w14:solidFill>
              <w14:schemeClr w14:val="tx1"/>
            </w14:solidFill>
          </w14:textFill>
        </w:rPr>
        <w:t>项目目标</w:t>
      </w:r>
    </w:p>
    <w:p>
      <w:pPr>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广州福彩综合业务大楼</w:t>
      </w:r>
      <w:r>
        <w:rPr>
          <w:rFonts w:hint="eastAsia" w:ascii="宋体" w:hAnsi="宋体" w:eastAsia="宋体" w:cs="宋体"/>
          <w:color w:val="000000" w:themeColor="text1"/>
          <w:szCs w:val="21"/>
          <w:highlight w:val="none"/>
          <w14:textFill>
            <w14:solidFill>
              <w14:schemeClr w14:val="tx1"/>
            </w14:solidFill>
          </w14:textFill>
        </w:rPr>
        <w:t>礼堂（演播中心）主要用于抽奖活动、培训、会议（含视频会议），兼顾观影、内部娱乐、表演、体育活动等灵活的活动和场地使用，灵活布置满足多功能需求。</w:t>
      </w:r>
    </w:p>
    <w:p>
      <w:pPr>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在符合国家规范标准的前提下，做到新建不落后，满足实用需求，确保功能性、耐用性和高性价比，部分产品突出先进性。</w:t>
      </w:r>
    </w:p>
    <w:p>
      <w:pPr>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lang w:eastAsia="zh-CN"/>
          <w14:textFill>
            <w14:solidFill>
              <w14:schemeClr w14:val="tx1"/>
            </w14:solidFill>
          </w14:textFill>
        </w:rPr>
        <w:t>）LED显示屏</w:t>
      </w:r>
      <w:r>
        <w:rPr>
          <w:rFonts w:hint="eastAsia" w:ascii="宋体" w:hAnsi="宋体" w:eastAsia="宋体" w:cs="宋体"/>
          <w:color w:val="000000" w:themeColor="text1"/>
          <w:szCs w:val="21"/>
          <w:highlight w:val="none"/>
          <w14:textFill>
            <w14:solidFill>
              <w14:schemeClr w14:val="tx1"/>
            </w14:solidFill>
          </w14:textFill>
        </w:rPr>
        <w:t>和显示系统满足《视频显示系统工程技术规范》甲级性能指标、《发光二极管(LED)显示屏通用规范》（SJT 11141） C级指标和4K显示；</w:t>
      </w:r>
    </w:p>
    <w:p>
      <w:pPr>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扩声系统满足GB/T 28049-2011《厅堂、体育场馆扩声系统设计规范》多用途类扩声系统声学特性指标一级要求，确保声音在全域能听清、（影片音效）重现真实；</w:t>
      </w:r>
    </w:p>
    <w:p>
      <w:pPr>
        <w:ind w:firstLine="420" w:firstLineChars="200"/>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扩声系统</w:t>
      </w:r>
      <w:r>
        <w:rPr>
          <w:rFonts w:hint="eastAsia" w:ascii="宋体" w:hAnsi="宋体" w:eastAsia="宋体" w:cs="宋体"/>
          <w:color w:val="000000" w:themeColor="text1"/>
          <w:szCs w:val="21"/>
          <w:highlight w:val="none"/>
          <w:lang w:val="en-US" w:eastAsia="zh-CN"/>
          <w14:textFill>
            <w14:solidFill>
              <w14:schemeClr w14:val="tx1"/>
            </w14:solidFill>
          </w14:textFill>
        </w:rPr>
        <w:t>需要满足以下条件①-⑦：①</w:t>
      </w:r>
      <w:r>
        <w:rPr>
          <w:rFonts w:hint="eastAsia" w:ascii="宋体" w:hAnsi="宋体" w:eastAsia="宋体" w:cs="宋体"/>
          <w:color w:val="000000" w:themeColor="text1"/>
          <w:szCs w:val="21"/>
          <w:highlight w:val="none"/>
          <w14:textFill>
            <w14:solidFill>
              <w14:schemeClr w14:val="tx1"/>
            </w14:solidFill>
          </w14:textFill>
        </w:rPr>
        <w:t>最大声压级(峰值)</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额定通带内</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大于或等于103dB</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②</w:t>
      </w:r>
      <w:r>
        <w:rPr>
          <w:rFonts w:hint="eastAsia" w:ascii="宋体" w:hAnsi="宋体" w:eastAsia="宋体" w:cs="宋体"/>
          <w:color w:val="000000" w:themeColor="text1"/>
          <w:szCs w:val="21"/>
          <w:highlight w:val="none"/>
          <w14:textFill>
            <w14:solidFill>
              <w14:schemeClr w14:val="tx1"/>
            </w14:solidFill>
          </w14:textFill>
        </w:rPr>
        <w:t>传输频率特性</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以100 Hz~6300 Hz的平均声压级为0dB,在此频带内允许范围:-4dB~+4dB</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③</w:t>
      </w:r>
      <w:r>
        <w:rPr>
          <w:rFonts w:hint="eastAsia" w:ascii="宋体" w:hAnsi="宋体" w:eastAsia="宋体" w:cs="宋体"/>
          <w:color w:val="000000" w:themeColor="text1"/>
          <w:szCs w:val="21"/>
          <w:highlight w:val="none"/>
          <w14:textFill>
            <w14:solidFill>
              <w14:schemeClr w14:val="tx1"/>
            </w14:solidFill>
          </w14:textFill>
        </w:rPr>
        <w:t>传声增益</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125 Hz~6300 Hz的平均值大于或等于-8dB</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④</w:t>
      </w:r>
      <w:r>
        <w:rPr>
          <w:rFonts w:hint="eastAsia" w:ascii="宋体" w:hAnsi="宋体" w:eastAsia="宋体" w:cs="宋体"/>
          <w:color w:val="000000" w:themeColor="text1"/>
          <w:szCs w:val="21"/>
          <w:highlight w:val="none"/>
          <w14:textFill>
            <w14:solidFill>
              <w14:schemeClr w14:val="tx1"/>
            </w14:solidFill>
          </w14:textFill>
        </w:rPr>
        <w:t>稳态声场不均匀度</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1000 Hz时小于或等于6dB</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4000 Hz时小于或等于8dB</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⑤</w:t>
      </w:r>
      <w:r>
        <w:rPr>
          <w:rFonts w:hint="eastAsia" w:ascii="宋体" w:hAnsi="宋体" w:eastAsia="宋体" w:cs="宋体"/>
          <w:color w:val="000000" w:themeColor="text1"/>
          <w:szCs w:val="21"/>
          <w:highlight w:val="none"/>
          <w14:textFill>
            <w14:solidFill>
              <w14:schemeClr w14:val="tx1"/>
            </w14:solidFill>
          </w14:textFill>
        </w:rPr>
        <w:t>语言传输指数(STIPA)</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&gt;0.5</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⑥</w:t>
      </w:r>
      <w:r>
        <w:rPr>
          <w:rFonts w:hint="eastAsia" w:ascii="宋体" w:hAnsi="宋体" w:eastAsia="宋体" w:cs="宋体"/>
          <w:color w:val="000000" w:themeColor="text1"/>
          <w:szCs w:val="21"/>
          <w:highlight w:val="none"/>
          <w14:textFill>
            <w14:solidFill>
              <w14:schemeClr w14:val="tx1"/>
            </w14:solidFill>
          </w14:textFill>
        </w:rPr>
        <w:t>系统总噪声级</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NR-20</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⑦</w:t>
      </w:r>
      <w:r>
        <w:rPr>
          <w:rFonts w:hint="eastAsia" w:ascii="宋体" w:hAnsi="宋体" w:eastAsia="宋体" w:cs="宋体"/>
          <w:color w:val="000000" w:themeColor="text1"/>
          <w:szCs w:val="21"/>
          <w:highlight w:val="none"/>
          <w14:textFill>
            <w14:solidFill>
              <w14:schemeClr w14:val="tx1"/>
            </w14:solidFill>
          </w14:textFill>
        </w:rPr>
        <w:t>总噪声级</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NR-30</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提供承诺函，格式自拟。</w:t>
      </w:r>
    </w:p>
    <w:p>
      <w:pPr>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p>
    <w:p>
      <w:pPr>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建筑声学条件满足GB/T 50356《剧场、电影院和多用途厅堂建筑声学设计规范》多用途</w:t>
      </w:r>
      <w:r>
        <w:rPr>
          <w:rFonts w:hint="eastAsia" w:ascii="宋体" w:hAnsi="宋体" w:eastAsia="宋体" w:cs="宋体"/>
          <w:color w:val="000000" w:themeColor="text1"/>
          <w:szCs w:val="21"/>
          <w:highlight w:val="none"/>
          <w:lang w:val="en-US" w:eastAsia="zh-CN"/>
          <w14:textFill>
            <w14:solidFill>
              <w14:schemeClr w14:val="tx1"/>
            </w14:solidFill>
          </w14:textFill>
        </w:rPr>
        <w:t>厅堂的</w:t>
      </w:r>
      <w:r>
        <w:rPr>
          <w:rFonts w:hint="eastAsia" w:ascii="宋体" w:hAnsi="宋体" w:eastAsia="宋体" w:cs="宋体"/>
          <w:color w:val="000000" w:themeColor="text1"/>
          <w:szCs w:val="21"/>
          <w:highlight w:val="none"/>
          <w14:textFill>
            <w14:solidFill>
              <w14:schemeClr w14:val="tx1"/>
            </w14:solidFill>
          </w14:textFill>
        </w:rPr>
        <w:t>要求；</w:t>
      </w:r>
    </w:p>
    <w:p>
      <w:pPr>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建筑声学</w:t>
      </w:r>
      <w:r>
        <w:rPr>
          <w:rFonts w:hint="eastAsia" w:ascii="宋体" w:hAnsi="宋体" w:eastAsia="宋体" w:cs="宋体"/>
          <w:color w:val="000000" w:themeColor="text1"/>
          <w:szCs w:val="21"/>
          <w:highlight w:val="none"/>
          <w:lang w:val="en-US" w:eastAsia="zh-CN"/>
          <w14:textFill>
            <w14:solidFill>
              <w14:schemeClr w14:val="tx1"/>
            </w14:solidFill>
          </w14:textFill>
        </w:rPr>
        <w:t>需要满足以下条件①-②：①</w:t>
      </w:r>
      <w:r>
        <w:rPr>
          <w:rFonts w:hint="eastAsia" w:ascii="宋体" w:hAnsi="宋体" w:eastAsia="宋体" w:cs="宋体"/>
          <w:color w:val="000000" w:themeColor="text1"/>
          <w:szCs w:val="21"/>
          <w:highlight w:val="none"/>
          <w14:textFill>
            <w14:solidFill>
              <w14:schemeClr w14:val="tx1"/>
            </w14:solidFill>
          </w14:textFill>
        </w:rPr>
        <w:t>满场500Hz~1000Hz混响时间</w:t>
      </w:r>
      <w:r>
        <w:rPr>
          <w:rFonts w:hint="eastAsia" w:ascii="宋体" w:hAnsi="宋体" w:eastAsia="宋体" w:cs="宋体"/>
          <w:color w:val="000000" w:themeColor="text1"/>
          <w:szCs w:val="21"/>
          <w:highlight w:val="none"/>
          <w:lang w:val="en-US" w:eastAsia="zh-CN"/>
          <w14:textFill>
            <w14:solidFill>
              <w14:schemeClr w14:val="tx1"/>
            </w14:solidFill>
          </w14:textFill>
        </w:rPr>
        <w:t>达到</w:t>
      </w:r>
      <w:r>
        <w:rPr>
          <w:rFonts w:hint="eastAsia" w:ascii="宋体" w:hAnsi="宋体" w:eastAsia="宋体" w:cs="宋体"/>
          <w:color w:val="000000" w:themeColor="text1"/>
          <w:szCs w:val="21"/>
          <w:highlight w:val="none"/>
          <w14:textFill>
            <w14:solidFill>
              <w14:schemeClr w14:val="tx1"/>
            </w14:solidFill>
          </w14:textFill>
        </w:rPr>
        <w:t>0.8±0.1</w:t>
      </w:r>
      <w:r>
        <w:rPr>
          <w:rFonts w:hint="eastAsia" w:ascii="宋体" w:hAnsi="宋体" w:eastAsia="宋体" w:cs="宋体"/>
          <w:color w:val="000000" w:themeColor="text1"/>
          <w:szCs w:val="21"/>
          <w:highlight w:val="none"/>
          <w:lang w:val="en-US" w:eastAsia="zh-CN"/>
          <w14:textFill>
            <w14:solidFill>
              <w14:schemeClr w14:val="tx1"/>
            </w14:solidFill>
          </w14:textFill>
        </w:rPr>
        <w:t>s②</w:t>
      </w:r>
      <w:r>
        <w:rPr>
          <w:rFonts w:hint="eastAsia" w:ascii="宋体" w:hAnsi="宋体" w:eastAsia="宋体" w:cs="宋体"/>
          <w:color w:val="000000" w:themeColor="text1"/>
          <w:szCs w:val="21"/>
          <w:highlight w:val="none"/>
          <w14:textFill>
            <w14:solidFill>
              <w14:schemeClr w14:val="tx1"/>
            </w14:solidFill>
          </w14:textFill>
        </w:rPr>
        <w:t>STI语言清晰度</w:t>
      </w:r>
      <w:r>
        <w:rPr>
          <w:rFonts w:hint="eastAsia" w:ascii="宋体" w:hAnsi="宋体" w:eastAsia="宋体" w:cs="宋体"/>
          <w:color w:val="000000" w:themeColor="text1"/>
          <w:szCs w:val="21"/>
          <w:highlight w:val="none"/>
          <w:lang w:val="en-US" w:eastAsia="zh-CN"/>
          <w14:textFill>
            <w14:solidFill>
              <w14:schemeClr w14:val="tx1"/>
            </w14:solidFill>
          </w14:textFill>
        </w:rPr>
        <w:t>位于0.6-1.0</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提供承诺函，格式自拟。</w:t>
      </w:r>
    </w:p>
    <w:p>
      <w:pPr>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舞台灯光需要满足</w:t>
      </w:r>
      <w:r>
        <w:rPr>
          <w:rFonts w:hint="eastAsia" w:ascii="宋体" w:hAnsi="宋体" w:eastAsia="宋体" w:cs="宋体"/>
          <w:color w:val="000000" w:themeColor="text1"/>
          <w:highlight w:val="none"/>
          <w14:textFill>
            <w14:solidFill>
              <w14:schemeClr w14:val="tx1"/>
            </w14:solidFill>
          </w14:textFill>
        </w:rPr>
        <w:t>GB 50606</w:t>
      </w:r>
      <w:r>
        <w:rPr>
          <w:rFonts w:hint="eastAsia" w:ascii="宋体" w:hAnsi="宋体" w:eastAsia="宋体" w:cs="宋体"/>
          <w:color w:val="000000" w:themeColor="text1"/>
          <w:szCs w:val="21"/>
          <w:highlight w:val="none"/>
          <w14:textFill>
            <w14:solidFill>
              <w14:schemeClr w14:val="tx1"/>
            </w14:solidFill>
          </w14:textFill>
        </w:rPr>
        <w:t>《智能建筑工程施工规范》视频信号的采集区照明要求，确保拍照录像不黑脸。</w:t>
      </w:r>
    </w:p>
    <w:p>
      <w:pPr>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目前礼堂已进行初步的装修，在保证扩声和隔音效果能满足正常标准的情况下，不对目前的装修进行大幅拆改，仅在现有基础上进行。</w:t>
      </w: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2</w:t>
      </w:r>
      <w:r>
        <w:rPr>
          <w:rFonts w:hint="eastAsia" w:ascii="宋体" w:hAnsi="宋体" w:eastAsia="宋体" w:cs="宋体"/>
          <w:b/>
          <w:color w:val="000000" w:themeColor="text1"/>
          <w:sz w:val="28"/>
          <w:szCs w:val="28"/>
          <w:highlight w:val="none"/>
          <w14:textFill>
            <w14:solidFill>
              <w14:schemeClr w14:val="tx1"/>
            </w14:solidFill>
          </w14:textFill>
        </w:rPr>
        <w:t>项目周期</w:t>
      </w:r>
    </w:p>
    <w:p>
      <w:pPr>
        <w:spacing w:line="240" w:lineRule="auto"/>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本项目</w:t>
      </w:r>
      <w:r>
        <w:rPr>
          <w:rFonts w:hint="eastAsia" w:ascii="宋体" w:hAnsi="宋体" w:eastAsia="宋体" w:cs="宋体"/>
          <w:color w:val="000000" w:themeColor="text1"/>
          <w:szCs w:val="21"/>
          <w:highlight w:val="none"/>
          <w:lang w:val="en-US" w:eastAsia="zh-CN"/>
          <w14:textFill>
            <w14:solidFill>
              <w14:schemeClr w14:val="tx1"/>
            </w14:solidFill>
          </w14:textFill>
        </w:rPr>
        <w:t>供货</w:t>
      </w:r>
      <w:r>
        <w:rPr>
          <w:rFonts w:hint="eastAsia" w:ascii="宋体" w:hAnsi="宋体" w:eastAsia="宋体" w:cs="宋体"/>
          <w:color w:val="000000" w:themeColor="text1"/>
          <w:szCs w:val="21"/>
          <w:highlight w:val="none"/>
          <w14:textFill>
            <w14:solidFill>
              <w14:schemeClr w14:val="tx1"/>
            </w14:solidFill>
          </w14:textFill>
        </w:rPr>
        <w:t>周期为</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个月，</w:t>
      </w:r>
      <w:r>
        <w:rPr>
          <w:rFonts w:hint="eastAsia" w:ascii="宋体" w:hAnsi="宋体" w:eastAsia="宋体" w:cs="宋体"/>
          <w:color w:val="000000" w:themeColor="text1"/>
          <w:szCs w:val="21"/>
          <w:highlight w:val="none"/>
          <w:lang w:val="en-US" w:eastAsia="zh-CN"/>
          <w14:textFill>
            <w14:solidFill>
              <w14:schemeClr w14:val="tx1"/>
            </w14:solidFill>
          </w14:textFill>
        </w:rPr>
        <w:t>在</w:t>
      </w:r>
      <w:r>
        <w:rPr>
          <w:rFonts w:hint="eastAsia" w:ascii="宋体" w:hAnsi="宋体" w:eastAsia="宋体" w:cs="宋体"/>
          <w:color w:val="000000" w:themeColor="text1"/>
          <w:szCs w:val="21"/>
          <w:highlight w:val="none"/>
          <w14:textFill>
            <w14:solidFill>
              <w14:schemeClr w14:val="tx1"/>
            </w14:solidFill>
          </w14:textFill>
        </w:rPr>
        <w:t>收到进场</w:t>
      </w:r>
      <w:r>
        <w:rPr>
          <w:rFonts w:hint="eastAsia" w:ascii="宋体" w:hAnsi="宋体" w:eastAsia="宋体" w:cs="宋体"/>
          <w:color w:val="000000" w:themeColor="text1"/>
          <w:szCs w:val="21"/>
          <w:highlight w:val="none"/>
          <w:lang w:val="en-US" w:eastAsia="zh-CN"/>
          <w14:textFill>
            <w14:solidFill>
              <w14:schemeClr w14:val="tx1"/>
            </w14:solidFill>
          </w14:textFill>
        </w:rPr>
        <w:t>或</w:t>
      </w:r>
      <w:r>
        <w:rPr>
          <w:rFonts w:hint="eastAsia" w:ascii="宋体" w:hAnsi="宋体" w:eastAsia="宋体" w:cs="宋体"/>
          <w:color w:val="000000" w:themeColor="text1"/>
          <w:szCs w:val="21"/>
          <w:highlight w:val="none"/>
          <w14:textFill>
            <w14:solidFill>
              <w14:schemeClr w14:val="tx1"/>
            </w14:solidFill>
          </w14:textFill>
        </w:rPr>
        <w:t>开工通知书</w:t>
      </w:r>
      <w:r>
        <w:rPr>
          <w:rFonts w:hint="eastAsia" w:ascii="宋体" w:hAnsi="宋体" w:eastAsia="宋体" w:cs="宋体"/>
          <w:color w:val="000000" w:themeColor="text1"/>
          <w:szCs w:val="21"/>
          <w:highlight w:val="none"/>
          <w:lang w:val="en-US" w:eastAsia="zh-CN"/>
          <w14:textFill>
            <w14:solidFill>
              <w14:schemeClr w14:val="tx1"/>
            </w14:solidFill>
          </w14:textFill>
        </w:rPr>
        <w:t>后2个</w:t>
      </w:r>
      <w:r>
        <w:rPr>
          <w:rFonts w:hint="eastAsia" w:ascii="宋体" w:hAnsi="宋体" w:eastAsia="宋体" w:cs="宋体"/>
          <w:color w:val="000000" w:themeColor="text1"/>
          <w:szCs w:val="21"/>
          <w:highlight w:val="none"/>
          <w14:textFill>
            <w14:solidFill>
              <w14:schemeClr w14:val="tx1"/>
            </w14:solidFill>
          </w14:textFill>
        </w:rPr>
        <w:t>月完成</w:t>
      </w:r>
      <w:r>
        <w:rPr>
          <w:rFonts w:hint="eastAsia" w:ascii="宋体" w:hAnsi="宋体" w:eastAsia="宋体" w:cs="宋体"/>
          <w:color w:val="000000" w:themeColor="text1"/>
          <w:szCs w:val="21"/>
          <w:highlight w:val="none"/>
          <w:lang w:val="en-US" w:eastAsia="zh-CN"/>
          <w14:textFill>
            <w14:solidFill>
              <w14:schemeClr w14:val="tx1"/>
            </w14:solidFill>
          </w14:textFill>
        </w:rPr>
        <w:t>声学改造装修、供货和安装调试</w:t>
      </w:r>
      <w:r>
        <w:rPr>
          <w:rFonts w:hint="eastAsia" w:ascii="宋体" w:hAnsi="宋体" w:eastAsia="宋体" w:cs="宋体"/>
          <w:color w:val="000000" w:themeColor="text1"/>
          <w:szCs w:val="21"/>
          <w:highlight w:val="none"/>
          <w14:textFill>
            <w14:solidFill>
              <w14:schemeClr w14:val="tx1"/>
            </w14:solidFill>
          </w14:textFill>
        </w:rPr>
        <w:t>（如项目开工时间顺延，实施计划同步顺延）。</w:t>
      </w: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3</w:t>
      </w:r>
      <w:r>
        <w:rPr>
          <w:rFonts w:hint="eastAsia" w:ascii="宋体" w:hAnsi="宋体" w:eastAsia="宋体" w:cs="宋体"/>
          <w:b/>
          <w:color w:val="000000" w:themeColor="text1"/>
          <w:sz w:val="28"/>
          <w:szCs w:val="28"/>
          <w:highlight w:val="none"/>
          <w14:textFill>
            <w14:solidFill>
              <w14:schemeClr w14:val="tx1"/>
            </w14:solidFill>
          </w14:textFill>
        </w:rPr>
        <w:t>项目内容</w:t>
      </w:r>
    </w:p>
    <w:p>
      <w:pPr>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目前</w:t>
      </w:r>
      <w:r>
        <w:rPr>
          <w:rFonts w:hint="eastAsia" w:ascii="宋体" w:hAnsi="宋体" w:eastAsia="宋体" w:cs="宋体"/>
          <w:color w:val="000000" w:themeColor="text1"/>
          <w:szCs w:val="21"/>
          <w:highlight w:val="none"/>
          <w:lang w:val="en-US" w:eastAsia="zh-CN"/>
          <w14:textFill>
            <w14:solidFill>
              <w14:schemeClr w14:val="tx1"/>
            </w14:solidFill>
          </w14:textFill>
        </w:rPr>
        <w:t>礼堂</w:t>
      </w:r>
      <w:r>
        <w:rPr>
          <w:rFonts w:hint="eastAsia" w:ascii="宋体" w:hAnsi="宋体" w:eastAsia="宋体" w:cs="宋体"/>
          <w:color w:val="000000" w:themeColor="text1"/>
          <w:szCs w:val="21"/>
          <w:highlight w:val="none"/>
          <w14:textFill>
            <w14:solidFill>
              <w14:schemeClr w14:val="tx1"/>
            </w14:solidFill>
          </w14:textFill>
        </w:rPr>
        <w:t>虽然已进行初步装修，但未正式投入使用，并且经初步测量，现场声学环境未能满足国家相关标准，存在较大的回声和较长的混响时间。因此本项目要求</w:t>
      </w:r>
      <w:r>
        <w:rPr>
          <w:rFonts w:hint="eastAsia" w:ascii="宋体" w:hAnsi="宋体" w:eastAsia="宋体" w:cs="宋体"/>
          <w:color w:val="000000" w:themeColor="text1"/>
          <w:szCs w:val="21"/>
          <w:highlight w:val="none"/>
          <w:lang w:eastAsia="zh-CN"/>
          <w14:textFill>
            <w14:solidFill>
              <w14:schemeClr w14:val="tx1"/>
            </w14:solidFill>
          </w14:textFill>
        </w:rPr>
        <w:t>成交</w:t>
      </w:r>
      <w:r>
        <w:rPr>
          <w:rFonts w:hint="eastAsia" w:ascii="宋体" w:hAnsi="宋体" w:eastAsia="宋体" w:cs="宋体"/>
          <w:color w:val="000000" w:themeColor="text1"/>
          <w:szCs w:val="21"/>
          <w:highlight w:val="none"/>
          <w14:textFill>
            <w14:solidFill>
              <w14:schemeClr w14:val="tx1"/>
            </w14:solidFill>
          </w14:textFill>
        </w:rPr>
        <w:t>供应商承担多功能厅的声学环境设计和改造装修工作。</w:t>
      </w:r>
    </w:p>
    <w:p>
      <w:pPr>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本项目内容包括：①</w:t>
      </w:r>
      <w:r>
        <w:rPr>
          <w:rFonts w:hint="eastAsia" w:ascii="宋体" w:hAnsi="宋体" w:eastAsia="宋体" w:cs="宋体"/>
          <w:color w:val="000000" w:themeColor="text1"/>
          <w:szCs w:val="21"/>
          <w:highlight w:val="none"/>
          <w:lang w:eastAsia="zh-CN"/>
          <w14:textFill>
            <w14:solidFill>
              <w14:schemeClr w14:val="tx1"/>
            </w14:solidFill>
          </w14:textFill>
        </w:rPr>
        <w:t>LED显示屏</w:t>
      </w:r>
      <w:r>
        <w:rPr>
          <w:rFonts w:hint="eastAsia" w:ascii="宋体" w:hAnsi="宋体" w:eastAsia="宋体" w:cs="宋体"/>
          <w:color w:val="000000" w:themeColor="text1"/>
          <w:szCs w:val="21"/>
          <w:highlight w:val="none"/>
          <w14:textFill>
            <w14:solidFill>
              <w14:schemeClr w14:val="tx1"/>
            </w14:solidFill>
          </w14:textFill>
        </w:rPr>
        <w:t>和显示系统、②扩声系统、③舞台灯光系统、④录播和视频会议系统、⑤舞台帘幕及窗帘、⑥中控系统、⑦控制室建设、⑧必要的建筑声学改造、⑨</w:t>
      </w:r>
      <w:bookmarkStart w:id="0" w:name="_Hlk165397710"/>
      <w:r>
        <w:rPr>
          <w:rFonts w:hint="eastAsia" w:ascii="宋体" w:hAnsi="宋体" w:eastAsia="宋体" w:cs="宋体"/>
          <w:color w:val="000000" w:themeColor="text1"/>
          <w:szCs w:val="21"/>
          <w:highlight w:val="none"/>
          <w14:textFill>
            <w14:solidFill>
              <w14:schemeClr w14:val="tx1"/>
            </w14:solidFill>
          </w14:textFill>
        </w:rPr>
        <w:t>桌椅、讲台等家具</w:t>
      </w:r>
      <w:bookmarkEnd w:id="0"/>
      <w:r>
        <w:rPr>
          <w:rFonts w:hint="eastAsia" w:ascii="宋体" w:hAnsi="宋体" w:eastAsia="宋体" w:cs="宋体"/>
          <w:color w:val="000000" w:themeColor="text1"/>
          <w:szCs w:val="21"/>
          <w:highlight w:val="none"/>
          <w14:textFill>
            <w14:solidFill>
              <w14:schemeClr w14:val="tx1"/>
            </w14:solidFill>
          </w14:textFill>
        </w:rPr>
        <w:t>。其他子系统在本系统的设计中要达到提供的以上功能实现的活动环境。</w:t>
      </w:r>
    </w:p>
    <w:tbl>
      <w:tblPr>
        <w:tblStyle w:val="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4961"/>
        <w:gridCol w:w="709"/>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4" w:type="dxa"/>
            <w:vAlign w:val="center"/>
          </w:tcPr>
          <w:p>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序号</w:t>
            </w:r>
          </w:p>
        </w:tc>
        <w:tc>
          <w:tcPr>
            <w:tcW w:w="1134" w:type="dxa"/>
          </w:tcPr>
          <w:p>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项目类型</w:t>
            </w:r>
          </w:p>
        </w:tc>
        <w:tc>
          <w:tcPr>
            <w:tcW w:w="4961" w:type="dxa"/>
          </w:tcPr>
          <w:p>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项目内容</w:t>
            </w:r>
          </w:p>
        </w:tc>
        <w:tc>
          <w:tcPr>
            <w:tcW w:w="709" w:type="dxa"/>
            <w:vAlign w:val="center"/>
          </w:tcPr>
          <w:p>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数量</w:t>
            </w:r>
          </w:p>
        </w:tc>
        <w:tc>
          <w:tcPr>
            <w:tcW w:w="788" w:type="dxa"/>
            <w:vAlign w:val="center"/>
          </w:tcPr>
          <w:p>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0"/>
              <w:numPr>
                <w:ilvl w:val="0"/>
                <w:numId w:val="1"/>
              </w:numPr>
              <w:ind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134"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LED显示屏</w:t>
            </w:r>
            <w:r>
              <w:rPr>
                <w:rFonts w:hint="eastAsia" w:ascii="宋体" w:hAnsi="宋体" w:eastAsia="宋体" w:cs="宋体"/>
                <w:color w:val="000000" w:themeColor="text1"/>
                <w:szCs w:val="21"/>
                <w:highlight w:val="none"/>
                <w14:textFill>
                  <w14:solidFill>
                    <w14:schemeClr w14:val="tx1"/>
                  </w14:solidFill>
                </w14:textFill>
              </w:rPr>
              <w:t>和显示系统</w:t>
            </w:r>
          </w:p>
        </w:tc>
        <w:tc>
          <w:tcPr>
            <w:tcW w:w="4961" w:type="dxa"/>
          </w:tcPr>
          <w:p>
            <w:pPr>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用于会议、培训、远程会议、</w:t>
            </w:r>
            <w:r>
              <w:rPr>
                <w:rFonts w:hint="eastAsia" w:ascii="宋体" w:hAnsi="宋体" w:eastAsia="宋体" w:cs="宋体"/>
                <w:color w:val="000000" w:themeColor="text1"/>
                <w:szCs w:val="21"/>
                <w:highlight w:val="none"/>
                <w14:textFill>
                  <w14:solidFill>
                    <w14:schemeClr w14:val="tx1"/>
                  </w14:solidFill>
                </w14:textFill>
              </w:rPr>
              <w:t>开奖演播</w:t>
            </w:r>
            <w:r>
              <w:rPr>
                <w:rFonts w:hint="eastAsia" w:ascii="宋体" w:hAnsi="宋体" w:eastAsia="宋体" w:cs="宋体"/>
                <w:color w:val="000000" w:themeColor="text1"/>
                <w:szCs w:val="21"/>
                <w:highlight w:val="none"/>
                <w:lang w:val="en-US" w:eastAsia="zh-CN"/>
                <w14:textFill>
                  <w14:solidFill>
                    <w14:schemeClr w14:val="tx1"/>
                  </w14:solidFill>
                </w14:textFill>
              </w:rPr>
              <w:t>等活动所需的</w:t>
            </w:r>
            <w:r>
              <w:rPr>
                <w:rFonts w:hint="eastAsia" w:ascii="宋体" w:hAnsi="宋体" w:eastAsia="宋体" w:cs="宋体"/>
                <w:color w:val="000000" w:themeColor="text1"/>
                <w:szCs w:val="21"/>
                <w:highlight w:val="none"/>
                <w14:textFill>
                  <w14:solidFill>
                    <w14:schemeClr w14:val="tx1"/>
                  </w14:solidFill>
                </w14:textFill>
              </w:rPr>
              <w:t>资料、图片、视频</w:t>
            </w:r>
            <w:r>
              <w:rPr>
                <w:rFonts w:hint="eastAsia" w:ascii="宋体" w:hAnsi="宋体" w:eastAsia="宋体" w:cs="宋体"/>
                <w:color w:val="000000" w:themeColor="text1"/>
                <w:szCs w:val="21"/>
                <w:highlight w:val="none"/>
                <w:lang w:val="en-US" w:eastAsia="zh-CN"/>
                <w14:textFill>
                  <w14:solidFill>
                    <w14:schemeClr w14:val="tx1"/>
                  </w14:solidFill>
                </w14:textFill>
              </w:rPr>
              <w:t>的</w:t>
            </w:r>
            <w:r>
              <w:rPr>
                <w:rFonts w:hint="eastAsia" w:ascii="宋体" w:hAnsi="宋体" w:eastAsia="宋体" w:cs="宋体"/>
                <w:color w:val="000000" w:themeColor="text1"/>
                <w:szCs w:val="21"/>
                <w:highlight w:val="none"/>
                <w14:textFill>
                  <w14:solidFill>
                    <w14:schemeClr w14:val="tx1"/>
                  </w14:solidFill>
                </w14:textFill>
              </w:rPr>
              <w:t>显示。</w:t>
            </w:r>
            <w:r>
              <w:rPr>
                <w:rFonts w:hint="eastAsia" w:ascii="宋体" w:hAnsi="宋体" w:eastAsia="宋体" w:cs="宋体"/>
                <w:color w:val="000000" w:themeColor="text1"/>
                <w:szCs w:val="21"/>
                <w:highlight w:val="none"/>
                <w:lang w:val="en-US" w:eastAsia="zh-CN"/>
                <w14:textFill>
                  <w14:solidFill>
                    <w14:schemeClr w14:val="tx1"/>
                  </w14:solidFill>
                </w14:textFill>
              </w:rPr>
              <w:t>包括：</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LED显示屏</w:t>
            </w:r>
            <w:r>
              <w:rPr>
                <w:rFonts w:hint="eastAsia" w:ascii="宋体" w:hAnsi="宋体" w:eastAsia="宋体" w:cs="宋体"/>
                <w:color w:val="000000" w:themeColor="text1"/>
                <w:szCs w:val="21"/>
                <w:highlight w:val="none"/>
                <w14:textFill>
                  <w14:solidFill>
                    <w14:schemeClr w14:val="tx1"/>
                  </w14:solidFill>
                </w14:textFill>
              </w:rPr>
              <w:t>：采用模组化前维护金属结构的P1.5</w:t>
            </w:r>
            <w:r>
              <w:rPr>
                <w:rFonts w:hint="eastAsia" w:ascii="宋体" w:hAnsi="宋体" w:eastAsia="宋体" w:cs="宋体"/>
                <w:color w:val="000000" w:themeColor="text1"/>
                <w:szCs w:val="21"/>
                <w:highlight w:val="none"/>
                <w:lang w:val="en-US" w:eastAsia="zh-CN"/>
                <w14:textFill>
                  <w14:solidFill>
                    <w14:schemeClr w14:val="tx1"/>
                  </w14:solidFill>
                </w14:textFill>
              </w:rPr>
              <w:t>38</w:t>
            </w:r>
            <w:r>
              <w:rPr>
                <w:rFonts w:hint="eastAsia" w:ascii="宋体" w:hAnsi="宋体" w:eastAsia="宋体" w:cs="宋体"/>
                <w:color w:val="000000" w:themeColor="text1"/>
                <w:szCs w:val="21"/>
                <w:highlight w:val="none"/>
                <w14:textFill>
                  <w14:solidFill>
                    <w14:schemeClr w14:val="tx1"/>
                  </w14:solidFill>
                </w14:textFill>
              </w:rPr>
              <w:t>全彩室内LED显示屏。分辨率大于</w:t>
            </w:r>
            <w:r>
              <w:rPr>
                <w:rFonts w:hint="eastAsia" w:ascii="宋体" w:hAnsi="宋体" w:eastAsia="宋体" w:cs="宋体"/>
                <w:color w:val="000000" w:themeColor="text1"/>
                <w:szCs w:val="21"/>
                <w:highlight w:val="none"/>
                <w:lang w:val="en-US" w:eastAsia="zh-CN"/>
                <w14:textFill>
                  <w14:solidFill>
                    <w14:schemeClr w14:val="tx1"/>
                  </w14:solidFill>
                </w14:textFill>
              </w:rPr>
              <w:t>等于</w:t>
            </w:r>
            <w:r>
              <w:rPr>
                <w:rFonts w:hint="eastAsia" w:ascii="宋体" w:hAnsi="宋体" w:eastAsia="宋体" w:cs="宋体"/>
                <w:color w:val="000000" w:themeColor="text1"/>
                <w:szCs w:val="21"/>
                <w:highlight w:val="none"/>
                <w14:textFill>
                  <w14:solidFill>
                    <w14:schemeClr w14:val="tx1"/>
                  </w14:solidFill>
                </w14:textFill>
              </w:rPr>
              <w:t>4096*2160（4K）,宽*高大于等于6.4米*3.36米，面积大于等于21.5</w:t>
            </w:r>
            <w:r>
              <w:rPr>
                <w:rFonts w:hint="eastAsia" w:ascii="宋体" w:hAnsi="宋体" w:eastAsia="宋体" w:cs="宋体"/>
                <w:color w:val="000000" w:themeColor="text1"/>
                <w:szCs w:val="21"/>
                <w:highlight w:val="none"/>
                <w:lang w:val="en-US" w:eastAsia="zh-CN"/>
                <w14:textFill>
                  <w14:solidFill>
                    <w14:schemeClr w14:val="tx1"/>
                  </w14:solidFill>
                </w14:textFill>
              </w:rPr>
              <w:t>04</w:t>
            </w:r>
            <w:r>
              <w:rPr>
                <w:rFonts w:hint="eastAsia" w:ascii="宋体" w:hAnsi="宋体" w:eastAsia="宋体" w:cs="宋体"/>
                <w:color w:val="000000" w:themeColor="text1"/>
                <w:szCs w:val="21"/>
                <w:highlight w:val="none"/>
                <w14:textFill>
                  <w14:solidFill>
                    <w14:schemeClr w14:val="tx1"/>
                  </w14:solidFill>
                </w14:textFill>
              </w:rPr>
              <w:t>平方米。安装于舞台中央。</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显示系统</w:t>
            </w:r>
            <w:r>
              <w:rPr>
                <w:rFonts w:hint="eastAsia" w:ascii="宋体" w:hAnsi="宋体" w:eastAsia="宋体" w:cs="宋体"/>
                <w:color w:val="000000" w:themeColor="text1"/>
                <w:szCs w:val="21"/>
                <w:highlight w:val="none"/>
                <w14:textFill>
                  <w14:solidFill>
                    <w14:schemeClr w14:val="tx1"/>
                  </w14:solidFill>
                </w14:textFill>
              </w:rPr>
              <w:t>：用于</w:t>
            </w:r>
            <w:r>
              <w:rPr>
                <w:rFonts w:hint="eastAsia" w:ascii="宋体" w:hAnsi="宋体" w:eastAsia="宋体" w:cs="宋体"/>
                <w:color w:val="000000" w:themeColor="text1"/>
                <w:szCs w:val="21"/>
                <w:highlight w:val="none"/>
                <w:lang w:eastAsia="zh-CN"/>
                <w14:textFill>
                  <w14:solidFill>
                    <w14:schemeClr w14:val="tx1"/>
                  </w14:solidFill>
                </w14:textFill>
              </w:rPr>
              <w:t>LED显示屏</w:t>
            </w:r>
            <w:r>
              <w:rPr>
                <w:rFonts w:hint="eastAsia" w:ascii="宋体" w:hAnsi="宋体" w:eastAsia="宋体" w:cs="宋体"/>
                <w:color w:val="000000" w:themeColor="text1"/>
                <w:szCs w:val="21"/>
                <w:highlight w:val="none"/>
                <w14:textFill>
                  <w14:solidFill>
                    <w14:schemeClr w14:val="tx1"/>
                  </w14:solidFill>
                </w14:textFill>
              </w:rPr>
              <w:t>等所有显示屏的控制，如：图像亮度、对比度、色彩调节，像素一致性较正调节等，满足至少8进8出视频信号切换、分辨率转换、图像开窗、叠加、拉伸、漫游、跨屏、缩放或画中画等功能需求。控制软件具有开窗显示会标内容功能。</w:t>
            </w:r>
          </w:p>
          <w:p>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返看显示屏：</w:t>
            </w:r>
            <w:r>
              <w:rPr>
                <w:rFonts w:hint="eastAsia" w:ascii="宋体" w:hAnsi="宋体" w:eastAsia="宋体" w:cs="宋体"/>
                <w:color w:val="000000" w:themeColor="text1"/>
                <w:szCs w:val="21"/>
                <w:highlight w:val="none"/>
                <w14:textFill>
                  <w14:solidFill>
                    <w14:schemeClr w14:val="tx1"/>
                  </w14:solidFill>
                </w14:textFill>
              </w:rPr>
              <w:t>55英寸以上</w:t>
            </w:r>
            <w:r>
              <w:rPr>
                <w:rFonts w:hint="eastAsia" w:ascii="宋体" w:hAnsi="宋体" w:eastAsia="宋体" w:cs="宋体"/>
                <w:color w:val="000000" w:themeColor="text1"/>
                <w:szCs w:val="21"/>
                <w:highlight w:val="none"/>
                <w:lang w:val="en-US" w:eastAsia="zh-CN"/>
                <w14:textFill>
                  <w14:solidFill>
                    <w14:schemeClr w14:val="tx1"/>
                  </w14:solidFill>
                </w14:textFill>
              </w:rPr>
              <w:t>相当于或优于</w:t>
            </w:r>
            <w:r>
              <w:rPr>
                <w:rFonts w:hint="eastAsia" w:ascii="宋体" w:hAnsi="宋体" w:eastAsia="宋体" w:cs="宋体"/>
                <w:color w:val="000000" w:themeColor="text1"/>
                <w:szCs w:val="21"/>
                <w:highlight w:val="none"/>
                <w14:textFill>
                  <w14:solidFill>
                    <w14:schemeClr w14:val="tx1"/>
                  </w14:solidFill>
                </w14:textFill>
              </w:rPr>
              <w:t>4K LCD显示屏2台</w:t>
            </w:r>
          </w:p>
        </w:tc>
        <w:tc>
          <w:tcPr>
            <w:tcW w:w="709"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788"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0"/>
              <w:numPr>
                <w:ilvl w:val="0"/>
                <w:numId w:val="1"/>
              </w:numPr>
              <w:ind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134" w:type="dxa"/>
            <w:vAlign w:val="center"/>
          </w:tcPr>
          <w:p>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录播和视频会议系统</w:t>
            </w:r>
          </w:p>
        </w:tc>
        <w:tc>
          <w:tcPr>
            <w:tcW w:w="4961" w:type="dxa"/>
            <w:vAlign w:val="top"/>
          </w:tcPr>
          <w:p>
            <w:pPr>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用于对培训会议现场录音录像、回放、网络广播和参加或组织视频会议等。可以把会议、培训和抽奖演播全过程的多媒体(如PPT等)完整记录下来，通过视频会议实时或之后传播出去。</w:t>
            </w:r>
            <w:r>
              <w:rPr>
                <w:rFonts w:hint="eastAsia" w:ascii="宋体" w:hAnsi="宋体" w:eastAsia="宋体" w:cs="宋体"/>
                <w:color w:val="000000" w:themeColor="text1"/>
                <w:szCs w:val="21"/>
                <w:highlight w:val="none"/>
                <w:lang w:val="en-US" w:eastAsia="zh-CN"/>
                <w14:textFill>
                  <w14:solidFill>
                    <w14:schemeClr w14:val="tx1"/>
                  </w14:solidFill>
                </w14:textFill>
              </w:rPr>
              <w:t>至少包含：</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（1）录播主机1台。采用</w:t>
            </w:r>
            <w:r>
              <w:rPr>
                <w:rFonts w:hint="eastAsia" w:ascii="宋体" w:hAnsi="宋体" w:eastAsia="宋体" w:cs="宋体"/>
                <w:color w:val="000000" w:themeColor="text1"/>
                <w:szCs w:val="21"/>
                <w:highlight w:val="none"/>
                <w:lang w:val="en-US" w:eastAsia="zh-CN"/>
                <w14:textFill>
                  <w14:solidFill>
                    <w14:schemeClr w14:val="tx1"/>
                  </w14:solidFill>
                </w14:textFill>
              </w:rPr>
              <w:t>相当于或优于</w:t>
            </w:r>
            <w:r>
              <w:rPr>
                <w:rFonts w:hint="eastAsia" w:ascii="宋体" w:hAnsi="宋体" w:eastAsia="宋体" w:cs="宋体"/>
                <w:color w:val="000000" w:themeColor="text1"/>
                <w:szCs w:val="21"/>
                <w:highlight w:val="none"/>
                <w14:textFill>
                  <w14:solidFill>
                    <w14:schemeClr w14:val="tx1"/>
                  </w14:solidFill>
                </w14:textFill>
              </w:rPr>
              <w:t>H.264 High Profile高清编码方式，支持4K全高清视频记录。系统支持至少8机位音视频和4路音视频信号同时录制</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并具备视频矩阵功能。包含</w:t>
            </w:r>
            <w:r>
              <w:rPr>
                <w:rFonts w:hint="eastAsia" w:ascii="宋体" w:hAnsi="宋体" w:eastAsia="宋体" w:cs="宋体"/>
                <w:color w:val="000000" w:themeColor="text1"/>
                <w:szCs w:val="21"/>
                <w:highlight w:val="none"/>
                <w14:textFill>
                  <w14:solidFill>
                    <w14:schemeClr w14:val="tx1"/>
                  </w14:solidFill>
                </w14:textFill>
              </w:rPr>
              <w:t>视频采集及视频会议工作站</w:t>
            </w:r>
            <w:r>
              <w:rPr>
                <w:rFonts w:hint="eastAsia" w:eastAsia="宋体"/>
                <w:color w:val="000000" w:themeColor="text1"/>
                <w:highlight w:val="none"/>
                <w:lang w:val="en-US" w:eastAsia="zh-CN"/>
                <w14:textFill>
                  <w14:solidFill>
                    <w14:schemeClr w14:val="tx1"/>
                  </w14:solidFill>
                </w14:textFill>
              </w:rPr>
              <w:t>功能</w:t>
            </w:r>
            <w:r>
              <w:rPr>
                <w:rFonts w:hint="eastAsia" w:ascii="宋体" w:hAnsi="宋体" w:eastAsia="宋体" w:cs="宋体"/>
                <w:color w:val="000000" w:themeColor="text1"/>
                <w:szCs w:val="21"/>
                <w:highlight w:val="none"/>
                <w14:textFill>
                  <w14:solidFill>
                    <w14:schemeClr w14:val="tx1"/>
                  </w14:solidFill>
                </w14:textFill>
              </w:rPr>
              <w:t>。</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）至少2台广角4K摄像头和2台</w:t>
            </w:r>
            <w:r>
              <w:rPr>
                <w:rFonts w:hint="eastAsia" w:ascii="宋体" w:hAnsi="宋体" w:eastAsia="宋体" w:cs="宋体"/>
                <w:color w:val="000000" w:themeColor="text1"/>
                <w:szCs w:val="21"/>
                <w:highlight w:val="none"/>
                <w:lang w:val="en-US" w:eastAsia="zh-CN"/>
                <w14:textFill>
                  <w14:solidFill>
                    <w14:schemeClr w14:val="tx1"/>
                  </w14:solidFill>
                </w14:textFill>
              </w:rPr>
              <w:t>25</w:t>
            </w:r>
            <w:r>
              <w:rPr>
                <w:rFonts w:hint="eastAsia" w:ascii="宋体" w:hAnsi="宋体" w:eastAsia="宋体" w:cs="宋体"/>
                <w:color w:val="000000" w:themeColor="text1"/>
                <w:szCs w:val="21"/>
                <w:highlight w:val="none"/>
                <w14:textFill>
                  <w14:solidFill>
                    <w14:schemeClr w14:val="tx1"/>
                  </w14:solidFill>
                </w14:textFill>
              </w:rPr>
              <w:t>倍光学变焦带云台4K摄像头。固定安装，提供全景、主席台、观众席和发言人等（可变焦）4K高清画面。</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14:textFill>
                  <w14:solidFill>
                    <w14:schemeClr w14:val="tx1"/>
                  </w14:solidFill>
                </w14:textFill>
              </w:rPr>
              <w:t>）4K录像机1台，含移动脚架。支持</w:t>
            </w:r>
            <w:r>
              <w:rPr>
                <w:rFonts w:hint="eastAsia" w:ascii="宋体" w:hAnsi="宋体" w:eastAsia="宋体" w:cs="宋体"/>
                <w:color w:val="000000" w:themeColor="text1"/>
                <w:szCs w:val="21"/>
                <w:highlight w:val="none"/>
                <w:lang w:val="en-US" w:eastAsia="zh-CN"/>
                <w14:textFill>
                  <w14:solidFill>
                    <w14:schemeClr w14:val="tx1"/>
                  </w14:solidFill>
                </w14:textFill>
              </w:rPr>
              <w:t>超过</w:t>
            </w:r>
            <w:r>
              <w:rPr>
                <w:rFonts w:hint="eastAsia" w:ascii="宋体" w:hAnsi="宋体" w:eastAsia="宋体" w:cs="宋体"/>
                <w:color w:val="000000" w:themeColor="text1"/>
                <w:szCs w:val="21"/>
                <w:highlight w:val="none"/>
                <w14:textFill>
                  <w14:solidFill>
                    <w14:schemeClr w14:val="tx1"/>
                  </w14:solidFill>
                </w14:textFill>
              </w:rPr>
              <w:t>4小时录像时长。</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14:textFill>
                  <w14:solidFill>
                    <w14:schemeClr w14:val="tx1"/>
                  </w14:solidFill>
                </w14:textFill>
              </w:rPr>
              <w:t>）LED摄影柔光灯2台，含移动脚架。</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14:textFill>
                  <w14:solidFill>
                    <w14:schemeClr w14:val="tx1"/>
                  </w14:solidFill>
                </w14:textFill>
              </w:rPr>
              <w:t>）录音录像数据本地存储，4K录像数据容量达1000小时以上。</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6</w:t>
            </w:r>
            <w:r>
              <w:rPr>
                <w:rFonts w:hint="eastAsia" w:ascii="宋体" w:hAnsi="宋体" w:eastAsia="宋体" w:cs="宋体"/>
                <w:color w:val="000000" w:themeColor="text1"/>
                <w:szCs w:val="21"/>
                <w:highlight w:val="none"/>
                <w14:textFill>
                  <w14:solidFill>
                    <w14:schemeClr w14:val="tx1"/>
                  </w14:solidFill>
                </w14:textFill>
              </w:rPr>
              <w:t>）视频会议系统主机1</w:t>
            </w:r>
            <w:r>
              <w:rPr>
                <w:rFonts w:hint="eastAsia" w:ascii="宋体" w:hAnsi="宋体" w:eastAsia="宋体" w:cs="宋体"/>
                <w:color w:val="000000" w:themeColor="text1"/>
                <w:szCs w:val="21"/>
                <w:highlight w:val="none"/>
                <w:lang w:val="en-US" w:eastAsia="zh-CN"/>
                <w14:textFill>
                  <w14:solidFill>
                    <w14:schemeClr w14:val="tx1"/>
                  </w14:solidFill>
                </w14:textFill>
              </w:rPr>
              <w:t>套</w:t>
            </w:r>
            <w:r>
              <w:rPr>
                <w:rFonts w:hint="eastAsia" w:ascii="宋体" w:hAnsi="宋体" w:eastAsia="宋体" w:cs="宋体"/>
                <w:color w:val="000000" w:themeColor="text1"/>
                <w:szCs w:val="21"/>
                <w:highlight w:val="none"/>
                <w14:textFill>
                  <w14:solidFill>
                    <w14:schemeClr w14:val="tx1"/>
                  </w14:solidFill>
                </w14:textFill>
              </w:rPr>
              <w:t>。按“粤视会”视频会议系统要求搭建，主辅流皆可达到1080P高清视频，并支持腾讯会议等主流公共视频会议系统平台。</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7</w:t>
            </w:r>
            <w:r>
              <w:rPr>
                <w:rFonts w:hint="eastAsia" w:ascii="宋体" w:hAnsi="宋体" w:eastAsia="宋体" w:cs="宋体"/>
                <w:color w:val="000000" w:themeColor="text1"/>
                <w:szCs w:val="21"/>
                <w:highlight w:val="none"/>
                <w14:textFill>
                  <w14:solidFill>
                    <w14:schemeClr w14:val="tx1"/>
                  </w14:solidFill>
                </w14:textFill>
              </w:rPr>
              <w:t>）视频监控器1台。提供监控室现场视频监控。</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8</w:t>
            </w:r>
            <w:r>
              <w:rPr>
                <w:rFonts w:hint="eastAsia" w:ascii="宋体" w:hAnsi="宋体" w:eastAsia="宋体" w:cs="宋体"/>
                <w:color w:val="000000" w:themeColor="text1"/>
                <w:szCs w:val="21"/>
                <w:highlight w:val="none"/>
                <w14:textFill>
                  <w14:solidFill>
                    <w14:schemeClr w14:val="tx1"/>
                  </w14:solidFill>
                </w14:textFill>
              </w:rPr>
              <w:t>）蓝光DVD播放机1台。支持DVD\VCD\CD等音视频光碟播放。</w:t>
            </w:r>
          </w:p>
          <w:p>
            <w:pPr>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9</w:t>
            </w:r>
            <w:r>
              <w:rPr>
                <w:rFonts w:hint="eastAsia" w:ascii="宋体" w:hAnsi="宋体" w:eastAsia="宋体" w:cs="宋体"/>
                <w:color w:val="000000" w:themeColor="text1"/>
                <w:szCs w:val="21"/>
                <w:highlight w:val="none"/>
                <w14:textFill>
                  <w14:solidFill>
                    <w14:schemeClr w14:val="tx1"/>
                  </w14:solidFill>
                </w14:textFill>
              </w:rPr>
              <w:t>）4k媒体播放机1台。</w:t>
            </w:r>
            <w:r>
              <w:rPr>
                <w:rFonts w:hint="eastAsia" w:ascii="宋体" w:hAnsi="宋体" w:eastAsia="宋体" w:cs="宋体"/>
                <w:color w:val="000000" w:themeColor="text1"/>
                <w:highlight w:val="none"/>
                <w:lang w:val="en-US" w:eastAsia="zh-CN"/>
                <w14:textFill>
                  <w14:solidFill>
                    <w14:schemeClr w14:val="tx1"/>
                  </w14:solidFill>
                </w14:textFill>
              </w:rPr>
              <w:t>影音系统，含</w:t>
            </w:r>
            <w:r>
              <w:rPr>
                <w:rFonts w:hint="eastAsia" w:ascii="宋体" w:hAnsi="宋体" w:eastAsia="宋体" w:cs="宋体"/>
                <w:color w:val="000000" w:themeColor="text1"/>
                <w:szCs w:val="21"/>
                <w:highlight w:val="none"/>
                <w14:textFill>
                  <w14:solidFill>
                    <w14:schemeClr w14:val="tx1"/>
                  </w14:solidFill>
                </w14:textFill>
              </w:rPr>
              <w:t>30万音乐曲库，含3年免费更新。</w:t>
            </w:r>
          </w:p>
        </w:tc>
        <w:tc>
          <w:tcPr>
            <w:tcW w:w="709" w:type="dxa"/>
            <w:vAlign w:val="center"/>
          </w:tcPr>
          <w:p>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788" w:type="dxa"/>
            <w:vAlign w:val="center"/>
          </w:tcPr>
          <w:p>
            <w:pPr>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0"/>
              <w:numPr>
                <w:ilvl w:val="0"/>
                <w:numId w:val="1"/>
              </w:numPr>
              <w:ind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134"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扩声系统</w:t>
            </w:r>
          </w:p>
        </w:tc>
        <w:tc>
          <w:tcPr>
            <w:tcW w:w="4961" w:type="dxa"/>
            <w:vAlign w:val="center"/>
          </w:tcPr>
          <w:p>
            <w:pPr>
              <w:jc w:val="both"/>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扩声系统应有足够的声压级和均匀度、平滑的频率特性、良好的语音清晰度等，能符合国家标准多功能厅一级声学指标。系统具备高可靠性和适应性、方便操作的特点。扬声器和后级功放都具有过载保护过热保护功能。系统能为会场提供优秀的声场覆盖，无论是播放背景音乐或者是主持人使用话筒说话，都能保证声音覆盖均匀、声音细腻还原度好以及无电流声现象等。至少包含：</w:t>
            </w:r>
          </w:p>
          <w:p>
            <w:pPr>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主扩音箱2个</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补声环绕音箱2个</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返听中置音箱2个</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超低音音箱2个</w:t>
            </w:r>
            <w:r>
              <w:rPr>
                <w:rFonts w:hint="eastAsia" w:ascii="宋体" w:hAnsi="宋体" w:eastAsia="宋体" w:cs="宋体"/>
                <w:color w:val="000000" w:themeColor="text1"/>
                <w:szCs w:val="21"/>
                <w:highlight w:val="none"/>
                <w:lang w:eastAsia="zh-CN"/>
                <w14:textFill>
                  <w14:solidFill>
                    <w14:schemeClr w14:val="tx1"/>
                  </w14:solidFill>
                </w14:textFill>
              </w:rPr>
              <w:t>；</w:t>
            </w:r>
          </w:p>
          <w:p>
            <w:pPr>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对应</w:t>
            </w:r>
            <w:r>
              <w:rPr>
                <w:rFonts w:hint="eastAsia" w:ascii="宋体" w:hAnsi="宋体" w:eastAsia="宋体" w:cs="宋体"/>
                <w:color w:val="000000" w:themeColor="text1"/>
                <w:szCs w:val="21"/>
                <w:highlight w:val="none"/>
                <w14:textFill>
                  <w14:solidFill>
                    <w14:schemeClr w14:val="tx1"/>
                  </w14:solidFill>
                </w14:textFill>
              </w:rPr>
              <w:t>音箱</w:t>
            </w:r>
            <w:r>
              <w:rPr>
                <w:rFonts w:hint="eastAsia" w:ascii="宋体" w:hAnsi="宋体" w:eastAsia="宋体" w:cs="宋体"/>
                <w:color w:val="000000" w:themeColor="text1"/>
                <w:szCs w:val="21"/>
                <w:highlight w:val="none"/>
                <w:lang w:val="en-US" w:eastAsia="zh-CN"/>
                <w14:textFill>
                  <w14:solidFill>
                    <w14:schemeClr w14:val="tx1"/>
                  </w14:solidFill>
                </w14:textFill>
              </w:rPr>
              <w:t>功放4台；</w:t>
            </w:r>
          </w:p>
          <w:p>
            <w:pPr>
              <w:jc w:val="both"/>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数字调音台1台、音频处理器1台：</w:t>
            </w:r>
            <w:r>
              <w:rPr>
                <w:rFonts w:hint="eastAsia" w:ascii="宋体" w:hAnsi="宋体" w:eastAsia="宋体" w:cs="宋体"/>
                <w:color w:val="000000" w:themeColor="text1"/>
                <w:highlight w:val="none"/>
                <w:lang w:val="en-US" w:eastAsia="zh-CN"/>
                <w14:textFill>
                  <w14:solidFill>
                    <w14:schemeClr w14:val="tx1"/>
                  </w14:solidFill>
                </w14:textFill>
              </w:rPr>
              <w:t>对音频进行修饰，如反馈抑制，前级效果、均衡等。</w:t>
            </w:r>
          </w:p>
          <w:p>
            <w:pPr>
              <w:jc w:val="both"/>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无线数字</w:t>
            </w:r>
            <w:r>
              <w:rPr>
                <w:rFonts w:hint="eastAsia" w:ascii="宋体" w:hAnsi="宋体" w:eastAsia="宋体" w:cs="宋体"/>
                <w:color w:val="000000" w:themeColor="text1"/>
                <w:szCs w:val="21"/>
                <w:highlight w:val="none"/>
                <w:lang w:eastAsia="zh-CN"/>
                <w14:textFill>
                  <w14:solidFill>
                    <w14:schemeClr w14:val="tx1"/>
                  </w14:solidFill>
                </w14:textFill>
              </w:rPr>
              <w:t>会议</w:t>
            </w:r>
            <w:r>
              <w:rPr>
                <w:rFonts w:hint="eastAsia" w:ascii="宋体" w:hAnsi="宋体" w:eastAsia="宋体" w:cs="宋体"/>
                <w:color w:val="000000" w:themeColor="text1"/>
                <w:szCs w:val="21"/>
                <w:highlight w:val="none"/>
                <w14:textFill>
                  <w14:solidFill>
                    <w14:schemeClr w14:val="tx1"/>
                  </w14:solidFill>
                </w14:textFill>
              </w:rPr>
              <w:t>系统一套（包含主席话筒1个及代表单元4个）、一拖二无线手持</w:t>
            </w:r>
            <w:r>
              <w:rPr>
                <w:rFonts w:hint="eastAsia" w:ascii="宋体" w:hAnsi="宋体" w:eastAsia="宋体" w:cs="宋体"/>
                <w:color w:val="000000" w:themeColor="text1"/>
                <w:szCs w:val="21"/>
                <w:highlight w:val="none"/>
                <w:lang w:val="en-US" w:eastAsia="zh-CN"/>
                <w14:textFill>
                  <w14:solidFill>
                    <w14:schemeClr w14:val="tx1"/>
                  </w14:solidFill>
                </w14:textFill>
              </w:rPr>
              <w:t>演出</w:t>
            </w:r>
            <w:r>
              <w:rPr>
                <w:rFonts w:hint="eastAsia" w:ascii="宋体" w:hAnsi="宋体" w:eastAsia="宋体" w:cs="宋体"/>
                <w:color w:val="000000" w:themeColor="text1"/>
                <w:szCs w:val="21"/>
                <w:highlight w:val="none"/>
                <w14:textFill>
                  <w14:solidFill>
                    <w14:schemeClr w14:val="tx1"/>
                  </w14:solidFill>
                </w14:textFill>
              </w:rPr>
              <w:t>话筒</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套、一拖二无线手持话筒</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套、一拖二无线头戴话筒1套、有线</w:t>
            </w:r>
            <w:r>
              <w:rPr>
                <w:rFonts w:hint="eastAsia" w:ascii="宋体" w:hAnsi="宋体" w:eastAsia="宋体" w:cs="宋体"/>
                <w:color w:val="000000" w:themeColor="text1"/>
                <w:szCs w:val="21"/>
                <w:highlight w:val="none"/>
                <w:lang w:val="en-US" w:eastAsia="zh-CN"/>
                <w14:textFill>
                  <w14:solidFill>
                    <w14:schemeClr w14:val="tx1"/>
                  </w14:solidFill>
                </w14:textFill>
              </w:rPr>
              <w:t>远程</w:t>
            </w:r>
            <w:r>
              <w:rPr>
                <w:rFonts w:hint="eastAsia" w:ascii="宋体" w:hAnsi="宋体" w:eastAsia="宋体" w:cs="宋体"/>
                <w:color w:val="000000" w:themeColor="text1"/>
                <w:szCs w:val="21"/>
                <w:highlight w:val="none"/>
                <w14:textFill>
                  <w14:solidFill>
                    <w14:schemeClr w14:val="tx1"/>
                  </w14:solidFill>
                </w14:textFill>
              </w:rPr>
              <w:t>话筒</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支</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有线</w:t>
            </w:r>
            <w:r>
              <w:rPr>
                <w:rFonts w:hint="eastAsia" w:ascii="宋体" w:hAnsi="宋体" w:eastAsia="宋体" w:cs="宋体"/>
                <w:color w:val="000000" w:themeColor="text1"/>
                <w:szCs w:val="21"/>
                <w:highlight w:val="none"/>
                <w:lang w:val="en-US" w:eastAsia="zh-CN"/>
                <w14:textFill>
                  <w14:solidFill>
                    <w14:schemeClr w14:val="tx1"/>
                  </w14:solidFill>
                </w14:textFill>
              </w:rPr>
              <w:t>近程</w:t>
            </w:r>
            <w:r>
              <w:rPr>
                <w:rFonts w:hint="eastAsia" w:ascii="宋体" w:hAnsi="宋体" w:eastAsia="宋体" w:cs="宋体"/>
                <w:color w:val="000000" w:themeColor="text1"/>
                <w:szCs w:val="21"/>
                <w:highlight w:val="none"/>
                <w14:textFill>
                  <w14:solidFill>
                    <w14:schemeClr w14:val="tx1"/>
                  </w14:solidFill>
                </w14:textFill>
              </w:rPr>
              <w:t>话筒</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支。</w:t>
            </w:r>
          </w:p>
        </w:tc>
        <w:tc>
          <w:tcPr>
            <w:tcW w:w="709"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788"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0"/>
              <w:numPr>
                <w:ilvl w:val="0"/>
                <w:numId w:val="1"/>
              </w:numPr>
              <w:ind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134"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舞台灯光系统</w:t>
            </w:r>
          </w:p>
        </w:tc>
        <w:tc>
          <w:tcPr>
            <w:tcW w:w="4961" w:type="dxa"/>
          </w:tcPr>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会场总体灯光系统设计、配置和布局可以满足各种开奖以及主持活动等的要求，整个舞台的布光做到科学、合理。舞台灯光布置配备基本灯位，并能灵活调节，适应开奖氛围渲染等功能用途的需要。</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至少包含：</w:t>
            </w:r>
          </w:p>
          <w:p>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面光灯</w:t>
            </w:r>
            <w:r>
              <w:rPr>
                <w:rFonts w:hint="eastAsia" w:ascii="宋体" w:hAnsi="宋体" w:eastAsia="宋体" w:cs="宋体"/>
                <w:color w:val="000000" w:themeColor="text1"/>
                <w:szCs w:val="21"/>
                <w:highlight w:val="none"/>
                <w:lang w:val="en-US" w:eastAsia="zh-CN"/>
                <w14:textFill>
                  <w14:solidFill>
                    <w14:schemeClr w14:val="tx1"/>
                  </w14:solidFill>
                </w14:textFill>
              </w:rPr>
              <w:t>8</w:t>
            </w:r>
            <w:r>
              <w:rPr>
                <w:rFonts w:hint="eastAsia" w:ascii="宋体" w:hAnsi="宋体" w:eastAsia="宋体" w:cs="宋体"/>
                <w:color w:val="000000" w:themeColor="text1"/>
                <w:szCs w:val="21"/>
                <w:highlight w:val="none"/>
                <w14:textFill>
                  <w14:solidFill>
                    <w14:schemeClr w14:val="tx1"/>
                  </w14:solidFill>
                </w14:textFill>
              </w:rPr>
              <w:t>盏</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顶光灯</w:t>
            </w:r>
            <w:r>
              <w:rPr>
                <w:rFonts w:hint="eastAsia" w:ascii="宋体" w:hAnsi="宋体" w:eastAsia="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14:textFill>
                  <w14:solidFill>
                    <w14:schemeClr w14:val="tx1"/>
                  </w14:solidFill>
                </w14:textFill>
              </w:rPr>
              <w:t>盏</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氛围灯</w:t>
            </w:r>
            <w:r>
              <w:rPr>
                <w:rFonts w:hint="eastAsia" w:ascii="宋体" w:hAnsi="宋体" w:eastAsia="宋体" w:cs="宋体"/>
                <w:color w:val="000000" w:themeColor="text1"/>
                <w:szCs w:val="21"/>
                <w:highlight w:val="none"/>
                <w:lang w:val="en-US" w:eastAsia="zh-CN"/>
                <w14:textFill>
                  <w14:solidFill>
                    <w14:schemeClr w14:val="tx1"/>
                  </w14:solidFill>
                </w14:textFill>
              </w:rPr>
              <w:t>8</w:t>
            </w:r>
            <w:r>
              <w:rPr>
                <w:rFonts w:hint="eastAsia" w:ascii="宋体" w:hAnsi="宋体" w:eastAsia="宋体" w:cs="宋体"/>
                <w:color w:val="000000" w:themeColor="text1"/>
                <w:szCs w:val="21"/>
                <w:highlight w:val="none"/>
                <w14:textFill>
                  <w14:solidFill>
                    <w14:schemeClr w14:val="tx1"/>
                  </w14:solidFill>
                </w14:textFill>
              </w:rPr>
              <w:t>盏</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智能光束4盏；</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外围设备及控制系统</w:t>
            </w:r>
            <w:r>
              <w:rPr>
                <w:rFonts w:hint="eastAsia" w:ascii="宋体" w:hAnsi="宋体" w:eastAsia="宋体" w:cs="宋体"/>
                <w:color w:val="000000" w:themeColor="text1"/>
                <w:szCs w:val="21"/>
                <w:highlight w:val="none"/>
                <w:lang w:val="en-US" w:eastAsia="zh-CN"/>
                <w14:textFill>
                  <w14:solidFill>
                    <w14:schemeClr w14:val="tx1"/>
                  </w14:solidFill>
                </w14:textFill>
              </w:rPr>
              <w:t>：包括控台、直通箱和信号放大器</w:t>
            </w:r>
            <w:r>
              <w:rPr>
                <w:rFonts w:hint="eastAsia" w:ascii="宋体" w:hAnsi="宋体" w:eastAsia="宋体" w:cs="宋体"/>
                <w:color w:val="000000" w:themeColor="text1"/>
                <w:szCs w:val="21"/>
                <w:highlight w:val="none"/>
                <w14:textFill>
                  <w14:solidFill>
                    <w14:schemeClr w14:val="tx1"/>
                  </w14:solidFill>
                </w14:textFill>
              </w:rPr>
              <w:t>。</w:t>
            </w:r>
          </w:p>
        </w:tc>
        <w:tc>
          <w:tcPr>
            <w:tcW w:w="709"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788"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0"/>
              <w:numPr>
                <w:ilvl w:val="0"/>
                <w:numId w:val="1"/>
              </w:numPr>
              <w:ind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134"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中控系统</w:t>
            </w:r>
          </w:p>
        </w:tc>
        <w:tc>
          <w:tcPr>
            <w:tcW w:w="4961" w:type="dxa"/>
          </w:tcPr>
          <w:p>
            <w:pPr>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中控系统为多功能厅提供智能化控制，集中了灯光、音视频、帘幕、窗帘</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空调</w:t>
            </w:r>
            <w:r>
              <w:rPr>
                <w:rFonts w:hint="eastAsia" w:ascii="宋体" w:hAnsi="宋体" w:eastAsia="宋体" w:cs="宋体"/>
                <w:color w:val="000000" w:themeColor="text1"/>
                <w:szCs w:val="21"/>
                <w:highlight w:val="none"/>
                <w14:textFill>
                  <w14:solidFill>
                    <w14:schemeClr w14:val="tx1"/>
                  </w14:solidFill>
                </w14:textFill>
              </w:rPr>
              <w:t>、电源开关和环境控制于一体，可预设多个常用场景模式，时序电源开关控制保护电器设备，为使用者提供简单、直接的控制界面，令使用者能方便地掌握整个多功能厅的设备状态以及设备控制。</w:t>
            </w:r>
            <w:r>
              <w:rPr>
                <w:rFonts w:hint="eastAsia" w:ascii="宋体" w:hAnsi="宋体" w:eastAsia="宋体" w:cs="宋体"/>
                <w:color w:val="000000" w:themeColor="text1"/>
                <w:szCs w:val="21"/>
                <w:highlight w:val="none"/>
                <w:lang w:val="en-US" w:eastAsia="zh-CN"/>
                <w14:textFill>
                  <w14:solidFill>
                    <w14:schemeClr w14:val="tx1"/>
                  </w14:solidFill>
                </w14:textFill>
              </w:rPr>
              <w:t>至少包含：</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lang w:val="en-US" w:eastAsia="zh-CN"/>
                <w14:textFill>
                  <w14:solidFill>
                    <w14:schemeClr w14:val="tx1"/>
                  </w14:solidFill>
                </w14:textFill>
              </w:rPr>
              <w:t>网络</w:t>
            </w:r>
            <w:r>
              <w:rPr>
                <w:rFonts w:hint="eastAsia" w:ascii="宋体" w:hAnsi="宋体" w:eastAsia="宋体" w:cs="宋体"/>
                <w:color w:val="000000" w:themeColor="text1"/>
                <w:szCs w:val="21"/>
                <w:highlight w:val="none"/>
                <w14:textFill>
                  <w14:solidFill>
                    <w14:schemeClr w14:val="tx1"/>
                  </w14:solidFill>
                </w14:textFill>
              </w:rPr>
              <w:t>中控主机1台</w:t>
            </w:r>
            <w:r>
              <w:rPr>
                <w:rFonts w:hint="eastAsia" w:ascii="宋体" w:hAnsi="宋体" w:eastAsia="宋体" w:cs="宋体"/>
                <w:color w:val="000000" w:themeColor="text1"/>
                <w:szCs w:val="21"/>
                <w:highlight w:val="none"/>
                <w:lang w:eastAsia="zh-CN"/>
                <w14:textFill>
                  <w14:solidFill>
                    <w14:schemeClr w14:val="tx1"/>
                  </w14:solidFill>
                </w14:textFill>
              </w:rPr>
              <w:t>；</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（2）中控平板1台，含软件</w:t>
            </w:r>
            <w:r>
              <w:rPr>
                <w:rFonts w:hint="eastAsia" w:ascii="宋体" w:hAnsi="宋体" w:eastAsia="宋体" w:cs="宋体"/>
                <w:color w:val="000000" w:themeColor="text1"/>
                <w:szCs w:val="21"/>
                <w:highlight w:val="none"/>
                <w:lang w:eastAsia="zh-CN"/>
                <w14:textFill>
                  <w14:solidFill>
                    <w14:schemeClr w14:val="tx1"/>
                  </w14:solidFill>
                </w14:textFill>
              </w:rPr>
              <w:t>；</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r>
              <w:rPr>
                <w:rFonts w:hint="eastAsia" w:ascii="宋体" w:hAnsi="宋体" w:eastAsia="宋体" w:cs="宋体"/>
                <w:color w:val="000000" w:themeColor="text1"/>
                <w:szCs w:val="21"/>
                <w:highlight w:val="none"/>
                <w:lang w:val="en-US" w:eastAsia="zh-CN"/>
                <w14:textFill>
                  <w14:solidFill>
                    <w14:schemeClr w14:val="tx1"/>
                  </w14:solidFill>
                </w14:textFill>
              </w:rPr>
              <w:t>控制器</w:t>
            </w:r>
            <w:r>
              <w:rPr>
                <w:rFonts w:hint="eastAsia" w:ascii="宋体" w:hAnsi="宋体" w:eastAsia="宋体" w:cs="宋体"/>
                <w:color w:val="000000" w:themeColor="text1"/>
                <w:szCs w:val="21"/>
                <w:highlight w:val="none"/>
                <w14:textFill>
                  <w14:solidFill>
                    <w14:schemeClr w14:val="tx1"/>
                  </w14:solidFill>
                </w14:textFill>
              </w:rPr>
              <w:t>1台。</w:t>
            </w:r>
          </w:p>
        </w:tc>
        <w:tc>
          <w:tcPr>
            <w:tcW w:w="709"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788"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04" w:type="dxa"/>
            <w:vAlign w:val="center"/>
          </w:tcPr>
          <w:p>
            <w:pPr>
              <w:pStyle w:val="10"/>
              <w:numPr>
                <w:ilvl w:val="0"/>
                <w:numId w:val="1"/>
              </w:numPr>
              <w:ind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134"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bookmarkStart w:id="1" w:name="_Hlk165395274"/>
            <w:r>
              <w:rPr>
                <w:rFonts w:hint="eastAsia" w:ascii="宋体" w:hAnsi="宋体" w:eastAsia="宋体" w:cs="宋体"/>
                <w:color w:val="000000" w:themeColor="text1"/>
                <w:szCs w:val="21"/>
                <w:highlight w:val="none"/>
                <w14:textFill>
                  <w14:solidFill>
                    <w14:schemeClr w14:val="tx1"/>
                  </w14:solidFill>
                </w14:textFill>
              </w:rPr>
              <w:t>舞台帘幕及窗帘</w:t>
            </w:r>
            <w:bookmarkEnd w:id="1"/>
          </w:p>
        </w:tc>
        <w:tc>
          <w:tcPr>
            <w:tcW w:w="4961" w:type="dxa"/>
          </w:tcPr>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用于遮蔽和吸音。采用符合国家标准的阻燃吸声专业帘幕，电动开合，可受中控系统控制。</w:t>
            </w:r>
            <w:r>
              <w:rPr>
                <w:rFonts w:hint="eastAsia" w:ascii="宋体" w:hAnsi="宋体" w:eastAsia="宋体" w:cs="宋体"/>
                <w:color w:val="000000" w:themeColor="text1"/>
                <w:szCs w:val="21"/>
                <w:highlight w:val="none"/>
                <w:lang w:val="en-US" w:eastAsia="zh-CN"/>
                <w14:textFill>
                  <w14:solidFill>
                    <w14:schemeClr w14:val="tx1"/>
                  </w14:solidFill>
                </w14:textFill>
              </w:rPr>
              <w:t>至少包含：</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（1）舞台电动对开底幕</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1对</w:t>
            </w:r>
            <w:r>
              <w:rPr>
                <w:rFonts w:hint="eastAsia" w:ascii="宋体" w:hAnsi="宋体" w:eastAsia="宋体" w:cs="宋体"/>
                <w:color w:val="000000" w:themeColor="text1"/>
                <w:szCs w:val="21"/>
                <w:highlight w:val="none"/>
                <w:lang w:eastAsia="zh-CN"/>
                <w14:textFill>
                  <w14:solidFill>
                    <w14:schemeClr w14:val="tx1"/>
                  </w14:solidFill>
                </w14:textFill>
              </w:rPr>
              <w:t>；</w:t>
            </w:r>
          </w:p>
          <w:p>
            <w:pPr>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（2）舞台底幕前电动升降吊杆</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1支</w:t>
            </w:r>
            <w:r>
              <w:rPr>
                <w:rFonts w:hint="eastAsia" w:ascii="宋体" w:hAnsi="宋体" w:eastAsia="宋体" w:cs="宋体"/>
                <w:color w:val="000000" w:themeColor="text1"/>
                <w:szCs w:val="21"/>
                <w:highlight w:val="none"/>
                <w:lang w:eastAsia="zh-CN"/>
                <w14:textFill>
                  <w14:solidFill>
                    <w14:schemeClr w14:val="tx1"/>
                  </w14:solidFill>
                </w14:textFill>
              </w:rPr>
              <w:t>；</w:t>
            </w:r>
          </w:p>
          <w:p>
            <w:pPr>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（3）电动对开吸音窗帘4幅</w:t>
            </w:r>
            <w:r>
              <w:rPr>
                <w:rFonts w:hint="eastAsia" w:ascii="宋体" w:hAnsi="宋体" w:eastAsia="宋体" w:cs="宋体"/>
                <w:color w:val="000000" w:themeColor="text1"/>
                <w:szCs w:val="21"/>
                <w:highlight w:val="none"/>
                <w:lang w:eastAsia="zh-CN"/>
                <w14:textFill>
                  <w14:solidFill>
                    <w14:schemeClr w14:val="tx1"/>
                  </w14:solidFill>
                </w14:textFill>
              </w:rPr>
              <w:t>；</w:t>
            </w:r>
          </w:p>
          <w:p>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4）相应的底幕盒和窗帘盒</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709"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788"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0"/>
              <w:numPr>
                <w:ilvl w:val="0"/>
                <w:numId w:val="1"/>
              </w:numPr>
              <w:ind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134"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控制室建设</w:t>
            </w:r>
          </w:p>
        </w:tc>
        <w:tc>
          <w:tcPr>
            <w:tcW w:w="4961" w:type="dxa"/>
            <w:vAlign w:val="center"/>
          </w:tcPr>
          <w:p>
            <w:pPr>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至少</w:t>
            </w:r>
            <w:r>
              <w:rPr>
                <w:rFonts w:hint="eastAsia" w:ascii="宋体" w:hAnsi="宋体" w:eastAsia="宋体" w:cs="宋体"/>
                <w:color w:val="000000" w:themeColor="text1"/>
                <w:szCs w:val="21"/>
                <w:highlight w:val="none"/>
                <w14:textFill>
                  <w14:solidFill>
                    <w14:schemeClr w14:val="tx1"/>
                  </w14:solidFill>
                </w14:textFill>
              </w:rPr>
              <w:t>包含设备机柜2个</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操控台2张</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办公椅4张</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收纳柜2个</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地线系统</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电箱、强弱电线槽、电缆1批</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监控屏1块</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桌面控制主机2套，以及对于天花、隔墙等的装修</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709"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788"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10"/>
              <w:numPr>
                <w:ilvl w:val="0"/>
                <w:numId w:val="1"/>
              </w:numPr>
              <w:ind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134"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建筑声学改造</w:t>
            </w:r>
          </w:p>
        </w:tc>
        <w:tc>
          <w:tcPr>
            <w:tcW w:w="4961" w:type="dxa"/>
          </w:tcPr>
          <w:p>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对天花、舞台背景墙、观众背景墙进行必要的建筑声学改造</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以达到国标多用途类扩声系统声学特性指标一级要求。改造材料符合国标防火要求。</w:t>
            </w:r>
          </w:p>
        </w:tc>
        <w:tc>
          <w:tcPr>
            <w:tcW w:w="709"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788"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pPr>
              <w:pStyle w:val="10"/>
              <w:numPr>
                <w:ilvl w:val="0"/>
                <w:numId w:val="1"/>
              </w:numPr>
              <w:ind w:firstLineChars="0"/>
              <w:jc w:val="center"/>
              <w:rPr>
                <w:rFonts w:hint="eastAsia" w:ascii="宋体" w:hAnsi="宋体" w:eastAsia="宋体" w:cs="宋体"/>
                <w:color w:val="000000" w:themeColor="text1"/>
                <w:szCs w:val="21"/>
                <w:highlight w:val="none"/>
                <w14:textFill>
                  <w14:solidFill>
                    <w14:schemeClr w14:val="tx1"/>
                  </w14:solidFill>
                </w14:textFill>
              </w:rPr>
            </w:pPr>
          </w:p>
        </w:tc>
        <w:tc>
          <w:tcPr>
            <w:tcW w:w="1134"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家具</w:t>
            </w:r>
          </w:p>
        </w:tc>
        <w:tc>
          <w:tcPr>
            <w:tcW w:w="4961" w:type="dxa"/>
          </w:tcPr>
          <w:p>
            <w:pPr>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包含</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讲台</w:t>
            </w:r>
            <w:r>
              <w:rPr>
                <w:rFonts w:hint="eastAsia" w:ascii="宋体" w:hAnsi="宋体" w:eastAsia="宋体" w:cs="宋体"/>
                <w:color w:val="000000" w:themeColor="text1"/>
                <w:szCs w:val="21"/>
                <w:highlight w:val="none"/>
                <w:lang w:val="en-US" w:eastAsia="zh-CN"/>
                <w14:textFill>
                  <w14:solidFill>
                    <w14:schemeClr w14:val="tx1"/>
                  </w14:solidFill>
                </w14:textFill>
              </w:rPr>
              <w:t>2个</w:t>
            </w:r>
            <w:r>
              <w:rPr>
                <w:rFonts w:hint="eastAsia" w:ascii="宋体" w:hAnsi="宋体" w:eastAsia="宋体" w:cs="宋体"/>
                <w:color w:val="000000" w:themeColor="text1"/>
                <w:szCs w:val="21"/>
                <w:highlight w:val="none"/>
                <w14:textFill>
                  <w14:solidFill>
                    <w14:schemeClr w14:val="tx1"/>
                  </w14:solidFill>
                </w14:textFill>
              </w:rPr>
              <w:t>、主席台桌</w:t>
            </w:r>
            <w:r>
              <w:rPr>
                <w:rFonts w:hint="eastAsia" w:ascii="宋体" w:hAnsi="宋体" w:eastAsia="宋体" w:cs="宋体"/>
                <w:color w:val="000000" w:themeColor="text1"/>
                <w:szCs w:val="21"/>
                <w:highlight w:val="none"/>
                <w:lang w:val="en-US" w:eastAsia="zh-CN"/>
                <w14:textFill>
                  <w14:solidFill>
                    <w14:schemeClr w14:val="tx1"/>
                  </w14:solidFill>
                </w14:textFill>
              </w:rPr>
              <w:t>5张和</w:t>
            </w:r>
            <w:r>
              <w:rPr>
                <w:rFonts w:hint="eastAsia" w:ascii="宋体" w:hAnsi="宋体" w:eastAsia="宋体" w:cs="宋体"/>
                <w:color w:val="000000" w:themeColor="text1"/>
                <w:szCs w:val="21"/>
                <w:highlight w:val="none"/>
                <w14:textFill>
                  <w14:solidFill>
                    <w14:schemeClr w14:val="tx1"/>
                  </w14:solidFill>
                </w14:textFill>
              </w:rPr>
              <w:t>椅</w:t>
            </w:r>
            <w:r>
              <w:rPr>
                <w:rFonts w:hint="eastAsia" w:ascii="宋体" w:hAnsi="宋体" w:eastAsia="宋体" w:cs="宋体"/>
                <w:color w:val="000000" w:themeColor="text1"/>
                <w:szCs w:val="21"/>
                <w:highlight w:val="none"/>
                <w:lang w:val="en-US" w:eastAsia="zh-CN"/>
                <w14:textFill>
                  <w14:solidFill>
                    <w14:schemeClr w14:val="tx1"/>
                  </w14:solidFill>
                </w14:textFill>
              </w:rPr>
              <w:t>9张</w:t>
            </w:r>
            <w:r>
              <w:rPr>
                <w:rFonts w:hint="eastAsia" w:ascii="宋体" w:hAnsi="宋体" w:eastAsia="宋体" w:cs="宋体"/>
                <w:color w:val="000000" w:themeColor="text1"/>
                <w:szCs w:val="21"/>
                <w:highlight w:val="none"/>
                <w14:textFill>
                  <w14:solidFill>
                    <w14:schemeClr w14:val="tx1"/>
                  </w14:solidFill>
                </w14:textFill>
              </w:rPr>
              <w:t>、观众席桌</w:t>
            </w:r>
            <w:r>
              <w:rPr>
                <w:rFonts w:hint="eastAsia" w:ascii="宋体" w:hAnsi="宋体" w:eastAsia="宋体" w:cs="宋体"/>
                <w:color w:val="000000" w:themeColor="text1"/>
                <w:szCs w:val="21"/>
                <w:highlight w:val="none"/>
                <w:lang w:val="en-US" w:eastAsia="zh-CN"/>
                <w14:textFill>
                  <w14:solidFill>
                    <w14:schemeClr w14:val="tx1"/>
                  </w14:solidFill>
                </w14:textFill>
              </w:rPr>
              <w:t>12张和</w:t>
            </w:r>
            <w:r>
              <w:rPr>
                <w:rFonts w:hint="eastAsia" w:ascii="宋体" w:hAnsi="宋体" w:eastAsia="宋体" w:cs="宋体"/>
                <w:color w:val="000000" w:themeColor="text1"/>
                <w:szCs w:val="21"/>
                <w:highlight w:val="none"/>
                <w14:textFill>
                  <w14:solidFill>
                    <w14:schemeClr w14:val="tx1"/>
                  </w14:solidFill>
                </w14:textFill>
              </w:rPr>
              <w:t>椅</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两款）36+144张</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培训桌16张和培训椅33张</w:t>
            </w:r>
            <w:r>
              <w:rPr>
                <w:rFonts w:hint="eastAsia" w:ascii="宋体" w:hAnsi="宋体" w:eastAsia="宋体" w:cs="宋体"/>
                <w:color w:val="000000" w:themeColor="text1"/>
                <w:szCs w:val="21"/>
                <w:highlight w:val="none"/>
                <w14:textFill>
                  <w14:solidFill>
                    <w14:schemeClr w14:val="tx1"/>
                  </w14:solidFill>
                </w14:textFill>
              </w:rPr>
              <w:t>等</w:t>
            </w:r>
            <w:r>
              <w:rPr>
                <w:rFonts w:hint="eastAsia" w:ascii="宋体" w:hAnsi="宋体" w:eastAsia="宋体" w:cs="宋体"/>
                <w:color w:val="000000" w:themeColor="text1"/>
                <w:szCs w:val="21"/>
                <w:highlight w:val="none"/>
                <w:lang w:eastAsia="zh-CN"/>
                <w14:textFill>
                  <w14:solidFill>
                    <w14:schemeClr w14:val="tx1"/>
                  </w14:solidFill>
                </w14:textFill>
              </w:rPr>
              <w:t>。</w:t>
            </w:r>
          </w:p>
        </w:tc>
        <w:tc>
          <w:tcPr>
            <w:tcW w:w="709"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788" w:type="dxa"/>
            <w:vAlign w:val="center"/>
          </w:tcPr>
          <w:p>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w:t>
            </w:r>
          </w:p>
        </w:tc>
      </w:tr>
    </w:tbl>
    <w:p>
      <w:pPr>
        <w:outlineLvl w:val="1"/>
        <w:rPr>
          <w:rFonts w:hint="eastAsia" w:ascii="宋体" w:hAnsi="宋体" w:eastAsia="宋体" w:cs="宋体"/>
          <w:b/>
          <w:color w:val="000000" w:themeColor="text1"/>
          <w:sz w:val="30"/>
          <w:szCs w:val="30"/>
          <w:highlight w:val="none"/>
          <w:lang w:val="en-US" w:eastAsia="zh-CN"/>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二、项目设计</w:t>
      </w:r>
      <w:r>
        <w:rPr>
          <w:rFonts w:hint="eastAsia" w:ascii="宋体" w:hAnsi="宋体" w:eastAsia="宋体" w:cs="宋体"/>
          <w:b/>
          <w:color w:val="000000" w:themeColor="text1"/>
          <w:sz w:val="30"/>
          <w:szCs w:val="30"/>
          <w:highlight w:val="none"/>
          <w:lang w:val="en-US" w:eastAsia="zh-CN"/>
          <w14:textFill>
            <w14:solidFill>
              <w14:schemeClr w14:val="tx1"/>
            </w14:solidFill>
          </w14:textFill>
        </w:rPr>
        <w:t>方案</w:t>
      </w: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2.1礼堂平面布局图</w:t>
      </w:r>
    </w:p>
    <w:p>
      <w:pPr>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广州福彩中心开奖演播中心建筑体型呈钟形，观众区平面面积约247.5㎡,观众厅堂容积约1140.57m³，设计容纳观众约1</w:t>
      </w:r>
      <w:r>
        <w:rPr>
          <w:rFonts w:hint="eastAsia" w:ascii="宋体" w:hAnsi="宋体" w:eastAsia="宋体" w:cs="宋体"/>
          <w:color w:val="000000" w:themeColor="text1"/>
          <w:szCs w:val="21"/>
          <w:highlight w:val="none"/>
          <w:lang w:val="en-US" w:eastAsia="zh-CN"/>
          <w14:textFill>
            <w14:solidFill>
              <w14:schemeClr w14:val="tx1"/>
            </w14:solidFill>
          </w14:textFill>
        </w:rPr>
        <w:t>80</w:t>
      </w:r>
      <w:r>
        <w:rPr>
          <w:rFonts w:hint="eastAsia" w:ascii="宋体" w:hAnsi="宋体" w:eastAsia="宋体" w:cs="宋体"/>
          <w:color w:val="000000" w:themeColor="text1"/>
          <w:szCs w:val="21"/>
          <w:highlight w:val="none"/>
          <w14:textFill>
            <w14:solidFill>
              <w14:schemeClr w14:val="tx1"/>
            </w14:solidFill>
          </w14:textFill>
        </w:rPr>
        <w:t>席。舞台:深</w:t>
      </w:r>
      <w:r>
        <w:rPr>
          <w:rFonts w:hint="eastAsia" w:ascii="宋体" w:hAnsi="宋体" w:eastAsia="宋体" w:cs="宋体"/>
          <w:color w:val="000000" w:themeColor="text1"/>
          <w:szCs w:val="21"/>
          <w:highlight w:val="none"/>
          <w:lang w:val="en-US" w:eastAsia="zh-CN"/>
          <w14:textFill>
            <w14:solidFill>
              <w14:schemeClr w14:val="tx1"/>
            </w14:solidFill>
          </w14:textFill>
        </w:rPr>
        <w:t>2.4</w:t>
      </w:r>
      <w:r>
        <w:rPr>
          <w:rFonts w:hint="eastAsia" w:ascii="宋体" w:hAnsi="宋体" w:eastAsia="宋体" w:cs="宋体"/>
          <w:color w:val="000000" w:themeColor="text1"/>
          <w:szCs w:val="21"/>
          <w:highlight w:val="none"/>
          <w14:textFill>
            <w14:solidFill>
              <w14:schemeClr w14:val="tx1"/>
            </w14:solidFill>
          </w14:textFill>
        </w:rPr>
        <w:t>米</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宽1</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米，观众区：长</w:t>
      </w:r>
      <w:r>
        <w:rPr>
          <w:rFonts w:hint="eastAsia" w:ascii="宋体" w:hAnsi="宋体" w:eastAsia="宋体" w:cs="宋体"/>
          <w:color w:val="000000" w:themeColor="text1"/>
          <w:szCs w:val="21"/>
          <w:highlight w:val="none"/>
          <w:lang w:val="en-US" w:eastAsia="zh-CN"/>
          <w14:textFill>
            <w14:solidFill>
              <w14:schemeClr w14:val="tx1"/>
            </w14:solidFill>
          </w14:textFill>
        </w:rPr>
        <w:t>14.5</w:t>
      </w:r>
      <w:r>
        <w:rPr>
          <w:rFonts w:hint="eastAsia" w:ascii="宋体" w:hAnsi="宋体" w:eastAsia="宋体" w:cs="宋体"/>
          <w:color w:val="000000" w:themeColor="text1"/>
          <w:szCs w:val="21"/>
          <w:highlight w:val="none"/>
          <w14:textFill>
            <w14:solidFill>
              <w14:schemeClr w14:val="tx1"/>
            </w14:solidFill>
          </w14:textFill>
        </w:rPr>
        <w:t>米</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宽14.5米。平面布局图如下所示：</w:t>
      </w:r>
    </w:p>
    <w:p>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095875" cy="3603625"/>
            <wp:effectExtent l="0" t="0" r="9525" b="15875"/>
            <wp:docPr id="1183867137" name="图片 1" descr="平面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67137" name="图片 1" descr="平面图_00"/>
                    <pic:cNvPicPr>
                      <a:picLocks noChangeAspect="1"/>
                    </pic:cNvPicPr>
                  </pic:nvPicPr>
                  <pic:blipFill>
                    <a:blip r:embed="rId4"/>
                    <a:stretch>
                      <a:fillRect/>
                    </a:stretch>
                  </pic:blipFill>
                  <pic:spPr>
                    <a:xfrm>
                      <a:off x="0" y="0"/>
                      <a:ext cx="5095875" cy="3603625"/>
                    </a:xfrm>
                    <a:prstGeom prst="rect">
                      <a:avLst/>
                    </a:prstGeom>
                  </pic:spPr>
                </pic:pic>
              </a:graphicData>
            </a:graphic>
          </wp:inline>
        </w:drawing>
      </w:r>
    </w:p>
    <w:p>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2"/>
          <w:highlight w:val="none"/>
          <w14:textFill>
            <w14:solidFill>
              <w14:schemeClr w14:val="tx1"/>
            </w14:solidFill>
          </w14:textFill>
        </w:rPr>
        <w:t>图1项目平面布局图</w:t>
      </w:r>
    </w:p>
    <w:p>
      <w:pPr>
        <w:ind w:firstLine="480"/>
        <w:rPr>
          <w:rFonts w:hint="eastAsia" w:ascii="宋体" w:hAnsi="宋体" w:eastAsia="宋体" w:cs="宋体"/>
          <w:color w:val="000000" w:themeColor="text1"/>
          <w:highlight w:val="none"/>
          <w14:textFill>
            <w14:solidFill>
              <w14:schemeClr w14:val="tx1"/>
            </w14:solidFill>
          </w14:textFill>
        </w:rPr>
      </w:pP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2.2标准规范制度建设</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《智能建筑设计标准》（GB 50314）</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《智能建筑工程质量验收规范》（GB50339）</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《综合布线系统工程设计规范》（GB 50311）</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《综合布线系统工程验收规范》（GB/T 50312）</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《电气安装工程接地装置施工及验收规范》（GB 50169）</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《建筑物电子信息系统防雷技术规范》（GB 50343）</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《建筑物防雷设计规范》（GB 50057）</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《建筑装饰装修工程质量验收规范》（GB 50210）</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《建筑照明设计标准》（GB 50034）</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《低压配电设计规范》（GB50054）</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《供配电系统设计规范》（GB50052）</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《视频显示系统工程技术规范》（GB 50464）</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《LED显示屏干扰光评价要求》（GB/T 36101）</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《LED显示屏图像主观质量评价方法》（SJ/T 11590）</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《发光二极管(LED)显示屏通用规范》（SJ/T 11141）</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《厅堂扩声系统设计规范》（GB50371)</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《厅堂、体育场馆扩声系统设计规范》（GBT 28049）</w:t>
      </w:r>
    </w:p>
    <w:p>
      <w:pPr>
        <w:pStyle w:val="10"/>
        <w:numPr>
          <w:ilvl w:val="0"/>
          <w:numId w:val="2"/>
        </w:numPr>
        <w:ind w:left="0"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《剧场、电影院和多用途厅堂建筑声学设计规范》</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GB/T 50356</w:t>
      </w:r>
      <w:r>
        <w:rPr>
          <w:rFonts w:hint="eastAsia" w:ascii="宋体" w:hAnsi="宋体" w:eastAsia="宋体" w:cs="宋体"/>
          <w:color w:val="000000" w:themeColor="text1"/>
          <w:highlight w:val="none"/>
          <w:lang w:eastAsia="zh-CN"/>
          <w14:textFill>
            <w14:solidFill>
              <w14:schemeClr w14:val="tx1"/>
            </w14:solidFill>
          </w14:textFill>
        </w:rPr>
        <w:t>）</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《会议电视会场系统工程施工及验收规范》（GB 50793）</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《会议电视会场系统工程设计规范》（GB 50635）</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《电子会议系统工程设计规范 》（GB 50799）</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《电子会议系统工程施工与质量验收规范》（GB 51043）</w:t>
      </w:r>
    </w:p>
    <w:p>
      <w:pPr>
        <w:pStyle w:val="10"/>
        <w:numPr>
          <w:ilvl w:val="0"/>
          <w:numId w:val="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《音视频、信息技术和通信技术设备 第1部分：安全要求》（GB 4943.1）</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请遵照国家相关规范和标准予以执行，如有冲突以最新的国家法律、规范及标准为准。</w:t>
      </w:r>
    </w:p>
    <w:p>
      <w:pPr>
        <w:widowControl/>
        <w:jc w:val="left"/>
        <w:rPr>
          <w:rFonts w:hint="eastAsia" w:ascii="宋体" w:hAnsi="宋体" w:eastAsia="宋体" w:cs="宋体"/>
          <w:b/>
          <w:color w:val="000000" w:themeColor="text1"/>
          <w:sz w:val="24"/>
          <w:highlight w:val="none"/>
          <w14:textFill>
            <w14:solidFill>
              <w14:schemeClr w14:val="tx1"/>
            </w14:solidFill>
          </w14:textFill>
        </w:rPr>
      </w:pP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2.3项目</w:t>
      </w:r>
      <w:r>
        <w:rPr>
          <w:rFonts w:hint="eastAsia" w:ascii="宋体" w:hAnsi="宋体" w:eastAsia="宋体" w:cs="宋体"/>
          <w:b/>
          <w:color w:val="000000" w:themeColor="text1"/>
          <w:sz w:val="28"/>
          <w:szCs w:val="28"/>
          <w:highlight w:val="none"/>
          <w:lang w:val="en-US" w:eastAsia="zh-CN"/>
          <w14:textFill>
            <w14:solidFill>
              <w14:schemeClr w14:val="tx1"/>
            </w14:solidFill>
          </w14:textFill>
        </w:rPr>
        <w:t>实施</w:t>
      </w:r>
      <w:r>
        <w:rPr>
          <w:rFonts w:hint="eastAsia" w:ascii="宋体" w:hAnsi="宋体" w:eastAsia="宋体" w:cs="宋体"/>
          <w:b/>
          <w:color w:val="000000" w:themeColor="text1"/>
          <w:sz w:val="28"/>
          <w:szCs w:val="28"/>
          <w:highlight w:val="none"/>
          <w14:textFill>
            <w14:solidFill>
              <w14:schemeClr w14:val="tx1"/>
            </w14:solidFill>
          </w14:textFill>
        </w:rPr>
        <w:t>原则</w:t>
      </w:r>
    </w:p>
    <w:p>
      <w:pPr>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广州福彩综合业务大楼</w:t>
      </w:r>
      <w:r>
        <w:rPr>
          <w:rFonts w:hint="eastAsia" w:ascii="宋体" w:hAnsi="宋体" w:eastAsia="宋体" w:cs="宋体"/>
          <w:color w:val="000000" w:themeColor="text1"/>
          <w:highlight w:val="none"/>
          <w14:textFill>
            <w14:solidFill>
              <w14:schemeClr w14:val="tx1"/>
            </w14:solidFill>
          </w14:textFill>
        </w:rPr>
        <w:t>礼堂（演播中心）要求建设一个成熟可靠、性能优秀、扩展灵活、简单易用、标准开放的系统。综合考虑到该系统的中长期发展计划，在系统架构、系统应用、系统管理、系统性能等各个方面应能适应多媒体技术的发展和未来业务需求的发展变化，确保系统的技术水平持续领先，并遵循以下原则：</w:t>
      </w:r>
    </w:p>
    <w:p>
      <w:pPr>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1）成熟和先进性原则。该项目方案设计要采用成熟、实用的技术。 </w:t>
      </w:r>
    </w:p>
    <w:p>
      <w:pPr>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2）安全和可靠性原则。系统设计要有效避免单点故障等影响全局系统运行的问题，选择的产品要有高可靠性。系统要能提供加密的操作及加密会议方式，防止外部非法侵入以及 操作人员的越级操作。 </w:t>
      </w:r>
    </w:p>
    <w:p>
      <w:pPr>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3）标准和规范性原则。系统设计所采用的技术和设备要符合国家标准和相关规范，设备的各种接口，系统支持的协议要满足开放和标准化原则。为系统扩展、升级，以及与其它系统、设备的互联提供良好的基础。 </w:t>
      </w:r>
    </w:p>
    <w:p>
      <w:pPr>
        <w:ind w:firstLine="4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4）实用性和扩展性原则。要以满足现行需求为基础，并考虑发展的需要来确定技术方案和建设规模。所有系统设备不但满足当前需要，可在扩充模块后满足可预见的将来需求， 如设备容量的扩展，会议范围的扩展等。保证建成后的系统向新的技术升级时，能保护现有的投资。 </w:t>
      </w:r>
    </w:p>
    <w:p>
      <w:pPr>
        <w:ind w:firstLine="420" w:firstLineChars="200"/>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5）易用和易管理原则。系统和相关的设备要易操作、维护、使用，具有良好的控制、远程管理和故障诊断能力。</w:t>
      </w:r>
    </w:p>
    <w:p>
      <w:pPr>
        <w:outlineLvl w:val="2"/>
        <w:rPr>
          <w:rFonts w:hint="eastAsia" w:ascii="宋体" w:hAnsi="宋体" w:eastAsia="宋体" w:cs="宋体"/>
          <w:b/>
          <w:bCs w:val="0"/>
          <w:color w:val="000000" w:themeColor="text1"/>
          <w:highlight w:val="none"/>
          <w14:textFill>
            <w14:solidFill>
              <w14:schemeClr w14:val="tx1"/>
            </w14:solidFill>
          </w14:textFill>
        </w:rPr>
      </w:pPr>
      <w:r>
        <w:rPr>
          <w:rFonts w:hint="eastAsia" w:ascii="宋体" w:hAnsi="宋体" w:eastAsia="宋体" w:cs="宋体"/>
          <w:b/>
          <w:bCs w:val="0"/>
          <w:color w:val="000000" w:themeColor="text1"/>
          <w:sz w:val="28"/>
          <w:szCs w:val="28"/>
          <w:highlight w:val="none"/>
          <w14:textFill>
            <w14:solidFill>
              <w14:schemeClr w14:val="tx1"/>
            </w14:solidFill>
          </w14:textFill>
        </w:rPr>
        <w:t>2.</w:t>
      </w:r>
      <w:r>
        <w:rPr>
          <w:rFonts w:hint="eastAsia" w:ascii="宋体" w:hAnsi="宋体" w:eastAsia="宋体" w:cs="宋体"/>
          <w:b/>
          <w:bCs w:val="0"/>
          <w:color w:val="000000" w:themeColor="text1"/>
          <w:sz w:val="28"/>
          <w:szCs w:val="28"/>
          <w:highlight w:val="none"/>
          <w:lang w:val="en-US" w:eastAsia="zh-CN"/>
          <w14:textFill>
            <w14:solidFill>
              <w14:schemeClr w14:val="tx1"/>
            </w14:solidFill>
          </w14:textFill>
        </w:rPr>
        <w:t>4</w:t>
      </w:r>
      <w:r>
        <w:rPr>
          <w:rFonts w:hint="eastAsia" w:ascii="宋体" w:hAnsi="宋体" w:eastAsia="宋体" w:cs="宋体"/>
          <w:b/>
          <w:bCs w:val="0"/>
          <w:color w:val="000000" w:themeColor="text1"/>
          <w:sz w:val="28"/>
          <w:szCs w:val="28"/>
          <w:highlight w:val="none"/>
          <w14:textFill>
            <w14:solidFill>
              <w14:schemeClr w14:val="tx1"/>
            </w14:solidFill>
          </w14:textFill>
        </w:rPr>
        <w:t>系统连接图</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本项目</w:t>
      </w:r>
      <w:r>
        <w:rPr>
          <w:rFonts w:hint="eastAsia" w:ascii="宋体" w:hAnsi="宋体" w:eastAsia="宋体" w:cs="宋体"/>
          <w:color w:val="000000" w:themeColor="text1"/>
          <w:szCs w:val="21"/>
          <w:highlight w:val="none"/>
          <w:lang w:val="en-US" w:eastAsia="zh-CN"/>
          <w14:textFill>
            <w14:solidFill>
              <w14:schemeClr w14:val="tx1"/>
            </w14:solidFill>
          </w14:textFill>
        </w:rPr>
        <w:t>的采购需求中所有系统架构图和</w:t>
      </w:r>
      <w:r>
        <w:rPr>
          <w:rFonts w:hint="eastAsia" w:ascii="宋体" w:hAnsi="宋体" w:eastAsia="宋体" w:cs="宋体"/>
          <w:color w:val="000000" w:themeColor="text1"/>
          <w:szCs w:val="21"/>
          <w:highlight w:val="none"/>
          <w14:textFill>
            <w14:solidFill>
              <w14:schemeClr w14:val="tx1"/>
            </w14:solidFill>
          </w14:textFill>
        </w:rPr>
        <w:t>设计图</w:t>
      </w:r>
      <w:r>
        <w:rPr>
          <w:rFonts w:hint="eastAsia" w:ascii="宋体" w:hAnsi="宋体" w:eastAsia="宋体" w:cs="宋体"/>
          <w:color w:val="000000" w:themeColor="text1"/>
          <w:szCs w:val="21"/>
          <w:highlight w:val="none"/>
          <w:lang w:val="en-US" w:eastAsia="zh-CN"/>
          <w14:textFill>
            <w14:solidFill>
              <w14:schemeClr w14:val="tx1"/>
            </w14:solidFill>
          </w14:textFill>
        </w:rPr>
        <w:t>都</w:t>
      </w:r>
      <w:r>
        <w:rPr>
          <w:rFonts w:hint="eastAsia" w:ascii="宋体" w:hAnsi="宋体" w:eastAsia="宋体" w:cs="宋体"/>
          <w:color w:val="000000" w:themeColor="text1"/>
          <w:szCs w:val="21"/>
          <w:highlight w:val="none"/>
          <w14:textFill>
            <w14:solidFill>
              <w14:schemeClr w14:val="tx1"/>
            </w14:solidFill>
          </w14:textFill>
        </w:rPr>
        <w:t>仅为参考图，实际以</w:t>
      </w:r>
      <w:r>
        <w:rPr>
          <w:rFonts w:hint="eastAsia" w:ascii="宋体" w:hAnsi="宋体" w:eastAsia="宋体" w:cs="宋体"/>
          <w:color w:val="000000" w:themeColor="text1"/>
          <w:szCs w:val="21"/>
          <w:highlight w:val="none"/>
          <w:lang w:val="en-US" w:eastAsia="zh-CN"/>
          <w14:textFill>
            <w14:solidFill>
              <w14:schemeClr w14:val="tx1"/>
            </w14:solidFill>
          </w14:textFill>
        </w:rPr>
        <w:t>成交后</w:t>
      </w:r>
      <w:r>
        <w:rPr>
          <w:rFonts w:hint="eastAsia" w:ascii="宋体" w:hAnsi="宋体" w:eastAsia="宋体" w:cs="宋体"/>
          <w:color w:val="000000" w:themeColor="text1"/>
          <w:szCs w:val="21"/>
          <w:highlight w:val="none"/>
          <w14:textFill>
            <w14:solidFill>
              <w14:schemeClr w14:val="tx1"/>
            </w14:solidFill>
          </w14:textFill>
        </w:rPr>
        <w:t>与采购人沟通确定的最终方案为准。</w:t>
      </w:r>
    </w:p>
    <w:p>
      <w:pPr>
        <w:widowControl/>
        <w:jc w:val="left"/>
        <w:rPr>
          <w:rFonts w:hint="eastAsia" w:ascii="宋体" w:hAnsi="宋体" w:eastAsia="宋体" w:cs="宋体"/>
          <w:b/>
          <w:color w:val="000000" w:themeColor="text1"/>
          <w:sz w:val="24"/>
          <w:highlight w:val="none"/>
          <w14:textFill>
            <w14:solidFill>
              <w14:schemeClr w14:val="tx1"/>
            </w14:solidFill>
          </w14:textFill>
        </w:rPr>
      </w:pP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5</w:t>
      </w:r>
      <w:r>
        <w:rPr>
          <w:rFonts w:hint="eastAsia" w:ascii="宋体" w:hAnsi="宋体" w:eastAsia="宋体" w:cs="宋体"/>
          <w:b/>
          <w:color w:val="000000" w:themeColor="text1"/>
          <w:sz w:val="28"/>
          <w:szCs w:val="28"/>
          <w:highlight w:val="none"/>
          <w14:textFill>
            <w14:solidFill>
              <w14:schemeClr w14:val="tx1"/>
            </w14:solidFill>
          </w14:textFill>
        </w:rPr>
        <w:t xml:space="preserve"> </w:t>
      </w:r>
      <w:r>
        <w:rPr>
          <w:rFonts w:hint="eastAsia" w:ascii="宋体" w:hAnsi="宋体" w:eastAsia="宋体" w:cs="宋体"/>
          <w:b/>
          <w:color w:val="000000" w:themeColor="text1"/>
          <w:sz w:val="28"/>
          <w:szCs w:val="28"/>
          <w:highlight w:val="none"/>
          <w:lang w:eastAsia="zh-CN"/>
          <w14:textFill>
            <w14:solidFill>
              <w14:schemeClr w14:val="tx1"/>
            </w14:solidFill>
          </w14:textFill>
        </w:rPr>
        <w:t>LED显示屏</w:t>
      </w:r>
      <w:r>
        <w:rPr>
          <w:rFonts w:hint="eastAsia" w:ascii="宋体" w:hAnsi="宋体" w:eastAsia="宋体" w:cs="宋体"/>
          <w:b/>
          <w:color w:val="000000" w:themeColor="text1"/>
          <w:sz w:val="28"/>
          <w:szCs w:val="28"/>
          <w:highlight w:val="none"/>
          <w14:textFill>
            <w14:solidFill>
              <w14:schemeClr w14:val="tx1"/>
            </w14:solidFill>
          </w14:textFill>
        </w:rPr>
        <w:t>和显示系统</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5</w:t>
      </w:r>
      <w:r>
        <w:rPr>
          <w:rFonts w:hint="eastAsia" w:ascii="宋体" w:hAnsi="宋体" w:eastAsia="宋体" w:cs="宋体"/>
          <w:b/>
          <w:color w:val="000000" w:themeColor="text1"/>
          <w:sz w:val="28"/>
          <w:szCs w:val="28"/>
          <w:highlight w:val="none"/>
          <w14:textFill>
            <w14:solidFill>
              <w14:schemeClr w14:val="tx1"/>
            </w14:solidFill>
          </w14:textFill>
        </w:rPr>
        <w:t>.1系统设计</w:t>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大屏显示系统的设计思路如下：</w:t>
      </w:r>
    </w:p>
    <w:p>
      <w:pPr>
        <w:pStyle w:val="10"/>
        <w:numPr>
          <w:ilvl w:val="0"/>
          <w:numId w:val="3"/>
        </w:numPr>
        <w:ind w:left="442" w:hanging="442" w:firstLineChars="0"/>
        <w:rPr>
          <w:rFonts w:hint="eastAsia" w:ascii="宋体" w:hAnsi="宋体" w:eastAsia="宋体" w:cs="宋体"/>
          <w:color w:val="000000" w:themeColor="text1"/>
          <w:highlight w:val="none"/>
          <w14:textFill>
            <w14:solidFill>
              <w14:schemeClr w14:val="tx1"/>
            </w14:solidFill>
          </w14:textFill>
        </w:rPr>
      </w:pPr>
      <w:bookmarkStart w:id="2" w:name="_Hlk165369581"/>
      <w:r>
        <w:rPr>
          <w:rFonts w:hint="eastAsia" w:ascii="宋体" w:hAnsi="宋体" w:eastAsia="宋体" w:cs="宋体"/>
          <w:color w:val="000000" w:themeColor="text1"/>
          <w:highlight w:val="none"/>
          <w14:textFill>
            <w14:solidFill>
              <w14:schemeClr w14:val="tx1"/>
            </w14:solidFill>
          </w14:textFill>
        </w:rPr>
        <w:t>针对各种不同显示内容，以大屏幕为中心，构筑功能完善的控制中心，可以无缝切换画面。</w:t>
      </w:r>
    </w:p>
    <w:p>
      <w:pPr>
        <w:pStyle w:val="10"/>
        <w:numPr>
          <w:ilvl w:val="0"/>
          <w:numId w:val="3"/>
        </w:numPr>
        <w:ind w:left="442" w:hanging="442"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通过简单操作即可实现图像切换、窗口操作、字幕显示等，系统支持图形化操作。</w:t>
      </w:r>
    </w:p>
    <w:p>
      <w:pPr>
        <w:pStyle w:val="10"/>
        <w:numPr>
          <w:ilvl w:val="0"/>
          <w:numId w:val="3"/>
        </w:numPr>
        <w:ind w:left="442" w:hanging="442"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为了较好的显示体验，分辨率需达到4K以上，并且搭配拼接矩阵可以实现图像任意切换、分割、叠加、漫游、缩放、裁剪等，以及显示滚动字幕和台标显示。</w:t>
      </w:r>
    </w:p>
    <w:bookmarkEnd w:id="2"/>
    <w:p>
      <w:pPr>
        <w:pStyle w:val="10"/>
        <w:numPr>
          <w:ilvl w:val="0"/>
          <w:numId w:val="3"/>
        </w:numPr>
        <w:ind w:left="442" w:hanging="442"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重视安全性的抗震设计，同时兼顾安装和维护性的结构设计。</w:t>
      </w:r>
    </w:p>
    <w:p>
      <w:pPr>
        <w:outlineLvl w:val="3"/>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5</w:t>
      </w:r>
      <w:r>
        <w:rPr>
          <w:rFonts w:hint="eastAsia" w:ascii="宋体" w:hAnsi="宋体" w:eastAsia="宋体" w:cs="宋体"/>
          <w:b/>
          <w:color w:val="000000" w:themeColor="text1"/>
          <w:sz w:val="28"/>
          <w:szCs w:val="28"/>
          <w:highlight w:val="none"/>
          <w14:textFill>
            <w14:solidFill>
              <w14:schemeClr w14:val="tx1"/>
            </w14:solidFill>
          </w14:textFill>
        </w:rPr>
        <w:t>.2布局设计</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LED显示屏的布局设计需要综合考虑垂直视角、水平视角以及屏幕的半增益视角等因素，观众席位置与屏幕的视角、屏幕的功能区域划分息息相关。</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屏幕的半增益角度将直接影响到屏幕的观看效果。为了确保亮丽、完美的画面可以给更多的人从不同的角度进行欣赏，本项目对屏幕的半增益视角提出了严格的要求，使屏幕可以纳入适当的视认范围之内。</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5</w:t>
      </w:r>
      <w:r>
        <w:rPr>
          <w:rFonts w:hint="eastAsia" w:ascii="宋体" w:hAnsi="宋体" w:eastAsia="宋体" w:cs="宋体"/>
          <w:b/>
          <w:color w:val="000000" w:themeColor="text1"/>
          <w:sz w:val="28"/>
          <w:szCs w:val="28"/>
          <w:highlight w:val="none"/>
          <w14:textFill>
            <w14:solidFill>
              <w14:schemeClr w14:val="tx1"/>
            </w14:solidFill>
          </w14:textFill>
        </w:rPr>
        <w:t>.3系统架构</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在本系统中，视频信号源直接接入拼接矩阵主机，拼接矩阵内部处理视频信号完成后，通过LED发送盒将视频信号显示到</w:t>
      </w:r>
      <w:r>
        <w:rPr>
          <w:rFonts w:hint="eastAsia" w:ascii="宋体" w:hAnsi="宋体" w:eastAsia="宋体" w:cs="宋体"/>
          <w:color w:val="000000" w:themeColor="text1"/>
          <w:highlight w:val="none"/>
          <w:lang w:eastAsia="zh-CN"/>
          <w14:textFill>
            <w14:solidFill>
              <w14:schemeClr w14:val="tx1"/>
            </w14:solidFill>
          </w14:textFill>
        </w:rPr>
        <w:t>LED显示屏</w:t>
      </w:r>
      <w:r>
        <w:rPr>
          <w:rFonts w:hint="eastAsia" w:ascii="宋体" w:hAnsi="宋体" w:eastAsia="宋体" w:cs="宋体"/>
          <w:color w:val="000000" w:themeColor="text1"/>
          <w:highlight w:val="none"/>
          <w14:textFill>
            <w14:solidFill>
              <w14:schemeClr w14:val="tx1"/>
            </w14:solidFill>
          </w14:textFill>
        </w:rPr>
        <w:t>上，并且支持图像任意切换、分割、叠加、漫游、缩放、裁剪等；画面无缝同步切换。</w:t>
      </w:r>
    </w:p>
    <w:p>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5274310" cy="2639695"/>
            <wp:effectExtent l="0" t="0" r="2540" b="8255"/>
            <wp:docPr id="1"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10;&#10;描述已自动生成"/>
                    <pic:cNvPicPr>
                      <a:picLocks noChangeAspect="1"/>
                    </pic:cNvPicPr>
                  </pic:nvPicPr>
                  <pic:blipFill>
                    <a:blip r:embed="rId5"/>
                    <a:stretch>
                      <a:fillRect/>
                    </a:stretch>
                  </pic:blipFill>
                  <pic:spPr>
                    <a:xfrm>
                      <a:off x="0" y="0"/>
                      <a:ext cx="5274310" cy="2639695"/>
                    </a:xfrm>
                    <a:prstGeom prst="rect">
                      <a:avLst/>
                    </a:prstGeom>
                    <a:noFill/>
                    <a:ln>
                      <a:noFill/>
                    </a:ln>
                  </pic:spPr>
                </pic:pic>
              </a:graphicData>
            </a:graphic>
          </wp:inline>
        </w:drawing>
      </w:r>
    </w:p>
    <w:p>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2"/>
          <w:highlight w:val="none"/>
          <w14:textFill>
            <w14:solidFill>
              <w14:schemeClr w14:val="tx1"/>
            </w14:solidFill>
          </w14:textFill>
        </w:rPr>
        <w:t>图2显示系统架构图</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5</w:t>
      </w:r>
      <w:r>
        <w:rPr>
          <w:rFonts w:hint="eastAsia" w:ascii="宋体" w:hAnsi="宋体" w:eastAsia="宋体" w:cs="宋体"/>
          <w:b/>
          <w:color w:val="000000" w:themeColor="text1"/>
          <w:sz w:val="28"/>
          <w:szCs w:val="28"/>
          <w:highlight w:val="none"/>
          <w14:textFill>
            <w14:solidFill>
              <w14:schemeClr w14:val="tx1"/>
            </w14:solidFill>
          </w14:textFill>
        </w:rPr>
        <w:t>.4系统配置</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主屏设计采用磁吸结构、点间距为P1.53</w:t>
      </w:r>
      <w:r>
        <w:rPr>
          <w:rFonts w:hint="eastAsia" w:ascii="宋体" w:hAnsi="宋体" w:eastAsia="宋体" w:cs="宋体"/>
          <w:color w:val="000000" w:themeColor="text1"/>
          <w:highlight w:val="none"/>
          <w:lang w:val="en-US" w:eastAsia="zh-CN"/>
          <w14:textFill>
            <w14:solidFill>
              <w14:schemeClr w14:val="tx1"/>
            </w14:solidFill>
          </w14:textFill>
        </w:rPr>
        <w:t>8</w:t>
      </w:r>
      <w:r>
        <w:rPr>
          <w:rFonts w:hint="eastAsia" w:ascii="宋体" w:hAnsi="宋体" w:eastAsia="宋体" w:cs="宋体"/>
          <w:color w:val="000000" w:themeColor="text1"/>
          <w:highlight w:val="none"/>
          <w14:textFill>
            <w14:solidFill>
              <w14:schemeClr w14:val="tx1"/>
            </w14:solidFill>
          </w14:textFill>
        </w:rPr>
        <w:t>的LED显示屏。显示屏净尺寸≥6.4m*3.36m，面积≥21.504m²,屏体分辨率：≥4</w:t>
      </w:r>
      <w:r>
        <w:rPr>
          <w:rFonts w:hint="eastAsia" w:ascii="宋体" w:hAnsi="宋体" w:eastAsia="宋体" w:cs="宋体"/>
          <w:color w:val="000000" w:themeColor="text1"/>
          <w:highlight w:val="none"/>
          <w:lang w:val="en-US" w:eastAsia="zh-CN"/>
          <w14:textFill>
            <w14:solidFill>
              <w14:schemeClr w14:val="tx1"/>
            </w14:solidFill>
          </w14:textFill>
        </w:rPr>
        <w:t>096</w:t>
      </w:r>
      <w:r>
        <w:rPr>
          <w:rFonts w:hint="eastAsia" w:ascii="宋体" w:hAnsi="宋体" w:eastAsia="宋体" w:cs="宋体"/>
          <w:color w:val="000000" w:themeColor="text1"/>
          <w:highlight w:val="none"/>
          <w14:textFill>
            <w14:solidFill>
              <w14:schemeClr w14:val="tx1"/>
            </w14:solidFill>
          </w14:textFill>
        </w:rPr>
        <w:t>*2160。具有无缝、使用寿命长、换帧速度快、高刷新、均匀性好、视角度宽、灰度高、自然化色彩还原等特点。LED屏便于维护，采用前维护架构。并且主屏上支持显示滚动字幕和台标。</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矩阵系统配置一套16进10出的拼控处理器。矩阵输入可以外接摄像头、电脑/DVD播放器等信号源，矩阵输出接LED发送盒等设备。</w:t>
      </w:r>
    </w:p>
    <w:p>
      <w:pPr>
        <w:outlineLvl w:val="3"/>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5</w:t>
      </w:r>
      <w:r>
        <w:rPr>
          <w:rFonts w:hint="eastAsia" w:ascii="宋体" w:hAnsi="宋体" w:eastAsia="宋体" w:cs="宋体"/>
          <w:b/>
          <w:color w:val="000000" w:themeColor="text1"/>
          <w:sz w:val="28"/>
          <w:szCs w:val="28"/>
          <w:highlight w:val="none"/>
          <w14:textFill>
            <w14:solidFill>
              <w14:schemeClr w14:val="tx1"/>
            </w14:solidFill>
          </w14:textFill>
        </w:rPr>
        <w:t>.5系统功能</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LED显示屏</w:t>
      </w:r>
      <w:r>
        <w:rPr>
          <w:rFonts w:hint="eastAsia" w:ascii="宋体" w:hAnsi="宋体" w:eastAsia="宋体" w:cs="宋体"/>
          <w:color w:val="000000" w:themeColor="text1"/>
          <w:highlight w:val="none"/>
          <w14:textFill>
            <w14:solidFill>
              <w14:schemeClr w14:val="tx1"/>
            </w14:solidFill>
          </w14:textFill>
        </w:rPr>
        <w:t>显示系统需要实现以下功能：</w:t>
      </w:r>
    </w:p>
    <w:p>
      <w:pPr>
        <w:pStyle w:val="10"/>
        <w:numPr>
          <w:ilvl w:val="0"/>
          <w:numId w:val="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屏幕图象分辨率和清晰度高：高刷新频率保证屏幕画面清晰不闪烁。</w:t>
      </w:r>
    </w:p>
    <w:p>
      <w:pPr>
        <w:pStyle w:val="10"/>
        <w:numPr>
          <w:ilvl w:val="0"/>
          <w:numId w:val="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节能环保：采用高效发光芯片和节能驱动IC结合的双效节能技术从根本上解决设备的峰值用电能耗，实时动态的用电技术，大大节约了LED显示屏的用电能耗。支持输出分辨率自定义：针对LED模块分辨率不规则的特点可任意设置分辨率输出，与LED屏分辨率完美匹配。</w:t>
      </w:r>
    </w:p>
    <w:p>
      <w:pPr>
        <w:pStyle w:val="10"/>
        <w:numPr>
          <w:ilvl w:val="0"/>
          <w:numId w:val="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亮度调节智能化：显示屏可根据工作环境的亮度来调整显示亮度，为达到正确的色彩调配，图像可在强环境光下明亮清晰，在暗环境光下绚丽柔和，降低高亮度长时间给眼睛带来疲劳。</w:t>
      </w:r>
    </w:p>
    <w:p>
      <w:pPr>
        <w:pStyle w:val="10"/>
        <w:numPr>
          <w:ilvl w:val="0"/>
          <w:numId w:val="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色彩还原自然化：图象色彩柔和逼真、灰度丰富、层次感和立体感强。显示屏采用光学透镜技术，有效缓解颗粒感，把直线传播的光线通过光学透镜变成有规则的发散光，光线更加柔和视角更大，色域广，满足不同显示领域对色温的要求可以自由选择现场所需要的显示效果。</w:t>
      </w:r>
    </w:p>
    <w:p>
      <w:pPr>
        <w:pStyle w:val="10"/>
        <w:numPr>
          <w:ilvl w:val="0"/>
          <w:numId w:val="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高效防护动态化：显示屏采用集成封装技术，没有灯脚裸露问题，具有耐磨、耐冲击、防水、防尘、防静电等功能，热量容易散发，散热均匀，延长了显示屏寿命。</w:t>
      </w:r>
    </w:p>
    <w:p>
      <w:pPr>
        <w:widowControl/>
        <w:jc w:val="left"/>
        <w:rPr>
          <w:rFonts w:hint="eastAsia" w:ascii="宋体" w:hAnsi="宋体" w:eastAsia="宋体" w:cs="宋体"/>
          <w:b/>
          <w:color w:val="000000" w:themeColor="text1"/>
          <w:sz w:val="24"/>
          <w:highlight w:val="none"/>
          <w14:textFill>
            <w14:solidFill>
              <w14:schemeClr w14:val="tx1"/>
            </w14:solidFill>
          </w14:textFill>
        </w:rPr>
      </w:pPr>
    </w:p>
    <w:p>
      <w:pPr>
        <w:widowControl/>
        <w:jc w:val="left"/>
        <w:outlineLvl w:val="9"/>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2.6录播和视频会议系统</w:t>
      </w:r>
    </w:p>
    <w:p>
      <w:pPr>
        <w:outlineLvl w:val="3"/>
        <w:rPr>
          <w:rFonts w:hint="eastAsia" w:ascii="宋体" w:hAnsi="宋体" w:eastAsia="宋体" w:cs="宋体"/>
          <w:b/>
          <w:color w:val="000000" w:themeColor="text1"/>
          <w:sz w:val="26"/>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视频会议系统</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2.6.1系统概述</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视频会议是一种为两地或多地的用户之间提供语音、画面双向实时传送的视听会话型会议系统，使得在地理上分散的用户可以共聚一处，通过图形、声音等多种方式交流信息，可增加与会者对内容的理解，提升会议效率。</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需要建设粤视会应用系统，实现广东省民政厅-地市-区县民政局之间的音视频交互，支持各地市外勤出行人员可通过移动端进行接入协同办公。本期项目将共享使用广东省政务服务数据管理局建设的粤视会应用软件和省平台会议资源。</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连接数字政府的粤视会共享平台，不涉及平台建设，通过电子政务外网、互联网跨网通信连接，满足会议数据私密安全和接入灵活高效的双重要求。</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2.6.2系统配置</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系统具体配置如下：</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部署1</w:t>
      </w:r>
      <w:r>
        <w:rPr>
          <w:rFonts w:hint="eastAsia" w:ascii="宋体" w:hAnsi="宋体" w:eastAsia="宋体" w:cs="宋体"/>
          <w:color w:val="000000" w:themeColor="text1"/>
          <w:highlight w:val="none"/>
          <w:lang w:val="en-US" w:eastAsia="zh-CN"/>
          <w14:textFill>
            <w14:solidFill>
              <w14:schemeClr w14:val="tx1"/>
            </w14:solidFill>
          </w14:textFill>
        </w:rPr>
        <w:t>套</w:t>
      </w:r>
      <w:r>
        <w:rPr>
          <w:rFonts w:hint="eastAsia" w:ascii="宋体" w:hAnsi="宋体" w:eastAsia="宋体" w:cs="宋体"/>
          <w:color w:val="000000" w:themeColor="text1"/>
          <w:highlight w:val="none"/>
          <w14:textFill>
            <w14:solidFill>
              <w14:schemeClr w14:val="tx1"/>
            </w14:solidFill>
          </w14:textFill>
        </w:rPr>
        <w:t>视频会议主机</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包含1台视频会议终端，支持包括但不限于H.264、H264HP、H264SVC、H.265视频标准协议。其中视频会议MCU设置在机房，高清视频终端支持≥7路高清视频输入，≥5路高清视频输出。</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视频会议终端与录播录播系统共用摄像机，通过矩阵系统的切换实现摄像机的调用。</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2.6.3系统功能</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数字会议系统具有以下系统功能：</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统一安全认证：基于粤政易登录启动粤视会会议平台，实现通讯录对接。</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粤政易会议通知：粤政易会议消息通知给指定参会人</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安排预约会议：灵活的会议安排，填写会议信息，发送会议通知。</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会议邀请：通过通讯录组织架构，可以一对一、一对多发送会议通知。</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音频视频互动：提供高清视频和无延时语音通话，视频支持1080P高清效果，提供高质量的视频会议效果。</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视频广播轮巡：当分会场数量过多时，支持对分会场进行广播轮巡。</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文字交流讨论：各与会者之间可进行文字交流讨论，会议管理员可以对讨论功能进行权限管控。</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文档资料共享：支持共享文档、屏幕共享、屏幕选定区域共享、应用程序共享等功能。</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白板多方批注：支持电子白板，其中包括放大缩小、翻转、捕捉窗口等，支持文档共享并进行多方批注、保存。</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同步播放视频：支持同步播放任意标准格式的多媒体文件给其他与会者，效果清晰流畅。</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会议角色管理：提供三级会议角色：主持人、管理员、参会人。可在会议中进行随时调换，方便会议管理。</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多级会议并行：支持同时召开多个会议，即开即用。</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会议锁定管理：会议加锁，避免其他用户进入会议系统，干扰会议的正常进行，防止会议机密泄露。</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会议视频录制：支持将会议过程中音视频信息进行录制，并且可对录制权限进行管理。</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H5网页入会：安卓手机基于浏览器实现简易功能的网页入会能力，不需要单独下载app</w:t>
      </w:r>
    </w:p>
    <w:p>
      <w:pPr>
        <w:pStyle w:val="10"/>
        <w:numPr>
          <w:ilvl w:val="0"/>
          <w:numId w:val="5"/>
        </w:numPr>
        <w:adjustRightInd w:val="0"/>
        <w:snapToGrid w:val="0"/>
        <w:ind w:firstLineChars="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后台管理功能：支持导出会议相关数据、自定义会议消息通知内容发送的参会人。</w:t>
      </w:r>
    </w:p>
    <w:p>
      <w:pPr>
        <w:outlineLvl w:val="3"/>
        <w:rPr>
          <w:rFonts w:hint="eastAsia" w:ascii="宋体" w:hAnsi="宋体" w:eastAsia="宋体" w:cs="宋体"/>
          <w:b/>
          <w:color w:val="000000" w:themeColor="text1"/>
          <w:sz w:val="26"/>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录播系统</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2.6.4系统概述</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录播系统需满足培训会议现场录音录像、回放、网络广播和参加或组织视频会议等需求。并且可以把会议、培训和抽奖演播全过程的多媒体(如PPT等)完整记录下来，还可以通过视频会议实时或之后传播出去。</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2.6.5系统架构</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摄像机的视频画面先进入到拼接矩阵后，再输出到录播主机和远程视频终端，远程视频终端的输出也先进入到矩阵后，再通过矩阵输出到显示设备。（通过矩阵可以实现输入输出自由调控）。</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系统架构如下图所示：</w:t>
      </w:r>
    </w:p>
    <w:p>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0" distR="0">
            <wp:extent cx="4891405" cy="2195195"/>
            <wp:effectExtent l="0" t="0" r="4445" b="14605"/>
            <wp:docPr id="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示&#10;&#10;描述已自动生成"/>
                    <pic:cNvPicPr>
                      <a:picLocks noChangeAspect="1"/>
                    </pic:cNvPicPr>
                  </pic:nvPicPr>
                  <pic:blipFill>
                    <a:blip r:embed="rId6"/>
                    <a:stretch>
                      <a:fillRect/>
                    </a:stretch>
                  </pic:blipFill>
                  <pic:spPr>
                    <a:xfrm>
                      <a:off x="0" y="0"/>
                      <a:ext cx="4891405" cy="2195195"/>
                    </a:xfrm>
                    <a:prstGeom prst="rect">
                      <a:avLst/>
                    </a:prstGeom>
                    <a:noFill/>
                    <a:ln>
                      <a:noFill/>
                    </a:ln>
                  </pic:spPr>
                </pic:pic>
              </a:graphicData>
            </a:graphic>
          </wp:inline>
        </w:drawing>
      </w:r>
    </w:p>
    <w:p>
      <w:pPr>
        <w:ind w:firstLine="480"/>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2"/>
          <w:highlight w:val="none"/>
          <w14:textFill>
            <w14:solidFill>
              <w14:schemeClr w14:val="tx1"/>
            </w14:solidFill>
          </w14:textFill>
        </w:rPr>
        <w:t>图</w:t>
      </w:r>
      <w:r>
        <w:rPr>
          <w:rFonts w:hint="eastAsia" w:ascii="宋体" w:hAnsi="宋体" w:eastAsia="宋体" w:cs="宋体"/>
          <w:b/>
          <w:color w:val="000000" w:themeColor="text1"/>
          <w:sz w:val="22"/>
          <w:highlight w:val="none"/>
          <w:lang w:val="en-US" w:eastAsia="zh-CN"/>
          <w14:textFill>
            <w14:solidFill>
              <w14:schemeClr w14:val="tx1"/>
            </w14:solidFill>
          </w14:textFill>
        </w:rPr>
        <w:t>3</w:t>
      </w:r>
      <w:r>
        <w:rPr>
          <w:rFonts w:hint="eastAsia" w:ascii="宋体" w:hAnsi="宋体" w:eastAsia="宋体" w:cs="宋体"/>
          <w:b/>
          <w:color w:val="000000" w:themeColor="text1"/>
          <w:sz w:val="22"/>
          <w:highlight w:val="none"/>
          <w14:textFill>
            <w14:solidFill>
              <w14:schemeClr w14:val="tx1"/>
            </w14:solidFill>
          </w14:textFill>
        </w:rPr>
        <w:t>录播系统架构图</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2.6.6系统配置</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系统</w:t>
      </w:r>
      <w:r>
        <w:rPr>
          <w:rFonts w:hint="eastAsia" w:ascii="宋体" w:hAnsi="宋体" w:eastAsia="宋体" w:cs="宋体"/>
          <w:color w:val="000000" w:themeColor="text1"/>
          <w:highlight w:val="none"/>
          <w:lang w:val="en-US" w:eastAsia="zh-CN"/>
          <w14:textFill>
            <w14:solidFill>
              <w14:schemeClr w14:val="tx1"/>
            </w14:solidFill>
          </w14:textFill>
        </w:rPr>
        <w:t>主要</w:t>
      </w:r>
      <w:r>
        <w:rPr>
          <w:rFonts w:hint="eastAsia" w:ascii="宋体" w:hAnsi="宋体" w:eastAsia="宋体" w:cs="宋体"/>
          <w:color w:val="000000" w:themeColor="text1"/>
          <w:highlight w:val="none"/>
          <w14:textFill>
            <w14:solidFill>
              <w14:schemeClr w14:val="tx1"/>
            </w14:solidFill>
          </w14:textFill>
        </w:rPr>
        <w:t>配置如下：</w:t>
      </w:r>
    </w:p>
    <w:p>
      <w:pPr>
        <w:pStyle w:val="10"/>
        <w:numPr>
          <w:ilvl w:val="0"/>
          <w:numId w:val="6"/>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录播主机1台：采用一体化硬件设计，嵌入式Linux操作系统，高度集成图像采集、识别跟踪、录制、自动导播、直播、点播等系统模块，满足会议录制、培训学习、互动等需求的全自动八机位音视频录制设备</w:t>
      </w:r>
      <w:r>
        <w:rPr>
          <w:rFonts w:hint="eastAsia" w:ascii="宋体" w:hAnsi="宋体" w:eastAsia="宋体" w:cs="宋体"/>
          <w:color w:val="000000" w:themeColor="text1"/>
          <w:highlight w:val="none"/>
          <w:lang w:eastAsia="zh-CN"/>
          <w14:textFill>
            <w14:solidFill>
              <w14:schemeClr w14:val="tx1"/>
            </w14:solidFill>
          </w14:textFill>
        </w:rPr>
        <w:t>。</w:t>
      </w:r>
    </w:p>
    <w:p>
      <w:pPr>
        <w:pStyle w:val="10"/>
        <w:numPr>
          <w:ilvl w:val="0"/>
          <w:numId w:val="6"/>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配置4台高清摄像机：</w:t>
      </w:r>
      <w:r>
        <w:rPr>
          <w:rFonts w:hint="eastAsia" w:ascii="宋体" w:hAnsi="宋体" w:eastAsia="宋体" w:cs="宋体"/>
          <w:color w:val="000000" w:themeColor="text1"/>
          <w:highlight w:val="none"/>
          <w:lang w:val="en-US" w:eastAsia="zh-CN"/>
          <w14:textFill>
            <w14:solidFill>
              <w14:schemeClr w14:val="tx1"/>
            </w14:solidFill>
          </w14:textFill>
        </w:rPr>
        <w:t>2台摄像机</w:t>
      </w:r>
      <w:r>
        <w:rPr>
          <w:rFonts w:hint="eastAsia" w:ascii="宋体" w:hAnsi="宋体" w:eastAsia="宋体" w:cs="宋体"/>
          <w:color w:val="000000" w:themeColor="text1"/>
          <w:highlight w:val="none"/>
          <w14:textFill>
            <w14:solidFill>
              <w14:schemeClr w14:val="tx1"/>
            </w14:solidFill>
          </w14:textFill>
        </w:rPr>
        <w:t>采用支持</w:t>
      </w:r>
      <w:r>
        <w:rPr>
          <w:rFonts w:hint="eastAsia" w:ascii="宋体" w:hAnsi="宋体" w:eastAsia="宋体" w:cs="宋体"/>
          <w:color w:val="000000" w:themeColor="text1"/>
          <w:highlight w:val="none"/>
          <w:lang w:val="en-US" w:eastAsia="zh-CN"/>
          <w14:textFill>
            <w14:solidFill>
              <w14:schemeClr w14:val="tx1"/>
            </w14:solidFill>
          </w14:textFill>
        </w:rPr>
        <w:t>大于等于</w:t>
      </w:r>
      <w:r>
        <w:rPr>
          <w:rFonts w:hint="eastAsia" w:ascii="宋体" w:hAnsi="宋体" w:eastAsia="宋体" w:cs="宋体"/>
          <w:color w:val="000000" w:themeColor="text1"/>
          <w:highlight w:val="none"/>
          <w14:textFill>
            <w14:solidFill>
              <w14:schemeClr w14:val="tx1"/>
            </w14:solidFill>
          </w14:textFill>
        </w:rPr>
        <w:t>85</w:t>
      </w:r>
      <w:r>
        <w:rPr>
          <w:rFonts w:hint="eastAsia" w:ascii="宋体" w:hAnsi="宋体" w:eastAsia="宋体" w:cs="宋体"/>
          <w:color w:val="000000" w:themeColor="text1"/>
          <w:highlight w:val="none"/>
          <w:lang w:val="en-US" w:eastAsia="zh-CN"/>
          <w14:textFill>
            <w14:solidFill>
              <w14:schemeClr w14:val="tx1"/>
            </w14:solidFill>
          </w14:textFill>
        </w:rPr>
        <w:t>0</w:t>
      </w:r>
      <w:r>
        <w:rPr>
          <w:rFonts w:hint="eastAsia" w:ascii="宋体" w:hAnsi="宋体" w:eastAsia="宋体" w:cs="宋体"/>
          <w:color w:val="000000" w:themeColor="text1"/>
          <w:highlight w:val="none"/>
          <w14:textFill>
            <w14:solidFill>
              <w14:schemeClr w14:val="tx1"/>
            </w14:solidFill>
          </w14:textFill>
        </w:rPr>
        <w:t>万像素的高品质UHDCMOS传感器，可实现4K(3840x2160)超高分辨率的优质图像。2台</w:t>
      </w:r>
      <w:r>
        <w:rPr>
          <w:rFonts w:hint="eastAsia" w:ascii="宋体" w:hAnsi="宋体" w:eastAsia="宋体" w:cs="宋体"/>
          <w:color w:val="000000" w:themeColor="text1"/>
          <w:highlight w:val="none"/>
          <w:lang w:val="en-US" w:eastAsia="zh-CN"/>
          <w14:textFill>
            <w14:solidFill>
              <w14:schemeClr w14:val="tx1"/>
            </w14:solidFill>
          </w14:textFill>
        </w:rPr>
        <w:t>摄像机带25</w:t>
      </w:r>
      <w:r>
        <w:rPr>
          <w:rFonts w:hint="eastAsia" w:ascii="宋体" w:hAnsi="宋体" w:eastAsia="宋体" w:cs="宋体"/>
          <w:color w:val="000000" w:themeColor="text1"/>
          <w:highlight w:val="none"/>
          <w14:textFill>
            <w14:solidFill>
              <w14:schemeClr w14:val="tx1"/>
            </w14:solidFill>
          </w14:textFill>
        </w:rPr>
        <w:t>倍光学变焦带云台4K摄像头。</w:t>
      </w:r>
    </w:p>
    <w:p>
      <w:pPr>
        <w:pStyle w:val="10"/>
        <w:numPr>
          <w:ilvl w:val="0"/>
          <w:numId w:val="6"/>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配置</w:t>
      </w:r>
      <w:r>
        <w:rPr>
          <w:rFonts w:hint="eastAsia" w:ascii="宋体" w:hAnsi="宋体" w:eastAsia="宋体" w:cs="宋体"/>
          <w:color w:val="000000" w:themeColor="text1"/>
          <w:highlight w:val="none"/>
          <w14:textFill>
            <w14:solidFill>
              <w14:schemeClr w14:val="tx1"/>
            </w14:solidFill>
          </w14:textFill>
        </w:rPr>
        <w:t>1台4K录像机</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支持4小时</w:t>
      </w:r>
      <w:r>
        <w:rPr>
          <w:rFonts w:hint="eastAsia" w:ascii="宋体" w:hAnsi="宋体" w:eastAsia="宋体" w:cs="宋体"/>
          <w:color w:val="000000" w:themeColor="text1"/>
          <w:highlight w:val="none"/>
          <w:lang w:val="en-US" w:eastAsia="zh-CN"/>
          <w14:textFill>
            <w14:solidFill>
              <w14:schemeClr w14:val="tx1"/>
            </w14:solidFill>
          </w14:textFill>
        </w:rPr>
        <w:t>以上</w:t>
      </w:r>
      <w:r>
        <w:rPr>
          <w:rFonts w:hint="eastAsia" w:ascii="宋体" w:hAnsi="宋体" w:eastAsia="宋体" w:cs="宋体"/>
          <w:color w:val="000000" w:themeColor="text1"/>
          <w:highlight w:val="none"/>
          <w14:textFill>
            <w14:solidFill>
              <w14:schemeClr w14:val="tx1"/>
            </w14:solidFill>
          </w14:textFill>
        </w:rPr>
        <w:t>录像时长。</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2.6.7系统功能</w:t>
      </w:r>
    </w:p>
    <w:p>
      <w:pPr>
        <w:pStyle w:val="10"/>
        <w:numPr>
          <w:ilvl w:val="0"/>
          <w:numId w:val="7"/>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支持开奖会场的高清摄像机视频图像、声音，以及VGA信号(会议领导电脑上的PPT、Word等电子文档)的录制并保存。</w:t>
      </w:r>
    </w:p>
    <w:p>
      <w:pPr>
        <w:pStyle w:val="10"/>
        <w:numPr>
          <w:ilvl w:val="0"/>
          <w:numId w:val="7"/>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考通过录播系统可以将会场召开中的图像、声音，以及VGA信号(会议领导电脑上的的PPT、Word等电子文档及课件)的在整个大楼进行实时直播，员工在各自的办公电脑就可以观看到会议实况直播。</w:t>
      </w:r>
    </w:p>
    <w:p>
      <w:pPr>
        <w:pStyle w:val="10"/>
        <w:numPr>
          <w:ilvl w:val="0"/>
          <w:numId w:val="7"/>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在开奖结束后，可以进行视频文件点播，进行二次播放已及作宣传片。</w:t>
      </w:r>
    </w:p>
    <w:p>
      <w:pPr>
        <w:pStyle w:val="10"/>
        <w:numPr>
          <w:ilvl w:val="0"/>
          <w:numId w:val="7"/>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提供全景、主席台、观众席和发言人等（可变焦）4K高清画面。</w:t>
      </w: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7</w:t>
      </w:r>
      <w:r>
        <w:rPr>
          <w:rFonts w:hint="eastAsia" w:ascii="宋体" w:hAnsi="宋体" w:eastAsia="宋体" w:cs="宋体"/>
          <w:b/>
          <w:color w:val="000000" w:themeColor="text1"/>
          <w:sz w:val="28"/>
          <w:szCs w:val="28"/>
          <w:highlight w:val="none"/>
          <w14:textFill>
            <w14:solidFill>
              <w14:schemeClr w14:val="tx1"/>
            </w14:solidFill>
          </w14:textFill>
        </w:rPr>
        <w:t>扩声系统</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7</w:t>
      </w:r>
      <w:r>
        <w:rPr>
          <w:rFonts w:hint="eastAsia" w:ascii="宋体" w:hAnsi="宋体" w:eastAsia="宋体" w:cs="宋体"/>
          <w:b/>
          <w:color w:val="000000" w:themeColor="text1"/>
          <w:sz w:val="28"/>
          <w:szCs w:val="28"/>
          <w:highlight w:val="none"/>
          <w14:textFill>
            <w14:solidFill>
              <w14:schemeClr w14:val="tx1"/>
            </w14:solidFill>
          </w14:textFill>
        </w:rPr>
        <w:t>.1系统概述</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扩声系统结合福彩中心的礼堂面积和使用功能，参考国家扩声厅级标准一级建设，扩声系统的音响效果应能符合GB_T 28049-2011《厅堂、体育场馆扩声系统设计规范》的要求，演讲时应能达到语言清晰、无失真、声压余量充分、声场分布均匀、无声反馈啸叫，声像定位正确。</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扩声系统主要由扬声器、功率放大器、音频处理设备、话筒、音源等设备组成。整个系统应选用技术成熟、性能先进、使用可靠的设备产品，</w:t>
      </w:r>
      <w:r>
        <w:rPr>
          <w:rFonts w:hint="eastAsia" w:ascii="宋体" w:hAnsi="宋体" w:eastAsia="宋体" w:cs="宋体"/>
          <w:color w:val="000000" w:themeColor="text1"/>
          <w:highlight w:val="none"/>
          <w:lang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供应商需要通过计算福彩中心的音响场地系数进行设计及部署，保证福彩中心礼堂每个角落的声场听觉均匀，无失真、无偏音、无混音、无回响等不良音响效果。</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7</w:t>
      </w:r>
      <w:r>
        <w:rPr>
          <w:rFonts w:hint="eastAsia" w:ascii="宋体" w:hAnsi="宋体" w:eastAsia="宋体" w:cs="宋体"/>
          <w:b/>
          <w:color w:val="000000" w:themeColor="text1"/>
          <w:sz w:val="28"/>
          <w:szCs w:val="28"/>
          <w:highlight w:val="none"/>
          <w14:textFill>
            <w14:solidFill>
              <w14:schemeClr w14:val="tx1"/>
            </w14:solidFill>
          </w14:textFill>
        </w:rPr>
        <w:t>.2系统设计</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扬声器的布局根据福彩中心礼堂室内空间而设计。</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w:t>
      </w:r>
      <w:r>
        <w:rPr>
          <w:rFonts w:hint="eastAsia" w:ascii="宋体" w:hAnsi="宋体" w:eastAsia="宋体" w:cs="宋体"/>
          <w:b/>
          <w:color w:val="000000" w:themeColor="text1"/>
          <w:sz w:val="24"/>
          <w:highlight w:val="none"/>
          <w:lang w:val="en-US" w:eastAsia="zh-CN"/>
          <w14:textFill>
            <w14:solidFill>
              <w14:schemeClr w14:val="tx1"/>
            </w14:solidFill>
          </w14:textFill>
        </w:rPr>
        <w:t>7</w:t>
      </w:r>
      <w:r>
        <w:rPr>
          <w:rFonts w:hint="eastAsia" w:ascii="宋体" w:hAnsi="宋体" w:eastAsia="宋体" w:cs="宋体"/>
          <w:b/>
          <w:color w:val="000000" w:themeColor="text1"/>
          <w:sz w:val="24"/>
          <w:highlight w:val="none"/>
          <w14:textFill>
            <w14:solidFill>
              <w14:schemeClr w14:val="tx1"/>
            </w14:solidFill>
          </w14:textFill>
        </w:rPr>
        <w:t xml:space="preserve">.2.1扬声器布局 </w:t>
      </w:r>
    </w:p>
    <w:p>
      <w:pPr>
        <w:pStyle w:val="10"/>
        <w:numPr>
          <w:ilvl w:val="0"/>
          <w:numId w:val="8"/>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扬声器布局的一般原则是：</w:t>
      </w:r>
    </w:p>
    <w:p>
      <w:pPr>
        <w:pStyle w:val="10"/>
        <w:numPr>
          <w:ilvl w:val="0"/>
          <w:numId w:val="8"/>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全部听众区内的声压分布均匀；</w:t>
      </w:r>
    </w:p>
    <w:p>
      <w:pPr>
        <w:pStyle w:val="10"/>
        <w:numPr>
          <w:ilvl w:val="0"/>
          <w:numId w:val="8"/>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听众区上的声源方向感良好，即观众听到的扬声器的声音与看到的发言者在方向上一致；</w:t>
      </w:r>
    </w:p>
    <w:p>
      <w:pPr>
        <w:pStyle w:val="10"/>
        <w:numPr>
          <w:ilvl w:val="0"/>
          <w:numId w:val="8"/>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扬声器的位置在建筑上应当是合理的，美观安全，不影响其他设备的使用；</w:t>
      </w:r>
    </w:p>
    <w:p>
      <w:pPr>
        <w:pStyle w:val="10"/>
        <w:numPr>
          <w:ilvl w:val="0"/>
          <w:numId w:val="8"/>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控制声反馈和避免产生回声干扰。</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w:t>
      </w:r>
      <w:r>
        <w:rPr>
          <w:rFonts w:hint="eastAsia" w:ascii="宋体" w:hAnsi="宋体" w:eastAsia="宋体" w:cs="宋体"/>
          <w:b/>
          <w:color w:val="000000" w:themeColor="text1"/>
          <w:sz w:val="24"/>
          <w:highlight w:val="none"/>
          <w:lang w:val="en-US" w:eastAsia="zh-CN"/>
          <w14:textFill>
            <w14:solidFill>
              <w14:schemeClr w14:val="tx1"/>
            </w14:solidFill>
          </w14:textFill>
        </w:rPr>
        <w:t>7</w:t>
      </w:r>
      <w:r>
        <w:rPr>
          <w:rFonts w:hint="eastAsia" w:ascii="宋体" w:hAnsi="宋体" w:eastAsia="宋体" w:cs="宋体"/>
          <w:b/>
          <w:color w:val="000000" w:themeColor="text1"/>
          <w:sz w:val="24"/>
          <w:highlight w:val="none"/>
          <w14:textFill>
            <w14:solidFill>
              <w14:schemeClr w14:val="tx1"/>
            </w14:solidFill>
          </w14:textFill>
        </w:rPr>
        <w:t>.2.2扬声器选型</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扬声器的选型应按以下原则选用：高灵敏度及宽阔平滑的频率响应、高输出声压及低失真度、有效的控制声音指向性及覆盖面。要求整体扩声扬声器高频清晰，中频具有极高控制力和穿透力，声音饱满，低音扎实。</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系统扩声具有高保真度、清晰、声音较硬度适中。并根据会室扩声特性一级指标要求，从系统设计入手，结合计算机软件分析，最后设计出系统配置，以减小声能的扩散反射、声干扰、声聚焦等声学现象对语言扩声清晰度造成的不良影响。要求所选的扬声器，既要保证有足够的功率余量，也保证大声压的情况下极低的失真，扩声系统设计通过科学计算会场声场面积，配合相关专业软件进行测试，整个扩声系统采用主次搭配，从前区到后场，从顶部到底部，每个区域都要求能要优质的音响效果。</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w:t>
      </w:r>
      <w:r>
        <w:rPr>
          <w:rFonts w:hint="eastAsia" w:ascii="宋体" w:hAnsi="宋体" w:eastAsia="宋体" w:cs="宋体"/>
          <w:b/>
          <w:color w:val="000000" w:themeColor="text1"/>
          <w:sz w:val="24"/>
          <w:highlight w:val="none"/>
          <w:lang w:val="en-US" w:eastAsia="zh-CN"/>
          <w14:textFill>
            <w14:solidFill>
              <w14:schemeClr w14:val="tx1"/>
            </w14:solidFill>
          </w14:textFill>
        </w:rPr>
        <w:t>7</w:t>
      </w:r>
      <w:r>
        <w:rPr>
          <w:rFonts w:hint="eastAsia" w:ascii="宋体" w:hAnsi="宋体" w:eastAsia="宋体" w:cs="宋体"/>
          <w:b/>
          <w:color w:val="000000" w:themeColor="text1"/>
          <w:sz w:val="24"/>
          <w:highlight w:val="none"/>
          <w14:textFill>
            <w14:solidFill>
              <w14:schemeClr w14:val="tx1"/>
            </w14:solidFill>
          </w14:textFill>
        </w:rPr>
        <w:t>.2.3音频处理设备的选型</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扩声系统配置了主控音频处理设备，主控设备采用调音台、数字音频处理器、反馈抑制器进行集中处理，调音台用于处理音频信号和信号混合，把信号集中处理，解决整个操作过程中繁锁的操作，把操作简单化，达到不同音源同时混合处理；数字音频处理器主要是处理音频的音色，对音频的低频、中低频、中频、中高频、高频、超高频进行分段处理，到达低音低沉有力，高音宏亮不刺耳。</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w:t>
      </w:r>
      <w:r>
        <w:rPr>
          <w:rFonts w:hint="eastAsia" w:ascii="宋体" w:hAnsi="宋体" w:eastAsia="宋体" w:cs="宋体"/>
          <w:b/>
          <w:color w:val="000000" w:themeColor="text1"/>
          <w:sz w:val="24"/>
          <w:highlight w:val="none"/>
          <w:lang w:val="en-US" w:eastAsia="zh-CN"/>
          <w14:textFill>
            <w14:solidFill>
              <w14:schemeClr w14:val="tx1"/>
            </w14:solidFill>
          </w14:textFill>
        </w:rPr>
        <w:t>7</w:t>
      </w:r>
      <w:r>
        <w:rPr>
          <w:rFonts w:hint="eastAsia" w:ascii="宋体" w:hAnsi="宋体" w:eastAsia="宋体" w:cs="宋体"/>
          <w:b/>
          <w:color w:val="000000" w:themeColor="text1"/>
          <w:sz w:val="24"/>
          <w:highlight w:val="none"/>
          <w14:textFill>
            <w14:solidFill>
              <w14:schemeClr w14:val="tx1"/>
            </w14:solidFill>
          </w14:textFill>
        </w:rPr>
        <w:t>.2.4反馈抑制设计</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次系统配置话筒数量较多，配置反馈抑制器设备抑制话筒啸叫原理为：将麦克风增益增加至出现啸叫，设备抓取到陷波点后再缓慢的增加增益直至设置的陷波器数量全部抓取完成再适当减小增益。这样通过抓取不同的啸叫点，通过抑制这些啸叫点来使话筒在使用的过程中不会出现啸叫。</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7</w:t>
      </w:r>
      <w:r>
        <w:rPr>
          <w:rFonts w:hint="eastAsia" w:ascii="宋体" w:hAnsi="宋体" w:eastAsia="宋体" w:cs="宋体"/>
          <w:b/>
          <w:color w:val="000000" w:themeColor="text1"/>
          <w:sz w:val="28"/>
          <w:szCs w:val="28"/>
          <w:highlight w:val="none"/>
          <w14:textFill>
            <w14:solidFill>
              <w14:schemeClr w14:val="tx1"/>
            </w14:solidFill>
          </w14:textFill>
        </w:rPr>
        <w:t>.3系统架构</w:t>
      </w:r>
    </w:p>
    <w:p>
      <w:pPr>
        <w:pStyle w:val="4"/>
        <w:ind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本项目扩声系统主要由音源-&gt;调音台-&gt;音频处理器-&gt;功率放大器-&gt;音箱组成，系统架构如下图：</w:t>
      </w:r>
    </w:p>
    <w:p>
      <w:pPr>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4719320" cy="2463800"/>
            <wp:effectExtent l="0" t="0" r="508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719320" cy="2463800"/>
                    </a:xfrm>
                    <a:prstGeom prst="rect">
                      <a:avLst/>
                    </a:prstGeom>
                    <a:noFill/>
                    <a:ln>
                      <a:noFill/>
                    </a:ln>
                  </pic:spPr>
                </pic:pic>
              </a:graphicData>
            </a:graphic>
          </wp:inline>
        </w:drawing>
      </w:r>
    </w:p>
    <w:p>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2"/>
          <w:highlight w:val="none"/>
          <w14:textFill>
            <w14:solidFill>
              <w14:schemeClr w14:val="tx1"/>
            </w14:solidFill>
          </w14:textFill>
        </w:rPr>
        <w:t>图</w:t>
      </w:r>
      <w:r>
        <w:rPr>
          <w:rFonts w:hint="eastAsia" w:ascii="宋体" w:hAnsi="宋体" w:eastAsia="宋体" w:cs="宋体"/>
          <w:b/>
          <w:color w:val="000000" w:themeColor="text1"/>
          <w:sz w:val="22"/>
          <w:highlight w:val="none"/>
          <w:lang w:val="en-US" w:eastAsia="zh-CN"/>
          <w14:textFill>
            <w14:solidFill>
              <w14:schemeClr w14:val="tx1"/>
            </w14:solidFill>
          </w14:textFill>
        </w:rPr>
        <w:t>4</w:t>
      </w:r>
      <w:r>
        <w:rPr>
          <w:rFonts w:hint="eastAsia" w:ascii="宋体" w:hAnsi="宋体" w:eastAsia="宋体" w:cs="宋体"/>
          <w:b/>
          <w:color w:val="000000" w:themeColor="text1"/>
          <w:sz w:val="22"/>
          <w:highlight w:val="none"/>
          <w14:textFill>
            <w14:solidFill>
              <w14:schemeClr w14:val="tx1"/>
            </w14:solidFill>
          </w14:textFill>
        </w:rPr>
        <w:t>扩声系统架构图</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7</w:t>
      </w:r>
      <w:r>
        <w:rPr>
          <w:rFonts w:hint="eastAsia" w:ascii="宋体" w:hAnsi="宋体" w:eastAsia="宋体" w:cs="宋体"/>
          <w:b/>
          <w:color w:val="000000" w:themeColor="text1"/>
          <w:sz w:val="28"/>
          <w:szCs w:val="28"/>
          <w:highlight w:val="none"/>
          <w14:textFill>
            <w14:solidFill>
              <w14:schemeClr w14:val="tx1"/>
            </w14:solidFill>
          </w14:textFill>
        </w:rPr>
        <w:t>.4系统配置</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w:t>
      </w:r>
      <w:r>
        <w:rPr>
          <w:rFonts w:hint="eastAsia" w:ascii="宋体" w:hAnsi="宋体" w:eastAsia="宋体" w:cs="宋体"/>
          <w:b/>
          <w:color w:val="000000" w:themeColor="text1"/>
          <w:sz w:val="24"/>
          <w:highlight w:val="none"/>
          <w:lang w:val="en-US" w:eastAsia="zh-CN"/>
          <w14:textFill>
            <w14:solidFill>
              <w14:schemeClr w14:val="tx1"/>
            </w14:solidFill>
          </w14:textFill>
        </w:rPr>
        <w:t>7</w:t>
      </w:r>
      <w:r>
        <w:rPr>
          <w:rFonts w:hint="eastAsia" w:ascii="宋体" w:hAnsi="宋体" w:eastAsia="宋体" w:cs="宋体"/>
          <w:b/>
          <w:color w:val="000000" w:themeColor="text1"/>
          <w:sz w:val="24"/>
          <w:highlight w:val="none"/>
          <w14:textFill>
            <w14:solidFill>
              <w14:schemeClr w14:val="tx1"/>
            </w14:solidFill>
          </w14:textFill>
        </w:rPr>
        <w:t>.4.1扬声器和功放</w:t>
      </w:r>
    </w:p>
    <w:p>
      <w:pPr>
        <w:pStyle w:val="3"/>
        <w:numPr>
          <w:ilvl w:val="0"/>
          <w:numId w:val="9"/>
        </w:numPr>
        <w:adjustRightInd w:val="0"/>
        <w:snapToGrid w:val="0"/>
        <w:spacing w:after="0" w:line="240" w:lineRule="auto"/>
        <w:rPr>
          <w:rFonts w:hint="eastAsia" w:ascii="宋体" w:hAnsi="宋体" w:eastAsia="宋体" w:cs="宋体"/>
          <w:color w:val="000000" w:themeColor="text1"/>
          <w:kern w:val="2"/>
          <w:sz w:val="21"/>
          <w:szCs w:val="24"/>
          <w:highlight w:val="none"/>
          <w14:textFill>
            <w14:solidFill>
              <w14:schemeClr w14:val="tx1"/>
            </w14:solidFill>
          </w14:textFill>
        </w:rPr>
      </w:pPr>
      <w:r>
        <w:rPr>
          <w:rFonts w:hint="eastAsia" w:ascii="宋体" w:hAnsi="宋体" w:eastAsia="宋体" w:cs="宋体"/>
          <w:color w:val="000000" w:themeColor="text1"/>
          <w:kern w:val="2"/>
          <w:sz w:val="21"/>
          <w:szCs w:val="24"/>
          <w:highlight w:val="none"/>
          <w14:textFill>
            <w14:solidFill>
              <w14:schemeClr w14:val="tx1"/>
            </w14:solidFill>
          </w14:textFill>
        </w:rPr>
        <w:t>2只连续功率400W，灵敏度99db的主扩音箱。（由1台2*700W/8Ω专业功放去推动）主扩音箱吊装在舞台两侧，做全场的主扩声使用，满足大半场以上的观众席区域声压级需求。</w:t>
      </w:r>
    </w:p>
    <w:p>
      <w:pPr>
        <w:pStyle w:val="3"/>
        <w:numPr>
          <w:ilvl w:val="0"/>
          <w:numId w:val="9"/>
        </w:numPr>
        <w:adjustRightInd w:val="0"/>
        <w:snapToGrid w:val="0"/>
        <w:spacing w:after="0" w:line="240" w:lineRule="auto"/>
        <w:rPr>
          <w:rFonts w:hint="eastAsia" w:ascii="宋体" w:hAnsi="宋体" w:eastAsia="宋体" w:cs="宋体"/>
          <w:color w:val="000000" w:themeColor="text1"/>
          <w:kern w:val="2"/>
          <w:sz w:val="21"/>
          <w:szCs w:val="24"/>
          <w:highlight w:val="none"/>
          <w14:textFill>
            <w14:solidFill>
              <w14:schemeClr w14:val="tx1"/>
            </w14:solidFill>
          </w14:textFill>
        </w:rPr>
      </w:pPr>
      <w:r>
        <w:rPr>
          <w:rFonts w:hint="eastAsia" w:ascii="宋体" w:hAnsi="宋体" w:eastAsia="宋体" w:cs="宋体"/>
          <w:color w:val="000000" w:themeColor="text1"/>
          <w:kern w:val="2"/>
          <w:sz w:val="21"/>
          <w:szCs w:val="24"/>
          <w:highlight w:val="none"/>
          <w14:textFill>
            <w14:solidFill>
              <w14:schemeClr w14:val="tx1"/>
            </w14:solidFill>
          </w14:textFill>
        </w:rPr>
        <w:t>2只</w:t>
      </w:r>
      <w:r>
        <w:rPr>
          <w:rFonts w:hint="eastAsia" w:ascii="宋体" w:hAnsi="宋体" w:eastAsia="宋体" w:cs="宋体"/>
          <w:color w:val="000000" w:themeColor="text1"/>
          <w:kern w:val="2"/>
          <w:sz w:val="21"/>
          <w:szCs w:val="24"/>
          <w:highlight w:val="none"/>
          <w:lang w:val="en-US" w:eastAsia="zh-CN"/>
          <w14:textFill>
            <w14:solidFill>
              <w14:schemeClr w14:val="tx1"/>
            </w14:solidFill>
          </w14:textFill>
        </w:rPr>
        <w:t>350</w:t>
      </w:r>
      <w:r>
        <w:rPr>
          <w:rFonts w:hint="eastAsia" w:ascii="宋体" w:hAnsi="宋体" w:eastAsia="宋体" w:cs="宋体"/>
          <w:color w:val="000000" w:themeColor="text1"/>
          <w:kern w:val="2"/>
          <w:sz w:val="21"/>
          <w:szCs w:val="24"/>
          <w:highlight w:val="none"/>
          <w14:textFill>
            <w14:solidFill>
              <w14:schemeClr w14:val="tx1"/>
            </w14:solidFill>
          </w14:textFill>
        </w:rPr>
        <w:t>W/8Ω辅助音箱（由1台2*</w:t>
      </w:r>
      <w:r>
        <w:rPr>
          <w:rFonts w:hint="eastAsia" w:ascii="宋体" w:hAnsi="宋体" w:eastAsia="宋体" w:cs="宋体"/>
          <w:color w:val="000000" w:themeColor="text1"/>
          <w:kern w:val="2"/>
          <w:sz w:val="21"/>
          <w:szCs w:val="24"/>
          <w:highlight w:val="none"/>
          <w:lang w:val="en-US" w:eastAsia="zh-CN"/>
          <w14:textFill>
            <w14:solidFill>
              <w14:schemeClr w14:val="tx1"/>
            </w14:solidFill>
          </w14:textFill>
        </w:rPr>
        <w:t>600W</w:t>
      </w:r>
      <w:r>
        <w:rPr>
          <w:rFonts w:hint="eastAsia" w:ascii="宋体" w:hAnsi="宋体" w:eastAsia="宋体" w:cs="宋体"/>
          <w:color w:val="000000" w:themeColor="text1"/>
          <w:kern w:val="2"/>
          <w:sz w:val="21"/>
          <w:szCs w:val="24"/>
          <w:highlight w:val="none"/>
          <w14:textFill>
            <w14:solidFill>
              <w14:schemeClr w14:val="tx1"/>
            </w14:solidFill>
          </w14:textFill>
        </w:rPr>
        <w:t>/8Ω功放驱动），音箱安装在会场后侧墙上，作为补声使用。</w:t>
      </w:r>
    </w:p>
    <w:p>
      <w:pPr>
        <w:pStyle w:val="3"/>
        <w:numPr>
          <w:ilvl w:val="0"/>
          <w:numId w:val="9"/>
        </w:numPr>
        <w:adjustRightInd w:val="0"/>
        <w:snapToGrid w:val="0"/>
        <w:spacing w:after="0" w:line="240" w:lineRule="auto"/>
        <w:rPr>
          <w:rFonts w:hint="eastAsia" w:ascii="宋体" w:hAnsi="宋体" w:eastAsia="宋体" w:cs="宋体"/>
          <w:color w:val="000000" w:themeColor="text1"/>
          <w:kern w:val="2"/>
          <w:sz w:val="21"/>
          <w:szCs w:val="24"/>
          <w:highlight w:val="none"/>
          <w14:textFill>
            <w14:solidFill>
              <w14:schemeClr w14:val="tx1"/>
            </w14:solidFill>
          </w14:textFill>
        </w:rPr>
      </w:pPr>
      <w:r>
        <w:rPr>
          <w:rFonts w:hint="eastAsia" w:ascii="宋体" w:hAnsi="宋体" w:eastAsia="宋体" w:cs="宋体"/>
          <w:color w:val="000000" w:themeColor="text1"/>
          <w:kern w:val="2"/>
          <w:sz w:val="21"/>
          <w:szCs w:val="24"/>
          <w:highlight w:val="none"/>
          <w14:textFill>
            <w14:solidFill>
              <w14:schemeClr w14:val="tx1"/>
            </w14:solidFill>
          </w14:textFill>
        </w:rPr>
        <w:t>2只400W/8Ω返听音箱（由2台2*700W/8Ω功放驱动），音箱落地安装在舞台上，方向朝主席台，给主席台做扩声用。</w:t>
      </w:r>
    </w:p>
    <w:p>
      <w:pPr>
        <w:pStyle w:val="3"/>
        <w:numPr>
          <w:ilvl w:val="0"/>
          <w:numId w:val="9"/>
        </w:numPr>
        <w:adjustRightInd w:val="0"/>
        <w:snapToGrid w:val="0"/>
        <w:spacing w:after="0" w:line="240" w:lineRule="auto"/>
        <w:rPr>
          <w:rFonts w:hint="eastAsia" w:ascii="宋体" w:hAnsi="宋体" w:eastAsia="宋体" w:cs="宋体"/>
          <w:color w:val="000000" w:themeColor="text1"/>
          <w:kern w:val="2"/>
          <w:sz w:val="21"/>
          <w:szCs w:val="24"/>
          <w:highlight w:val="none"/>
          <w14:textFill>
            <w14:solidFill>
              <w14:schemeClr w14:val="tx1"/>
            </w14:solidFill>
          </w14:textFill>
        </w:rPr>
      </w:pPr>
      <w:r>
        <w:rPr>
          <w:rFonts w:hint="eastAsia" w:ascii="宋体" w:hAnsi="宋体" w:eastAsia="宋体" w:cs="宋体"/>
          <w:color w:val="000000" w:themeColor="text1"/>
          <w:kern w:val="2"/>
          <w:sz w:val="21"/>
          <w:szCs w:val="24"/>
          <w:highlight w:val="none"/>
          <w14:textFill>
            <w14:solidFill>
              <w14:schemeClr w14:val="tx1"/>
            </w14:solidFill>
          </w14:textFill>
        </w:rPr>
        <w:t>2只</w:t>
      </w:r>
      <w:r>
        <w:rPr>
          <w:rFonts w:hint="eastAsia" w:ascii="宋体" w:hAnsi="宋体" w:eastAsia="宋体" w:cs="宋体"/>
          <w:color w:val="000000" w:themeColor="text1"/>
          <w:kern w:val="2"/>
          <w:sz w:val="21"/>
          <w:szCs w:val="24"/>
          <w:highlight w:val="none"/>
          <w:lang w:val="en-US" w:eastAsia="zh-CN"/>
          <w14:textFill>
            <w14:solidFill>
              <w14:schemeClr w14:val="tx1"/>
            </w14:solidFill>
          </w14:textFill>
        </w:rPr>
        <w:t>600</w:t>
      </w:r>
      <w:r>
        <w:rPr>
          <w:rFonts w:hint="eastAsia" w:ascii="宋体" w:hAnsi="宋体" w:eastAsia="宋体" w:cs="宋体"/>
          <w:color w:val="000000" w:themeColor="text1"/>
          <w:kern w:val="2"/>
          <w:sz w:val="21"/>
          <w:szCs w:val="24"/>
          <w:highlight w:val="none"/>
          <w14:textFill>
            <w14:solidFill>
              <w14:schemeClr w14:val="tx1"/>
            </w14:solidFill>
          </w14:textFill>
        </w:rPr>
        <w:t>W/4Ω移动超低音音箱（由1台2*1000W/8Ω功放驱动），音箱落地安装在地上，在表演时增加低音效果。</w:t>
      </w:r>
    </w:p>
    <w:p>
      <w:pPr>
        <w:pStyle w:val="3"/>
        <w:numPr>
          <w:ilvl w:val="0"/>
          <w:numId w:val="9"/>
        </w:numPr>
        <w:adjustRightInd w:val="0"/>
        <w:snapToGrid w:val="0"/>
        <w:spacing w:after="0" w:line="240" w:lineRule="auto"/>
        <w:rPr>
          <w:rFonts w:hint="eastAsia" w:ascii="宋体" w:hAnsi="宋体" w:eastAsia="宋体" w:cs="宋体"/>
          <w:color w:val="000000" w:themeColor="text1"/>
          <w:kern w:val="2"/>
          <w:sz w:val="21"/>
          <w:szCs w:val="24"/>
          <w:highlight w:val="none"/>
          <w14:textFill>
            <w14:solidFill>
              <w14:schemeClr w14:val="tx1"/>
            </w14:solidFill>
          </w14:textFill>
        </w:rPr>
      </w:pPr>
      <w:r>
        <w:rPr>
          <w:rFonts w:hint="eastAsia" w:ascii="宋体" w:hAnsi="宋体" w:eastAsia="宋体" w:cs="宋体"/>
          <w:color w:val="000000" w:themeColor="text1"/>
          <w:kern w:val="2"/>
          <w:sz w:val="21"/>
          <w:szCs w:val="24"/>
          <w:highlight w:val="none"/>
          <w14:textFill>
            <w14:solidFill>
              <w14:schemeClr w14:val="tx1"/>
            </w14:solidFill>
          </w14:textFill>
        </w:rPr>
        <w:t>现场声压级达到国家一级标准，满足现场会议扩声和演艺的使用需求。</w:t>
      </w:r>
    </w:p>
    <w:p>
      <w:pPr>
        <w:pStyle w:val="3"/>
        <w:adjustRightInd w:val="0"/>
        <w:snapToGrid w:val="0"/>
        <w:spacing w:after="0" w:line="240" w:lineRule="auto"/>
        <w:outlineLvl w:val="4"/>
        <w:rPr>
          <w:rFonts w:hint="eastAsia" w:ascii="宋体" w:hAnsi="宋体" w:eastAsia="宋体" w:cs="宋体"/>
          <w:color w:val="000000" w:themeColor="text1"/>
          <w:kern w:val="2"/>
          <w:sz w:val="21"/>
          <w:szCs w:val="24"/>
          <w:highlight w:val="none"/>
          <w14:textFill>
            <w14:solidFill>
              <w14:schemeClr w14:val="tx1"/>
            </w14:solidFill>
          </w14:textFill>
        </w:rPr>
      </w:pPr>
      <w:r>
        <w:rPr>
          <w:rFonts w:hint="eastAsia" w:ascii="宋体" w:hAnsi="宋体" w:eastAsia="宋体" w:cs="宋体"/>
          <w:b/>
          <w:color w:val="000000" w:themeColor="text1"/>
          <w:kern w:val="2"/>
          <w:sz w:val="24"/>
          <w:szCs w:val="24"/>
          <w:highlight w:val="none"/>
          <w14:textFill>
            <w14:solidFill>
              <w14:schemeClr w14:val="tx1"/>
            </w14:solidFill>
          </w14:textFill>
        </w:rPr>
        <w:t>2.</w:t>
      </w:r>
      <w:r>
        <w:rPr>
          <w:rFonts w:hint="eastAsia" w:ascii="宋体" w:hAnsi="宋体" w:eastAsia="宋体" w:cs="宋体"/>
          <w:b/>
          <w:color w:val="000000" w:themeColor="text1"/>
          <w:kern w:val="2"/>
          <w:sz w:val="24"/>
          <w:szCs w:val="24"/>
          <w:highlight w:val="none"/>
          <w:lang w:val="en-US" w:eastAsia="zh-CN"/>
          <w14:textFill>
            <w14:solidFill>
              <w14:schemeClr w14:val="tx1"/>
            </w14:solidFill>
          </w14:textFill>
        </w:rPr>
        <w:t>7</w:t>
      </w:r>
      <w:r>
        <w:rPr>
          <w:rFonts w:hint="eastAsia" w:ascii="宋体" w:hAnsi="宋体" w:eastAsia="宋体" w:cs="宋体"/>
          <w:b/>
          <w:color w:val="000000" w:themeColor="text1"/>
          <w:kern w:val="2"/>
          <w:sz w:val="24"/>
          <w:szCs w:val="24"/>
          <w:highlight w:val="none"/>
          <w14:textFill>
            <w14:solidFill>
              <w14:schemeClr w14:val="tx1"/>
            </w14:solidFill>
          </w14:textFill>
        </w:rPr>
        <w:t>.4.2音频处理系统</w:t>
      </w:r>
    </w:p>
    <w:p>
      <w:pPr>
        <w:pStyle w:val="3"/>
        <w:numPr>
          <w:ilvl w:val="0"/>
          <w:numId w:val="10"/>
        </w:numPr>
        <w:adjustRightInd w:val="0"/>
        <w:snapToGrid w:val="0"/>
        <w:spacing w:after="0" w:line="240" w:lineRule="auto"/>
        <w:rPr>
          <w:rFonts w:hint="eastAsia" w:ascii="宋体" w:hAnsi="宋体" w:eastAsia="宋体" w:cs="宋体"/>
          <w:color w:val="000000" w:themeColor="text1"/>
          <w:kern w:val="2"/>
          <w:sz w:val="21"/>
          <w:szCs w:val="24"/>
          <w:highlight w:val="none"/>
          <w14:textFill>
            <w14:solidFill>
              <w14:schemeClr w14:val="tx1"/>
            </w14:solidFill>
          </w14:textFill>
        </w:rPr>
      </w:pPr>
      <w:r>
        <w:rPr>
          <w:rFonts w:hint="eastAsia" w:ascii="宋体" w:hAnsi="宋体" w:eastAsia="宋体" w:cs="宋体"/>
          <w:color w:val="000000" w:themeColor="text1"/>
          <w:kern w:val="2"/>
          <w:sz w:val="21"/>
          <w:szCs w:val="24"/>
          <w:highlight w:val="none"/>
          <w14:textFill>
            <w14:solidFill>
              <w14:schemeClr w14:val="tx1"/>
            </w14:solidFill>
          </w14:textFill>
        </w:rPr>
        <w:t>20路数字调音台一台，带编组输出；主要用于实现混音、增益调节、均衡、效果调节等功能。</w:t>
      </w:r>
    </w:p>
    <w:p>
      <w:pPr>
        <w:pStyle w:val="3"/>
        <w:numPr>
          <w:ilvl w:val="0"/>
          <w:numId w:val="10"/>
        </w:numPr>
        <w:adjustRightInd w:val="0"/>
        <w:snapToGrid w:val="0"/>
        <w:spacing w:after="0" w:line="240" w:lineRule="auto"/>
        <w:rPr>
          <w:rFonts w:hint="eastAsia" w:ascii="宋体" w:hAnsi="宋体" w:eastAsia="宋体" w:cs="宋体"/>
          <w:color w:val="000000" w:themeColor="text1"/>
          <w:kern w:val="2"/>
          <w:sz w:val="21"/>
          <w:szCs w:val="24"/>
          <w:highlight w:val="none"/>
          <w14:textFill>
            <w14:solidFill>
              <w14:schemeClr w14:val="tx1"/>
            </w14:solidFill>
          </w14:textFill>
        </w:rPr>
      </w:pPr>
      <w:r>
        <w:rPr>
          <w:rFonts w:hint="eastAsia" w:ascii="宋体" w:hAnsi="宋体" w:eastAsia="宋体" w:cs="宋体"/>
          <w:color w:val="000000" w:themeColor="text1"/>
          <w:kern w:val="2"/>
          <w:sz w:val="21"/>
          <w:szCs w:val="24"/>
          <w:highlight w:val="none"/>
          <w14:textFill>
            <w14:solidFill>
              <w14:schemeClr w14:val="tx1"/>
            </w14:solidFill>
          </w14:textFill>
        </w:rPr>
        <w:t>数字音频处理器1台，主要用于音频矩阵切换、反馈抑制、前级放大、均衡调节、声音滤波、处理音色效果、高端场所专用处理器，内置FIR滤波器等功能，保证音质饱满无杂音。</w:t>
      </w:r>
    </w:p>
    <w:p>
      <w:pPr>
        <w:pStyle w:val="3"/>
        <w:numPr>
          <w:ilvl w:val="0"/>
          <w:numId w:val="10"/>
        </w:numPr>
        <w:adjustRightInd w:val="0"/>
        <w:snapToGrid w:val="0"/>
        <w:spacing w:after="0" w:line="240" w:lineRule="auto"/>
        <w:rPr>
          <w:rFonts w:hint="eastAsia" w:ascii="宋体" w:hAnsi="宋体" w:eastAsia="宋体" w:cs="宋体"/>
          <w:color w:val="000000" w:themeColor="text1"/>
          <w:kern w:val="2"/>
          <w:sz w:val="21"/>
          <w:szCs w:val="24"/>
          <w:highlight w:val="none"/>
          <w14:textFill>
            <w14:solidFill>
              <w14:schemeClr w14:val="tx1"/>
            </w14:solidFill>
          </w14:textFill>
        </w:rPr>
      </w:pPr>
      <w:r>
        <w:rPr>
          <w:rFonts w:hint="eastAsia" w:ascii="宋体" w:hAnsi="宋体" w:eastAsia="宋体" w:cs="宋体"/>
          <w:color w:val="000000" w:themeColor="text1"/>
          <w:kern w:val="2"/>
          <w:sz w:val="21"/>
          <w:szCs w:val="24"/>
          <w:highlight w:val="none"/>
          <w14:textFill>
            <w14:solidFill>
              <w14:schemeClr w14:val="tx1"/>
            </w14:solidFill>
          </w14:textFill>
        </w:rPr>
        <w:t>拾音话筒：包括无线数字</w:t>
      </w:r>
      <w:r>
        <w:rPr>
          <w:rFonts w:hint="eastAsia" w:ascii="宋体" w:hAnsi="宋体" w:eastAsia="宋体" w:cs="宋体"/>
          <w:color w:val="000000" w:themeColor="text1"/>
          <w:kern w:val="2"/>
          <w:sz w:val="21"/>
          <w:szCs w:val="24"/>
          <w:highlight w:val="none"/>
          <w:lang w:eastAsia="zh-CN"/>
          <w14:textFill>
            <w14:solidFill>
              <w14:schemeClr w14:val="tx1"/>
            </w14:solidFill>
          </w14:textFill>
        </w:rPr>
        <w:t>会议</w:t>
      </w:r>
      <w:r>
        <w:rPr>
          <w:rFonts w:hint="eastAsia" w:ascii="宋体" w:hAnsi="宋体" w:eastAsia="宋体" w:cs="宋体"/>
          <w:color w:val="000000" w:themeColor="text1"/>
          <w:kern w:val="2"/>
          <w:sz w:val="21"/>
          <w:szCs w:val="24"/>
          <w:highlight w:val="none"/>
          <w14:textFill>
            <w14:solidFill>
              <w14:schemeClr w14:val="tx1"/>
            </w14:solidFill>
          </w14:textFill>
        </w:rPr>
        <w:t>系统一套（至少包含主席话筒1个及代表单元4个）、一拖二无线手持话筒2套、一拖二无线头戴话筒1套、有线话筒两支。</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.7</w:t>
      </w:r>
      <w:r>
        <w:rPr>
          <w:rFonts w:hint="eastAsia" w:ascii="宋体" w:hAnsi="宋体" w:eastAsia="宋体" w:cs="宋体"/>
          <w:b/>
          <w:color w:val="000000" w:themeColor="text1"/>
          <w:sz w:val="28"/>
          <w:szCs w:val="28"/>
          <w:highlight w:val="none"/>
          <w14:textFill>
            <w14:solidFill>
              <w14:schemeClr w14:val="tx1"/>
            </w14:solidFill>
          </w14:textFill>
        </w:rPr>
        <w:t>.5系统功能</w:t>
      </w:r>
    </w:p>
    <w:p>
      <w:pPr>
        <w:pStyle w:val="3"/>
        <w:adjustRightInd w:val="0"/>
        <w:snapToGrid w:val="0"/>
        <w:spacing w:after="0" w:line="240" w:lineRule="auto"/>
        <w:ind w:firstLine="420" w:firstLineChars="200"/>
        <w:rPr>
          <w:rFonts w:hint="eastAsia" w:ascii="宋体" w:hAnsi="宋体" w:eastAsia="宋体" w:cs="宋体"/>
          <w:color w:val="000000" w:themeColor="text1"/>
          <w:kern w:val="2"/>
          <w:sz w:val="21"/>
          <w:szCs w:val="24"/>
          <w:highlight w:val="none"/>
          <w14:textFill>
            <w14:solidFill>
              <w14:schemeClr w14:val="tx1"/>
            </w14:solidFill>
          </w14:textFill>
        </w:rPr>
      </w:pPr>
      <w:r>
        <w:rPr>
          <w:rFonts w:hint="eastAsia" w:ascii="宋体" w:hAnsi="宋体" w:eastAsia="宋体" w:cs="宋体"/>
          <w:color w:val="000000" w:themeColor="text1"/>
          <w:kern w:val="2"/>
          <w:sz w:val="21"/>
          <w:szCs w:val="24"/>
          <w:highlight w:val="none"/>
          <w14:textFill>
            <w14:solidFill>
              <w14:schemeClr w14:val="tx1"/>
            </w14:solidFill>
          </w14:textFill>
        </w:rPr>
        <w:t>由于礼堂舞台主要用于开奖活动、讨论会议、培训活动等，需要灵活布置以满足多功能需求，所以礼堂需要设计WIFI会议系统，采用WIFI无线连接方式，发言单元不需要布线，外形美观，安装灵活，使用非常方便，保密性强，性能稳定。系统需满足以下功能：</w:t>
      </w:r>
    </w:p>
    <w:p>
      <w:pPr>
        <w:pStyle w:val="10"/>
        <w:numPr>
          <w:ilvl w:val="0"/>
          <w:numId w:val="11"/>
        </w:numPr>
        <w:tabs>
          <w:tab w:val="left" w:pos="0"/>
        </w:tabs>
        <w:adjustRightInd w:val="0"/>
        <w:snapToGrid w:val="0"/>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会场主持说话时声音细腻、人声音色还原性好；</w:t>
      </w:r>
    </w:p>
    <w:p>
      <w:pPr>
        <w:pStyle w:val="10"/>
        <w:numPr>
          <w:ilvl w:val="0"/>
          <w:numId w:val="11"/>
        </w:numPr>
        <w:tabs>
          <w:tab w:val="left" w:pos="0"/>
        </w:tabs>
        <w:adjustRightInd w:val="0"/>
        <w:snapToGrid w:val="0"/>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播放视频和音乐时，声音的覆盖全面，声压级达到一级标准；</w:t>
      </w:r>
    </w:p>
    <w:p>
      <w:pPr>
        <w:pStyle w:val="10"/>
        <w:numPr>
          <w:ilvl w:val="0"/>
          <w:numId w:val="11"/>
        </w:numPr>
        <w:tabs>
          <w:tab w:val="left" w:pos="0"/>
        </w:tabs>
        <w:adjustRightInd w:val="0"/>
        <w:snapToGrid w:val="0"/>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声音饱满、低音厚重有劲感染力强；</w:t>
      </w:r>
    </w:p>
    <w:p>
      <w:pPr>
        <w:pStyle w:val="10"/>
        <w:numPr>
          <w:ilvl w:val="0"/>
          <w:numId w:val="11"/>
        </w:numPr>
        <w:tabs>
          <w:tab w:val="left" w:pos="0"/>
        </w:tabs>
        <w:adjustRightInd w:val="0"/>
        <w:snapToGrid w:val="0"/>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音色清新自然、有非常高的清晰度和丰满度；</w:t>
      </w:r>
    </w:p>
    <w:p>
      <w:pPr>
        <w:pStyle w:val="10"/>
        <w:numPr>
          <w:ilvl w:val="0"/>
          <w:numId w:val="11"/>
        </w:numPr>
        <w:tabs>
          <w:tab w:val="left" w:pos="0"/>
        </w:tabs>
        <w:adjustRightInd w:val="0"/>
        <w:snapToGrid w:val="0"/>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扬声器和后级功放都具有过载保护过热保护功能，保证设备的稳定性和安全</w:t>
      </w:r>
      <w:r>
        <w:rPr>
          <w:rFonts w:hint="eastAsia" w:ascii="宋体" w:hAnsi="宋体" w:eastAsia="宋体" w:cs="宋体"/>
          <w:color w:val="000000" w:themeColor="text1"/>
          <w:highlight w:val="none"/>
          <w:lang w:eastAsia="zh-CN"/>
          <w14:textFill>
            <w14:solidFill>
              <w14:schemeClr w14:val="tx1"/>
            </w14:solidFill>
          </w14:textFill>
        </w:rPr>
        <w:t>；</w:t>
      </w:r>
    </w:p>
    <w:p>
      <w:pPr>
        <w:pStyle w:val="10"/>
        <w:numPr>
          <w:ilvl w:val="0"/>
          <w:numId w:val="11"/>
        </w:numPr>
        <w:tabs>
          <w:tab w:val="left" w:pos="0"/>
        </w:tabs>
        <w:adjustRightInd w:val="0"/>
        <w:snapToGrid w:val="0"/>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扬声器的位置在建筑上应当是合理的，美观安全，不影响其他设备的使用；</w:t>
      </w:r>
    </w:p>
    <w:p>
      <w:pPr>
        <w:pStyle w:val="10"/>
        <w:numPr>
          <w:ilvl w:val="0"/>
          <w:numId w:val="11"/>
        </w:numPr>
        <w:tabs>
          <w:tab w:val="left" w:pos="0"/>
        </w:tabs>
        <w:adjustRightInd w:val="0"/>
        <w:snapToGrid w:val="0"/>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控制声反馈和避免产生回声干扰。</w:t>
      </w:r>
    </w:p>
    <w:p>
      <w:pPr>
        <w:widowControl/>
        <w:jc w:val="left"/>
        <w:rPr>
          <w:rFonts w:hint="eastAsia" w:ascii="宋体" w:hAnsi="宋体" w:eastAsia="宋体" w:cs="宋体"/>
          <w:b/>
          <w:color w:val="000000" w:themeColor="text1"/>
          <w:sz w:val="28"/>
          <w:highlight w:val="none"/>
          <w14:textFill>
            <w14:solidFill>
              <w14:schemeClr w14:val="tx1"/>
            </w14:solidFill>
          </w14:textFill>
        </w:rPr>
      </w:pPr>
    </w:p>
    <w:p>
      <w:pPr>
        <w:outlineLvl w:val="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8"/>
          <w:highlight w:val="none"/>
          <w14:textFill>
            <w14:solidFill>
              <w14:schemeClr w14:val="tx1"/>
            </w14:solidFill>
          </w14:textFill>
        </w:rPr>
        <w:t>2.</w:t>
      </w:r>
      <w:r>
        <w:rPr>
          <w:rFonts w:hint="eastAsia" w:ascii="宋体" w:hAnsi="宋体" w:eastAsia="宋体" w:cs="宋体"/>
          <w:b/>
          <w:color w:val="000000" w:themeColor="text1"/>
          <w:sz w:val="28"/>
          <w:highlight w:val="none"/>
          <w:lang w:val="en-US" w:eastAsia="zh-CN"/>
          <w14:textFill>
            <w14:solidFill>
              <w14:schemeClr w14:val="tx1"/>
            </w14:solidFill>
          </w14:textFill>
        </w:rPr>
        <w:t>8</w:t>
      </w:r>
      <w:r>
        <w:rPr>
          <w:rFonts w:hint="eastAsia" w:ascii="宋体" w:hAnsi="宋体" w:eastAsia="宋体" w:cs="宋体"/>
          <w:b/>
          <w:color w:val="000000" w:themeColor="text1"/>
          <w:sz w:val="28"/>
          <w:highlight w:val="none"/>
          <w14:textFill>
            <w14:solidFill>
              <w14:schemeClr w14:val="tx1"/>
            </w14:solidFill>
          </w14:textFill>
        </w:rPr>
        <w:t>舞台灯光系统</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w:t>
      </w:r>
      <w:r>
        <w:rPr>
          <w:rFonts w:hint="eastAsia" w:ascii="宋体" w:hAnsi="宋体" w:eastAsia="宋体" w:cs="宋体"/>
          <w:b/>
          <w:color w:val="000000" w:themeColor="text1"/>
          <w:sz w:val="26"/>
          <w:highlight w:val="none"/>
          <w:lang w:val="en-US" w:eastAsia="zh-CN"/>
          <w14:textFill>
            <w14:solidFill>
              <w14:schemeClr w14:val="tx1"/>
            </w14:solidFill>
          </w14:textFill>
        </w:rPr>
        <w:t>8</w:t>
      </w:r>
      <w:r>
        <w:rPr>
          <w:rFonts w:hint="eastAsia" w:ascii="宋体" w:hAnsi="宋体" w:eastAsia="宋体" w:cs="宋体"/>
          <w:b/>
          <w:color w:val="000000" w:themeColor="text1"/>
          <w:sz w:val="26"/>
          <w:highlight w:val="none"/>
          <w14:textFill>
            <w14:solidFill>
              <w14:schemeClr w14:val="tx1"/>
            </w14:solidFill>
          </w14:textFill>
        </w:rPr>
        <w:t>.1系统概述</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针对礼堂舞台的特点，设计多种类型的灯光搭配，利用灯光烘托不同场景下需要的氛围，呈现出美轮美焕的现场效果。在平时可以采用白光进行日常照明，当有演出、活动时可以采用全彩模式，通过灯光控台可以提前预设相应的场景，也可以随意调控。</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w:t>
      </w:r>
      <w:r>
        <w:rPr>
          <w:rFonts w:hint="eastAsia" w:ascii="宋体" w:hAnsi="宋体" w:eastAsia="宋体" w:cs="宋体"/>
          <w:b/>
          <w:color w:val="000000" w:themeColor="text1"/>
          <w:sz w:val="26"/>
          <w:highlight w:val="none"/>
          <w:lang w:val="en-US" w:eastAsia="zh-CN"/>
          <w14:textFill>
            <w14:solidFill>
              <w14:schemeClr w14:val="tx1"/>
            </w14:solidFill>
          </w14:textFill>
        </w:rPr>
        <w:t>8</w:t>
      </w:r>
      <w:r>
        <w:rPr>
          <w:rFonts w:hint="eastAsia" w:ascii="宋体" w:hAnsi="宋体" w:eastAsia="宋体" w:cs="宋体"/>
          <w:b/>
          <w:color w:val="000000" w:themeColor="text1"/>
          <w:sz w:val="26"/>
          <w:highlight w:val="none"/>
          <w14:textFill>
            <w14:solidFill>
              <w14:schemeClr w14:val="tx1"/>
            </w14:solidFill>
          </w14:textFill>
        </w:rPr>
        <w:t>.2系统架构</w:t>
      </w:r>
    </w:p>
    <w:p>
      <w:pPr>
        <w:ind w:firstLine="49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舞台灯光系统主要由数字调光系统和舞台灯具及效果设备组成。数字调光系统由调光设备和传输网络两大部分组成。</w:t>
      </w:r>
    </w:p>
    <w:p>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271135" cy="2453640"/>
            <wp:effectExtent l="0" t="0" r="5715" b="3810"/>
            <wp:docPr id="3" name="图片 3" descr="e7441e8f10480a3182138a3ae2a7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7441e8f10480a3182138a3ae2a713b"/>
                    <pic:cNvPicPr>
                      <a:picLocks noChangeAspect="1"/>
                    </pic:cNvPicPr>
                  </pic:nvPicPr>
                  <pic:blipFill>
                    <a:blip r:embed="rId8"/>
                    <a:stretch>
                      <a:fillRect/>
                    </a:stretch>
                  </pic:blipFill>
                  <pic:spPr>
                    <a:xfrm>
                      <a:off x="0" y="0"/>
                      <a:ext cx="5271135" cy="2453640"/>
                    </a:xfrm>
                    <a:prstGeom prst="rect">
                      <a:avLst/>
                    </a:prstGeom>
                  </pic:spPr>
                </pic:pic>
              </a:graphicData>
            </a:graphic>
          </wp:inline>
        </w:drawing>
      </w:r>
    </w:p>
    <w:p>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2"/>
          <w:highlight w:val="none"/>
          <w14:textFill>
            <w14:solidFill>
              <w14:schemeClr w14:val="tx1"/>
            </w14:solidFill>
          </w14:textFill>
        </w:rPr>
        <w:t>图5舞台灯光系统架构图</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w:t>
      </w:r>
      <w:r>
        <w:rPr>
          <w:rFonts w:hint="eastAsia" w:ascii="宋体" w:hAnsi="宋体" w:eastAsia="宋体" w:cs="宋体"/>
          <w:b/>
          <w:color w:val="000000" w:themeColor="text1"/>
          <w:sz w:val="26"/>
          <w:highlight w:val="none"/>
          <w:lang w:val="en-US" w:eastAsia="zh-CN"/>
          <w14:textFill>
            <w14:solidFill>
              <w14:schemeClr w14:val="tx1"/>
            </w14:solidFill>
          </w14:textFill>
        </w:rPr>
        <w:t>8</w:t>
      </w:r>
      <w:r>
        <w:rPr>
          <w:rFonts w:hint="eastAsia" w:ascii="宋体" w:hAnsi="宋体" w:eastAsia="宋体" w:cs="宋体"/>
          <w:b/>
          <w:color w:val="000000" w:themeColor="text1"/>
          <w:sz w:val="26"/>
          <w:highlight w:val="none"/>
          <w14:textFill>
            <w14:solidFill>
              <w14:schemeClr w14:val="tx1"/>
            </w14:solidFill>
          </w14:textFill>
        </w:rPr>
        <w:t>.3系统配置</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w:t>
      </w:r>
      <w:r>
        <w:rPr>
          <w:rFonts w:hint="eastAsia" w:ascii="宋体" w:hAnsi="宋体" w:eastAsia="宋体" w:cs="宋体"/>
          <w:b/>
          <w:color w:val="000000" w:themeColor="text1"/>
          <w:sz w:val="24"/>
          <w:highlight w:val="none"/>
          <w:lang w:val="en-US" w:eastAsia="zh-CN"/>
          <w14:textFill>
            <w14:solidFill>
              <w14:schemeClr w14:val="tx1"/>
            </w14:solidFill>
          </w14:textFill>
        </w:rPr>
        <w:t>8</w:t>
      </w:r>
      <w:r>
        <w:rPr>
          <w:rFonts w:hint="eastAsia" w:ascii="宋体" w:hAnsi="宋体" w:eastAsia="宋体" w:cs="宋体"/>
          <w:b/>
          <w:color w:val="000000" w:themeColor="text1"/>
          <w:sz w:val="24"/>
          <w:highlight w:val="none"/>
          <w14:textFill>
            <w14:solidFill>
              <w14:schemeClr w14:val="tx1"/>
            </w14:solidFill>
          </w14:textFill>
        </w:rPr>
        <w:t>.3.1面光灯配置</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面光是指向表演区前半部的正面灯光，观众能看清舞台上的表演（人和物），最主要的光位是正面光，它和观众的视线一致。它的主要功能是正面的照明，照明区域在表演前区、舞台纵深的三分之一的位置；平行布光，自左至右布匀照亮。</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本项目中，因为面光的距离到舞台的距离比较远；所以采用</w:t>
      </w:r>
      <w:r>
        <w:rPr>
          <w:rFonts w:hint="eastAsia" w:ascii="宋体" w:hAnsi="宋体" w:eastAsia="宋体" w:cs="宋体"/>
          <w:color w:val="000000" w:themeColor="text1"/>
          <w:highlight w:val="none"/>
          <w:lang w:val="en-US" w:eastAsia="zh-CN"/>
          <w14:textFill>
            <w14:solidFill>
              <w14:schemeClr w14:val="tx1"/>
            </w14:solidFill>
          </w14:textFill>
        </w:rPr>
        <w:t>8</w:t>
      </w:r>
      <w:r>
        <w:rPr>
          <w:rFonts w:hint="eastAsia" w:ascii="宋体" w:hAnsi="宋体" w:eastAsia="宋体" w:cs="宋体"/>
          <w:color w:val="000000" w:themeColor="text1"/>
          <w:highlight w:val="none"/>
          <w14:textFill>
            <w14:solidFill>
              <w14:schemeClr w14:val="tx1"/>
            </w14:solidFill>
          </w14:textFill>
        </w:rPr>
        <w:t>台大于等于</w:t>
      </w:r>
      <w:r>
        <w:rPr>
          <w:rFonts w:hint="eastAsia" w:ascii="宋体" w:hAnsi="宋体" w:eastAsia="宋体" w:cs="宋体"/>
          <w:color w:val="000000" w:themeColor="text1"/>
          <w:highlight w:val="none"/>
          <w:lang w:val="en-US" w:eastAsia="zh-CN"/>
          <w14:textFill>
            <w14:solidFill>
              <w14:schemeClr w14:val="tx1"/>
            </w14:solidFill>
          </w14:textFill>
        </w:rPr>
        <w:t>250</w:t>
      </w:r>
      <w:r>
        <w:rPr>
          <w:rFonts w:hint="eastAsia" w:ascii="宋体" w:hAnsi="宋体" w:eastAsia="宋体" w:cs="宋体"/>
          <w:color w:val="000000" w:themeColor="text1"/>
          <w:highlight w:val="none"/>
          <w14:textFill>
            <w14:solidFill>
              <w14:schemeClr w14:val="tx1"/>
            </w14:solidFill>
          </w14:textFill>
        </w:rPr>
        <w:t>W嵌入式</w:t>
      </w:r>
      <w:r>
        <w:rPr>
          <w:rFonts w:hint="eastAsia" w:ascii="宋体" w:hAnsi="宋体" w:eastAsia="宋体" w:cs="宋体"/>
          <w:color w:val="000000" w:themeColor="text1"/>
          <w:highlight w:val="none"/>
          <w:lang w:val="en-US" w:eastAsia="zh-CN"/>
          <w14:textFill>
            <w14:solidFill>
              <w14:schemeClr w14:val="tx1"/>
            </w14:solidFill>
          </w14:textFill>
        </w:rPr>
        <w:t>面光灯（电动可调角度）</w:t>
      </w:r>
      <w:r>
        <w:rPr>
          <w:rFonts w:hint="eastAsia" w:ascii="宋体" w:hAnsi="宋体" w:eastAsia="宋体" w:cs="宋体"/>
          <w:color w:val="000000" w:themeColor="text1"/>
          <w:highlight w:val="none"/>
          <w14:textFill>
            <w14:solidFill>
              <w14:schemeClr w14:val="tx1"/>
            </w14:solidFill>
          </w14:textFill>
        </w:rPr>
        <w:t>，保证了舞台面光的照度。</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w:t>
      </w:r>
      <w:r>
        <w:rPr>
          <w:rFonts w:hint="eastAsia" w:ascii="宋体" w:hAnsi="宋体" w:eastAsia="宋体" w:cs="宋体"/>
          <w:b/>
          <w:color w:val="000000" w:themeColor="text1"/>
          <w:sz w:val="24"/>
          <w:highlight w:val="none"/>
          <w:lang w:val="en-US" w:eastAsia="zh-CN"/>
          <w14:textFill>
            <w14:solidFill>
              <w14:schemeClr w14:val="tx1"/>
            </w14:solidFill>
          </w14:textFill>
        </w:rPr>
        <w:t>8</w:t>
      </w:r>
      <w:r>
        <w:rPr>
          <w:rFonts w:hint="eastAsia" w:ascii="宋体" w:hAnsi="宋体" w:eastAsia="宋体" w:cs="宋体"/>
          <w:b/>
          <w:color w:val="000000" w:themeColor="text1"/>
          <w:sz w:val="24"/>
          <w:highlight w:val="none"/>
          <w14:textFill>
            <w14:solidFill>
              <w14:schemeClr w14:val="tx1"/>
            </w14:solidFill>
          </w14:textFill>
        </w:rPr>
        <w:t>.3.2顶光灯配置</w:t>
      </w:r>
    </w:p>
    <w:p>
      <w:pPr>
        <w:ind w:firstLine="48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配置</w:t>
      </w:r>
      <w:r>
        <w:rPr>
          <w:rFonts w:hint="eastAsia" w:ascii="宋体" w:hAnsi="宋体" w:eastAsia="宋体" w:cs="宋体"/>
          <w:color w:val="000000" w:themeColor="text1"/>
          <w:highlight w:val="none"/>
          <w14:textFill>
            <w14:solidFill>
              <w14:schemeClr w14:val="tx1"/>
            </w14:solidFill>
          </w14:textFill>
        </w:rPr>
        <w:t>顶光：</w:t>
      </w: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台大于等于</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00W平板</w:t>
      </w:r>
      <w:r>
        <w:rPr>
          <w:rFonts w:hint="eastAsia" w:ascii="宋体" w:hAnsi="宋体" w:eastAsia="宋体" w:cs="宋体"/>
          <w:color w:val="000000" w:themeColor="text1"/>
          <w:highlight w:val="none"/>
          <w:lang w:eastAsia="zh-CN"/>
          <w14:textFill>
            <w14:solidFill>
              <w14:schemeClr w14:val="tx1"/>
            </w14:solidFill>
          </w14:textFill>
        </w:rPr>
        <w:t>会议</w:t>
      </w:r>
      <w:r>
        <w:rPr>
          <w:rFonts w:hint="eastAsia" w:ascii="宋体" w:hAnsi="宋体" w:eastAsia="宋体" w:cs="宋体"/>
          <w:color w:val="000000" w:themeColor="text1"/>
          <w:highlight w:val="none"/>
          <w14:textFill>
            <w14:solidFill>
              <w14:schemeClr w14:val="tx1"/>
            </w14:solidFill>
          </w14:textFill>
        </w:rPr>
        <w:t>灯（可调色温）</w:t>
      </w:r>
      <w:r>
        <w:rPr>
          <w:rFonts w:hint="eastAsia" w:ascii="宋体" w:hAnsi="宋体" w:eastAsia="宋体" w:cs="宋体"/>
          <w:color w:val="000000" w:themeColor="text1"/>
          <w:highlight w:val="none"/>
          <w:lang w:eastAsia="zh-CN"/>
          <w14:textFill>
            <w14:solidFill>
              <w14:schemeClr w14:val="tx1"/>
            </w14:solidFill>
          </w14:textFill>
        </w:rPr>
        <w:t>；</w:t>
      </w:r>
    </w:p>
    <w:p>
      <w:pPr>
        <w:ind w:firstLine="48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配置8</w:t>
      </w:r>
      <w:r>
        <w:rPr>
          <w:rFonts w:hint="eastAsia" w:ascii="宋体" w:hAnsi="宋体" w:eastAsia="宋体" w:cs="宋体"/>
          <w:color w:val="000000" w:themeColor="text1"/>
          <w:highlight w:val="none"/>
          <w14:textFill>
            <w14:solidFill>
              <w14:schemeClr w14:val="tx1"/>
            </w14:solidFill>
          </w14:textFill>
        </w:rPr>
        <w:t>台大于等于</w:t>
      </w:r>
      <w:r>
        <w:rPr>
          <w:rFonts w:hint="eastAsia" w:ascii="宋体" w:hAnsi="宋体" w:eastAsia="宋体" w:cs="宋体"/>
          <w:color w:val="000000" w:themeColor="text1"/>
          <w:highlight w:val="none"/>
          <w:lang w:val="en-US" w:eastAsia="zh-CN"/>
          <w14:textFill>
            <w14:solidFill>
              <w14:schemeClr w14:val="tx1"/>
            </w14:solidFill>
          </w14:textFill>
        </w:rPr>
        <w:t>120</w:t>
      </w:r>
      <w:r>
        <w:rPr>
          <w:rFonts w:hint="eastAsia" w:ascii="宋体" w:hAnsi="宋体" w:eastAsia="宋体" w:cs="宋体"/>
          <w:color w:val="000000" w:themeColor="text1"/>
          <w:highlight w:val="none"/>
          <w14:textFill>
            <w14:solidFill>
              <w14:schemeClr w14:val="tx1"/>
            </w14:solidFill>
          </w14:textFill>
        </w:rPr>
        <w:t>W</w:t>
      </w:r>
      <w:r>
        <w:rPr>
          <w:rFonts w:hint="eastAsia" w:ascii="宋体" w:hAnsi="宋体" w:eastAsia="宋体" w:cs="宋体"/>
          <w:color w:val="000000" w:themeColor="text1"/>
          <w:highlight w:val="none"/>
          <w:lang w:val="en-US" w:eastAsia="zh-CN"/>
          <w14:textFill>
            <w14:solidFill>
              <w14:schemeClr w14:val="tx1"/>
            </w14:solidFill>
          </w14:textFill>
        </w:rPr>
        <w:t xml:space="preserve"> LED摇头</w:t>
      </w:r>
      <w:r>
        <w:rPr>
          <w:rFonts w:hint="eastAsia" w:ascii="宋体" w:hAnsi="宋体" w:eastAsia="宋体" w:cs="宋体"/>
          <w:color w:val="000000" w:themeColor="text1"/>
          <w:highlight w:val="none"/>
          <w14:textFill>
            <w14:solidFill>
              <w14:schemeClr w14:val="tx1"/>
            </w14:solidFill>
          </w14:textFill>
        </w:rPr>
        <w:t>染色</w:t>
      </w:r>
      <w:r>
        <w:rPr>
          <w:rFonts w:hint="eastAsia" w:ascii="宋体" w:hAnsi="宋体" w:eastAsia="宋体" w:cs="宋体"/>
          <w:color w:val="000000" w:themeColor="text1"/>
          <w:highlight w:val="none"/>
          <w:lang w:eastAsia="zh-CN"/>
          <w14:textFill>
            <w14:solidFill>
              <w14:schemeClr w14:val="tx1"/>
            </w14:solidFill>
          </w14:textFill>
        </w:rPr>
        <w:t>帕</w:t>
      </w:r>
      <w:r>
        <w:rPr>
          <w:rFonts w:hint="eastAsia" w:ascii="宋体" w:hAnsi="宋体" w:eastAsia="宋体" w:cs="宋体"/>
          <w:color w:val="000000" w:themeColor="text1"/>
          <w:highlight w:val="none"/>
          <w14:textFill>
            <w14:solidFill>
              <w14:schemeClr w14:val="tx1"/>
            </w14:solidFill>
          </w14:textFill>
        </w:rPr>
        <w:t>灯</w:t>
      </w:r>
      <w:r>
        <w:rPr>
          <w:rFonts w:hint="eastAsia" w:ascii="宋体" w:hAnsi="宋体" w:eastAsia="宋体" w:cs="宋体"/>
          <w:color w:val="000000" w:themeColor="text1"/>
          <w:highlight w:val="none"/>
          <w:lang w:val="en-US" w:eastAsia="zh-CN"/>
          <w14:textFill>
            <w14:solidFill>
              <w14:schemeClr w14:val="tx1"/>
            </w14:solidFill>
          </w14:textFill>
        </w:rPr>
        <w:t>（氛围灯）</w:t>
      </w:r>
      <w:r>
        <w:rPr>
          <w:rFonts w:hint="eastAsia" w:ascii="宋体" w:hAnsi="宋体" w:eastAsia="宋体" w:cs="宋体"/>
          <w:color w:val="000000" w:themeColor="text1"/>
          <w:highlight w:val="none"/>
          <w:lang w:eastAsia="zh-CN"/>
          <w14:textFill>
            <w14:solidFill>
              <w14:schemeClr w14:val="tx1"/>
            </w14:solidFill>
          </w14:textFill>
        </w:rPr>
        <w:t>和</w:t>
      </w:r>
      <w:r>
        <w:rPr>
          <w:rFonts w:hint="eastAsia" w:ascii="宋体" w:hAnsi="宋体" w:eastAsia="宋体" w:cs="宋体"/>
          <w:color w:val="000000" w:themeColor="text1"/>
          <w:highlight w:val="none"/>
          <w:lang w:val="en-US" w:eastAsia="zh-CN"/>
          <w14:textFill>
            <w14:solidFill>
              <w14:schemeClr w14:val="tx1"/>
            </w14:solidFill>
          </w14:textFill>
        </w:rPr>
        <w:t>4台智能光束灯，与面光灯安装在同一排</w:t>
      </w:r>
      <w:r>
        <w:rPr>
          <w:rFonts w:hint="eastAsia" w:ascii="宋体" w:hAnsi="宋体" w:eastAsia="宋体" w:cs="宋体"/>
          <w:color w:val="000000" w:themeColor="text1"/>
          <w:highlight w:val="none"/>
          <w:lang w:eastAsia="zh-CN"/>
          <w14:textFill>
            <w14:solidFill>
              <w14:schemeClr w14:val="tx1"/>
            </w14:solidFill>
          </w14:textFill>
        </w:rPr>
        <w:t>。</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w:t>
      </w:r>
      <w:r>
        <w:rPr>
          <w:rFonts w:hint="eastAsia" w:ascii="宋体" w:hAnsi="宋体" w:eastAsia="宋体" w:cs="宋体"/>
          <w:b/>
          <w:color w:val="000000" w:themeColor="text1"/>
          <w:sz w:val="24"/>
          <w:highlight w:val="none"/>
          <w:lang w:val="en-US" w:eastAsia="zh-CN"/>
          <w14:textFill>
            <w14:solidFill>
              <w14:schemeClr w14:val="tx1"/>
            </w14:solidFill>
          </w14:textFill>
        </w:rPr>
        <w:t>8</w:t>
      </w:r>
      <w:r>
        <w:rPr>
          <w:rFonts w:hint="eastAsia" w:ascii="宋体" w:hAnsi="宋体" w:eastAsia="宋体" w:cs="宋体"/>
          <w:b/>
          <w:color w:val="000000" w:themeColor="text1"/>
          <w:sz w:val="24"/>
          <w:highlight w:val="none"/>
          <w14:textFill>
            <w14:solidFill>
              <w14:schemeClr w14:val="tx1"/>
            </w14:solidFill>
          </w14:textFill>
        </w:rPr>
        <w:t>.3.3其余配置</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控台</w:t>
      </w:r>
      <w:r>
        <w:rPr>
          <w:rFonts w:hint="eastAsia" w:ascii="宋体" w:hAnsi="宋体" w:eastAsia="宋体" w:cs="宋体"/>
          <w:color w:val="000000" w:themeColor="text1"/>
          <w:highlight w:val="none"/>
          <w14:textFill>
            <w14:solidFill>
              <w14:schemeClr w14:val="tx1"/>
            </w14:solidFill>
          </w14:textFill>
        </w:rPr>
        <w:t>1台；</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信号放大器1台；</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直通箱1台。</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w:t>
      </w:r>
      <w:r>
        <w:rPr>
          <w:rFonts w:hint="eastAsia" w:ascii="宋体" w:hAnsi="宋体" w:eastAsia="宋体" w:cs="宋体"/>
          <w:b/>
          <w:color w:val="000000" w:themeColor="text1"/>
          <w:sz w:val="26"/>
          <w:highlight w:val="none"/>
          <w:lang w:val="en-US" w:eastAsia="zh-CN"/>
          <w14:textFill>
            <w14:solidFill>
              <w14:schemeClr w14:val="tx1"/>
            </w14:solidFill>
          </w14:textFill>
        </w:rPr>
        <w:t>8</w:t>
      </w:r>
      <w:r>
        <w:rPr>
          <w:rFonts w:hint="eastAsia" w:ascii="宋体" w:hAnsi="宋体" w:eastAsia="宋体" w:cs="宋体"/>
          <w:b/>
          <w:color w:val="000000" w:themeColor="text1"/>
          <w:sz w:val="26"/>
          <w:highlight w:val="none"/>
          <w14:textFill>
            <w14:solidFill>
              <w14:schemeClr w14:val="tx1"/>
            </w14:solidFill>
          </w14:textFill>
        </w:rPr>
        <w:t>.4系统功能</w:t>
      </w:r>
    </w:p>
    <w:p>
      <w:pPr>
        <w:adjustRightInd w:val="0"/>
        <w:snapToGrid w:val="0"/>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保持整个舞台区域的亮度均匀一致，可以根据需求进行会场染色，也可以进行色彩变换，提供别样的开奖效果。</w:t>
      </w:r>
    </w:p>
    <w:p>
      <w:pPr>
        <w:adjustRightInd w:val="0"/>
        <w:snapToGrid w:val="0"/>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灯光调节方式多样化，并且可以结合中控系统进行场景预设，使用无线平板即可快速调节。</w:t>
      </w:r>
    </w:p>
    <w:p>
      <w:pPr>
        <w:adjustRightInd w:val="0"/>
        <w:snapToGrid w:val="0"/>
        <w:ind w:firstLine="420" w:firstLineChars="200"/>
        <w:rPr>
          <w:rFonts w:hint="eastAsia" w:ascii="宋体" w:hAnsi="宋体" w:eastAsia="宋体" w:cs="宋体"/>
          <w:color w:val="000000" w:themeColor="text1"/>
          <w:highlight w:val="none"/>
          <w14:textFill>
            <w14:solidFill>
              <w14:schemeClr w14:val="tx1"/>
            </w14:solidFill>
          </w14:textFill>
        </w:rPr>
      </w:pPr>
    </w:p>
    <w:p>
      <w:pPr>
        <w:outlineLvl w:val="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8"/>
          <w:highlight w:val="none"/>
          <w14:textFill>
            <w14:solidFill>
              <w14:schemeClr w14:val="tx1"/>
            </w14:solidFill>
          </w14:textFill>
        </w:rPr>
        <w:t>2.</w:t>
      </w:r>
      <w:r>
        <w:rPr>
          <w:rFonts w:hint="eastAsia" w:ascii="宋体" w:hAnsi="宋体" w:eastAsia="宋体" w:cs="宋体"/>
          <w:b/>
          <w:color w:val="000000" w:themeColor="text1"/>
          <w:sz w:val="28"/>
          <w:highlight w:val="none"/>
          <w:lang w:val="en-US" w:eastAsia="zh-CN"/>
          <w14:textFill>
            <w14:solidFill>
              <w14:schemeClr w14:val="tx1"/>
            </w14:solidFill>
          </w14:textFill>
        </w:rPr>
        <w:t>9</w:t>
      </w:r>
      <w:r>
        <w:rPr>
          <w:rFonts w:hint="eastAsia" w:ascii="宋体" w:hAnsi="宋体" w:eastAsia="宋体" w:cs="宋体"/>
          <w:b/>
          <w:color w:val="000000" w:themeColor="text1"/>
          <w:sz w:val="28"/>
          <w:highlight w:val="none"/>
          <w14:textFill>
            <w14:solidFill>
              <w14:schemeClr w14:val="tx1"/>
            </w14:solidFill>
          </w14:textFill>
        </w:rPr>
        <w:t>中控系统</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w:t>
      </w:r>
      <w:r>
        <w:rPr>
          <w:rFonts w:hint="eastAsia" w:ascii="宋体" w:hAnsi="宋体" w:eastAsia="宋体" w:cs="宋体"/>
          <w:b/>
          <w:color w:val="000000" w:themeColor="text1"/>
          <w:sz w:val="26"/>
          <w:highlight w:val="none"/>
          <w:lang w:val="en-US" w:eastAsia="zh-CN"/>
          <w14:textFill>
            <w14:solidFill>
              <w14:schemeClr w14:val="tx1"/>
            </w14:solidFill>
          </w14:textFill>
        </w:rPr>
        <w:t>9</w:t>
      </w:r>
      <w:r>
        <w:rPr>
          <w:rFonts w:hint="eastAsia" w:ascii="宋体" w:hAnsi="宋体" w:eastAsia="宋体" w:cs="宋体"/>
          <w:b/>
          <w:color w:val="000000" w:themeColor="text1"/>
          <w:sz w:val="26"/>
          <w:highlight w:val="none"/>
          <w14:textFill>
            <w14:solidFill>
              <w14:schemeClr w14:val="tx1"/>
            </w14:solidFill>
          </w14:textFill>
        </w:rPr>
        <w:t>.1系统概述</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中控系统是通过网络进行部署，通过管理平台对礼堂进行统一控制管理。本会场的设备数量较多、系统复杂，需要增加一套中控系统用于全局把控，通过中控系统可以控制会场的灯光设备、扩声设备、LED显示系统等，并且为了方便使用，增加配置一套移动中控软件，安装在无线平板上，可以随意移动、随意操作。</w:t>
      </w:r>
    </w:p>
    <w:p>
      <w:pPr>
        <w:outlineLvl w:val="3"/>
        <w:rPr>
          <w:rFonts w:hint="eastAsia" w:ascii="宋体" w:hAnsi="宋体" w:eastAsia="宋体" w:cs="宋体"/>
          <w:b/>
          <w:color w:val="000000" w:themeColor="text1"/>
          <w:sz w:val="26"/>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w:t>
      </w:r>
      <w:r>
        <w:rPr>
          <w:rFonts w:hint="eastAsia" w:ascii="宋体" w:hAnsi="宋体" w:eastAsia="宋体" w:cs="宋体"/>
          <w:b/>
          <w:color w:val="000000" w:themeColor="text1"/>
          <w:sz w:val="26"/>
          <w:highlight w:val="none"/>
          <w:lang w:val="en-US" w:eastAsia="zh-CN"/>
          <w14:textFill>
            <w14:solidFill>
              <w14:schemeClr w14:val="tx1"/>
            </w14:solidFill>
          </w14:textFill>
        </w:rPr>
        <w:t>9</w:t>
      </w:r>
      <w:r>
        <w:rPr>
          <w:rFonts w:hint="eastAsia" w:ascii="宋体" w:hAnsi="宋体" w:eastAsia="宋体" w:cs="宋体"/>
          <w:b/>
          <w:color w:val="000000" w:themeColor="text1"/>
          <w:sz w:val="26"/>
          <w:highlight w:val="none"/>
          <w14:textFill>
            <w14:solidFill>
              <w14:schemeClr w14:val="tx1"/>
            </w14:solidFill>
          </w14:textFill>
        </w:rPr>
        <w:t>.2系统架构</w:t>
      </w:r>
    </w:p>
    <w:p>
      <w:pPr>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中控系统需要控制的设备，根据不同的控制协议，接入到中控主机的不同控制端口，中控主机可以直接通过相应的协议对进行设备控制，并且支持网络扩展、接口扩展、场景预设。</w:t>
      </w:r>
    </w:p>
    <w:p>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5274310" cy="2810510"/>
            <wp:effectExtent l="0" t="0" r="254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5274310" cy="2810822"/>
                    </a:xfrm>
                    <a:prstGeom prst="rect">
                      <a:avLst/>
                    </a:prstGeom>
                    <a:noFill/>
                    <a:ln>
                      <a:noFill/>
                    </a:ln>
                  </pic:spPr>
                </pic:pic>
              </a:graphicData>
            </a:graphic>
          </wp:inline>
        </w:drawing>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w:t>
      </w:r>
      <w:r>
        <w:rPr>
          <w:rFonts w:hint="eastAsia" w:ascii="宋体" w:hAnsi="宋体" w:eastAsia="宋体" w:cs="宋体"/>
          <w:b/>
          <w:color w:val="000000" w:themeColor="text1"/>
          <w:sz w:val="26"/>
          <w:highlight w:val="none"/>
          <w:lang w:val="en-US" w:eastAsia="zh-CN"/>
          <w14:textFill>
            <w14:solidFill>
              <w14:schemeClr w14:val="tx1"/>
            </w14:solidFill>
          </w14:textFill>
        </w:rPr>
        <w:t>9</w:t>
      </w:r>
      <w:r>
        <w:rPr>
          <w:rFonts w:hint="eastAsia" w:ascii="宋体" w:hAnsi="宋体" w:eastAsia="宋体" w:cs="宋体"/>
          <w:b/>
          <w:color w:val="000000" w:themeColor="text1"/>
          <w:sz w:val="26"/>
          <w:highlight w:val="none"/>
          <w14:textFill>
            <w14:solidFill>
              <w14:schemeClr w14:val="tx1"/>
            </w14:solidFill>
          </w14:textFill>
        </w:rPr>
        <w:t>.3系统配置</w:t>
      </w:r>
    </w:p>
    <w:p>
      <w:pPr>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中控系统设计一套中控主机，</w:t>
      </w:r>
      <w:r>
        <w:rPr>
          <w:rFonts w:hint="default" w:ascii="宋体" w:hAnsi="宋体" w:eastAsia="宋体" w:cs="宋体"/>
          <w:color w:val="000000" w:themeColor="text1"/>
          <w:highlight w:val="none"/>
          <w:lang w:val="en-US"/>
          <w14:textFill>
            <w14:solidFill>
              <w14:schemeClr w14:val="tx1"/>
            </w14:solidFill>
          </w14:textFill>
        </w:rPr>
        <w:t>通过中控主机对音视频处理器进行控制</w:t>
      </w:r>
      <w:r>
        <w:rPr>
          <w:rFonts w:hint="eastAsia" w:ascii="宋体" w:hAnsi="宋体" w:eastAsia="宋体" w:cs="宋体"/>
          <w:color w:val="000000" w:themeColor="text1"/>
          <w:highlight w:val="none"/>
          <w:lang w:val="en-US" w:eastAsia="zh-CN"/>
          <w14:textFill>
            <w14:solidFill>
              <w14:schemeClr w14:val="tx1"/>
            </w14:solidFill>
          </w14:textFill>
        </w:rPr>
        <w:t>，</w:t>
      </w:r>
      <w:r>
        <w:rPr>
          <w:rFonts w:hint="default" w:ascii="宋体" w:hAnsi="宋体" w:eastAsia="宋体" w:cs="宋体"/>
          <w:color w:val="000000" w:themeColor="text1"/>
          <w:highlight w:val="none"/>
          <w:lang w:val="en-US"/>
          <w14:textFill>
            <w14:solidFill>
              <w14:schemeClr w14:val="tx1"/>
            </w14:solidFill>
          </w14:textFill>
        </w:rPr>
        <w:t>对会场的视频及音频进行切换控制，包括音量大小及信号实时切换等</w:t>
      </w:r>
      <w:r>
        <w:rPr>
          <w:rFonts w:hint="eastAsia" w:ascii="宋体" w:hAnsi="宋体" w:eastAsia="宋体" w:cs="宋体"/>
          <w:color w:val="000000" w:themeColor="text1"/>
          <w:highlight w:val="none"/>
          <w14:textFill>
            <w14:solidFill>
              <w14:schemeClr w14:val="tx1"/>
            </w14:solidFill>
          </w14:textFill>
        </w:rPr>
        <w:t>；</w:t>
      </w:r>
    </w:p>
    <w:p>
      <w:pPr>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中控系统采用无线触摸屏进行操作，中控主机和无线触屏根据会议室时间使用情况，编辑运行控制程序，下载到中控主机和无线触摸屏进行控制运行，在无线触摸屏的控制线，达到音视频切换实时操控，解决繁琐操作。</w:t>
      </w:r>
    </w:p>
    <w:p>
      <w:pPr>
        <w:ind w:firstLine="420" w:firstLineChars="20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设计电源控制器一台，用于控制灯光、显示信号切换控制、音响音量及效果控制，以及帘幕、电动窗帘</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空调</w:t>
      </w:r>
      <w:r>
        <w:rPr>
          <w:rFonts w:hint="eastAsia" w:ascii="宋体" w:hAnsi="宋体" w:eastAsia="宋体" w:cs="宋体"/>
          <w:color w:val="000000" w:themeColor="text1"/>
          <w:highlight w:val="none"/>
          <w14:textFill>
            <w14:solidFill>
              <w14:schemeClr w14:val="tx1"/>
            </w14:solidFill>
          </w14:textFill>
        </w:rPr>
        <w:t>等各个系统开关控制，包括信号调用、一键开关等。</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2.</w:t>
      </w:r>
      <w:r>
        <w:rPr>
          <w:rFonts w:hint="eastAsia" w:ascii="宋体" w:hAnsi="宋体" w:eastAsia="宋体" w:cs="宋体"/>
          <w:b/>
          <w:color w:val="000000" w:themeColor="text1"/>
          <w:sz w:val="26"/>
          <w:highlight w:val="none"/>
          <w:lang w:val="en-US" w:eastAsia="zh-CN"/>
          <w14:textFill>
            <w14:solidFill>
              <w14:schemeClr w14:val="tx1"/>
            </w14:solidFill>
          </w14:textFill>
        </w:rPr>
        <w:t>9</w:t>
      </w:r>
      <w:r>
        <w:rPr>
          <w:rFonts w:hint="eastAsia" w:ascii="宋体" w:hAnsi="宋体" w:eastAsia="宋体" w:cs="宋体"/>
          <w:b/>
          <w:color w:val="000000" w:themeColor="text1"/>
          <w:sz w:val="26"/>
          <w:highlight w:val="none"/>
          <w14:textFill>
            <w14:solidFill>
              <w14:schemeClr w14:val="tx1"/>
            </w14:solidFill>
          </w14:textFill>
        </w:rPr>
        <w:t>.4系统功能</w:t>
      </w:r>
    </w:p>
    <w:p>
      <w:pPr>
        <w:pStyle w:val="4"/>
        <w:spacing w:after="0"/>
        <w:ind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可以控制会场的音视频信号的切换、现场的音量大小。</w:t>
      </w:r>
    </w:p>
    <w:p>
      <w:pPr>
        <w:pStyle w:val="4"/>
        <w:spacing w:after="0"/>
        <w:ind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可以预先设置多种模式，如一键切换为演出模式、一键切换为会议模式。</w:t>
      </w:r>
    </w:p>
    <w:p>
      <w:pPr>
        <w:pStyle w:val="4"/>
        <w:spacing w:after="0"/>
        <w:ind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DIY界面设计：根据现场功能需求，定制软件操作界面和模式，一键即可完成对会场设备、环境的场景式切换。</w:t>
      </w:r>
    </w:p>
    <w:p>
      <w:pPr>
        <w:pStyle w:val="4"/>
        <w:spacing w:after="0"/>
        <w:ind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管控方便：支持移动端（手机或平板等）、支持墙面安装、支持操作台控制、支持桌面控制台方式等，可以满足各类会议室管控的类型；支持有线或者无线方式进行管控，管理人员位置不受限制。</w:t>
      </w:r>
    </w:p>
    <w:p>
      <w:pPr>
        <w:pStyle w:val="4"/>
        <w:spacing w:after="0"/>
        <w:ind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具有权限管理功能：权限管理；定时任务管理；实时反馈目前视频流控制情况，可以让操作人员在人性化的触摸界面上对所有设备的开启和关闭的状态一目了然；大大减轻操作人员工作的劳动强度，并能提高工作效率。</w:t>
      </w:r>
    </w:p>
    <w:p>
      <w:pPr>
        <w:pStyle w:val="4"/>
        <w:spacing w:after="0"/>
        <w:ind w:firstLineChars="200"/>
        <w:rPr>
          <w:rFonts w:hint="eastAsia" w:ascii="宋体" w:hAnsi="宋体" w:eastAsia="宋体" w:cs="宋体"/>
          <w:color w:val="000000" w:themeColor="text1"/>
          <w:highlight w:val="none"/>
          <w14:textFill>
            <w14:solidFill>
              <w14:schemeClr w14:val="tx1"/>
            </w14:solidFill>
          </w14:textFill>
        </w:rPr>
      </w:pPr>
    </w:p>
    <w:p>
      <w:pPr>
        <w:pStyle w:val="4"/>
        <w:spacing w:after="0"/>
        <w:ind w:firstLineChars="200"/>
        <w:rPr>
          <w:rFonts w:hint="eastAsia" w:ascii="宋体" w:hAnsi="宋体" w:eastAsia="宋体" w:cs="宋体"/>
          <w:color w:val="000000" w:themeColor="text1"/>
          <w:highlight w:val="none"/>
          <w14:textFill>
            <w14:solidFill>
              <w14:schemeClr w14:val="tx1"/>
            </w14:solidFill>
          </w14:textFill>
        </w:rPr>
      </w:pP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10</w:t>
      </w:r>
      <w:r>
        <w:rPr>
          <w:rFonts w:hint="eastAsia" w:ascii="宋体" w:hAnsi="宋体" w:eastAsia="宋体" w:cs="宋体"/>
          <w:b/>
          <w:color w:val="000000" w:themeColor="text1"/>
          <w:sz w:val="28"/>
          <w:szCs w:val="28"/>
          <w:highlight w:val="none"/>
          <w14:textFill>
            <w14:solidFill>
              <w14:schemeClr w14:val="tx1"/>
            </w14:solidFill>
          </w14:textFill>
        </w:rPr>
        <w:t xml:space="preserve"> </w:t>
      </w:r>
      <w:bookmarkStart w:id="3" w:name="_Hlk165395374"/>
      <w:r>
        <w:rPr>
          <w:rFonts w:hint="eastAsia" w:ascii="宋体" w:hAnsi="宋体" w:eastAsia="宋体" w:cs="宋体"/>
          <w:b/>
          <w:color w:val="000000" w:themeColor="text1"/>
          <w:sz w:val="28"/>
          <w:szCs w:val="28"/>
          <w:highlight w:val="none"/>
          <w14:textFill>
            <w14:solidFill>
              <w14:schemeClr w14:val="tx1"/>
            </w14:solidFill>
          </w14:textFill>
        </w:rPr>
        <w:t>舞台帘幕及窗帘</w:t>
      </w:r>
      <w:bookmarkEnd w:id="3"/>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10</w:t>
      </w:r>
      <w:r>
        <w:rPr>
          <w:rFonts w:hint="eastAsia" w:ascii="宋体" w:hAnsi="宋体" w:eastAsia="宋体" w:cs="宋体"/>
          <w:b/>
          <w:color w:val="000000" w:themeColor="text1"/>
          <w:sz w:val="28"/>
          <w:szCs w:val="28"/>
          <w:highlight w:val="none"/>
          <w14:textFill>
            <w14:solidFill>
              <w14:schemeClr w14:val="tx1"/>
            </w14:solidFill>
          </w14:textFill>
        </w:rPr>
        <w:t>.1系统设计</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舞台帘幕及窗帘主要用于遮蔽和吸音。采用符合国</w:t>
      </w:r>
      <w:r>
        <w:rPr>
          <w:rFonts w:hint="eastAsia" w:ascii="宋体" w:hAnsi="宋体" w:eastAsia="宋体" w:cs="宋体"/>
          <w:color w:val="000000" w:themeColor="text1"/>
          <w:highlight w:val="none"/>
          <w:lang w:eastAsia="zh-CN"/>
          <w14:textFill>
            <w14:solidFill>
              <w14:schemeClr w14:val="tx1"/>
            </w14:solidFill>
          </w14:textFill>
        </w:rPr>
        <w:t>标</w:t>
      </w:r>
      <w:r>
        <w:rPr>
          <w:rFonts w:hint="eastAsia" w:ascii="宋体" w:hAnsi="宋体" w:eastAsia="宋体" w:cs="宋体"/>
          <w:color w:val="000000" w:themeColor="text1"/>
          <w:highlight w:val="none"/>
          <w14:textFill>
            <w14:solidFill>
              <w14:schemeClr w14:val="tx1"/>
            </w14:solidFill>
          </w14:textFill>
        </w:rPr>
        <w:t>的阻燃吸声专业帘幕，电动开合，可受中控系统控制。</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w:t>
      </w:r>
      <w:r>
        <w:rPr>
          <w:rFonts w:hint="eastAsia" w:ascii="宋体" w:hAnsi="宋体" w:eastAsia="宋体" w:cs="宋体"/>
          <w:b/>
          <w:color w:val="000000" w:themeColor="text1"/>
          <w:sz w:val="28"/>
          <w:szCs w:val="28"/>
          <w:highlight w:val="none"/>
          <w:lang w:val="en-US" w:eastAsia="zh-CN"/>
          <w14:textFill>
            <w14:solidFill>
              <w14:schemeClr w14:val="tx1"/>
            </w14:solidFill>
          </w14:textFill>
        </w:rPr>
        <w:t>10</w:t>
      </w:r>
      <w:r>
        <w:rPr>
          <w:rFonts w:hint="eastAsia" w:ascii="宋体" w:hAnsi="宋体" w:eastAsia="宋体" w:cs="宋体"/>
          <w:b/>
          <w:color w:val="000000" w:themeColor="text1"/>
          <w:sz w:val="28"/>
          <w:szCs w:val="28"/>
          <w:highlight w:val="none"/>
          <w14:textFill>
            <w14:solidFill>
              <w14:schemeClr w14:val="tx1"/>
            </w14:solidFill>
          </w14:textFill>
        </w:rPr>
        <w:t>.2系统配置</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设置一对舞台电动对开底幕，有吸音作用，对舞台整体开合，并对</w:t>
      </w:r>
      <w:r>
        <w:rPr>
          <w:rFonts w:hint="eastAsia" w:ascii="宋体" w:hAnsi="宋体" w:eastAsia="宋体" w:cs="宋体"/>
          <w:color w:val="000000" w:themeColor="text1"/>
          <w:highlight w:val="none"/>
          <w:lang w:eastAsia="zh-CN"/>
          <w14:textFill>
            <w14:solidFill>
              <w14:schemeClr w14:val="tx1"/>
            </w14:solidFill>
          </w14:textFill>
        </w:rPr>
        <w:t>LED显示屏</w:t>
      </w:r>
      <w:r>
        <w:rPr>
          <w:rFonts w:hint="eastAsia" w:ascii="宋体" w:hAnsi="宋体" w:eastAsia="宋体" w:cs="宋体"/>
          <w:color w:val="000000" w:themeColor="text1"/>
          <w:highlight w:val="none"/>
          <w14:textFill>
            <w14:solidFill>
              <w14:schemeClr w14:val="tx1"/>
            </w14:solidFill>
          </w14:textFill>
        </w:rPr>
        <w:t>形成一个遮挡作用。</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设置电动对开吸音窗帘4幅。</w:t>
      </w:r>
    </w:p>
    <w:p>
      <w:pPr>
        <w:ind w:firstLine="42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增加电动吊杆在舞台上方，位于电动对开底幕前面。</w:t>
      </w:r>
    </w:p>
    <w:p>
      <w:pPr>
        <w:pStyle w:val="4"/>
        <w:spacing w:after="0"/>
        <w:ind w:firstLineChars="200"/>
        <w:rPr>
          <w:rFonts w:hint="eastAsia" w:ascii="宋体" w:hAnsi="宋体" w:eastAsia="宋体" w:cs="宋体"/>
          <w:color w:val="000000" w:themeColor="text1"/>
          <w:szCs w:val="21"/>
          <w:highlight w:val="none"/>
          <w14:textFill>
            <w14:solidFill>
              <w14:schemeClr w14:val="tx1"/>
            </w14:solidFill>
          </w14:textFill>
        </w:rPr>
      </w:pP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1</w:t>
      </w:r>
      <w:r>
        <w:rPr>
          <w:rFonts w:hint="eastAsia" w:ascii="宋体" w:hAnsi="宋体" w:eastAsia="宋体" w:cs="宋体"/>
          <w:b/>
          <w:color w:val="000000" w:themeColor="text1"/>
          <w:sz w:val="28"/>
          <w:szCs w:val="28"/>
          <w:highlight w:val="none"/>
          <w14:textFill>
            <w14:solidFill>
              <w14:schemeClr w14:val="tx1"/>
            </w14:solidFill>
          </w14:textFill>
        </w:rPr>
        <w:t xml:space="preserve"> 控制室建设</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1</w:t>
      </w:r>
      <w:r>
        <w:rPr>
          <w:rFonts w:hint="eastAsia" w:ascii="宋体" w:hAnsi="宋体" w:eastAsia="宋体" w:cs="宋体"/>
          <w:b/>
          <w:color w:val="000000" w:themeColor="text1"/>
          <w:sz w:val="28"/>
          <w:szCs w:val="28"/>
          <w:highlight w:val="none"/>
          <w14:textFill>
            <w14:solidFill>
              <w14:schemeClr w14:val="tx1"/>
            </w14:solidFill>
          </w14:textFill>
        </w:rPr>
        <w:t>.1控制室设计</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控制室主要设置为两个空间，一半空间作为设备间，主要用于进行现场监控，并放置各种设备；一半空间作为储藏室，主要放置暂时不用的桌椅、讲台、显示屏设备等。</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1</w:t>
      </w:r>
      <w:r>
        <w:rPr>
          <w:rFonts w:hint="eastAsia" w:ascii="宋体" w:hAnsi="宋体" w:eastAsia="宋体" w:cs="宋体"/>
          <w:b/>
          <w:color w:val="000000" w:themeColor="text1"/>
          <w:sz w:val="28"/>
          <w:szCs w:val="28"/>
          <w:highlight w:val="none"/>
          <w14:textFill>
            <w14:solidFill>
              <w14:schemeClr w14:val="tx1"/>
            </w14:solidFill>
          </w14:textFill>
        </w:rPr>
        <w:t>.2控制室配置</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设备间主要</w:t>
      </w:r>
      <w:r>
        <w:rPr>
          <w:rFonts w:hint="eastAsia" w:ascii="宋体" w:hAnsi="宋体" w:eastAsia="宋体" w:cs="宋体"/>
          <w:color w:val="000000" w:themeColor="text1"/>
          <w:highlight w:val="none"/>
          <w:lang w:val="en-US" w:eastAsia="zh-CN"/>
          <w14:textFill>
            <w14:solidFill>
              <w14:schemeClr w14:val="tx1"/>
            </w14:solidFill>
          </w14:textFill>
        </w:rPr>
        <w:t>用于</w:t>
      </w:r>
      <w:r>
        <w:rPr>
          <w:rFonts w:hint="eastAsia" w:ascii="宋体" w:hAnsi="宋体" w:eastAsia="宋体" w:cs="宋体"/>
          <w:color w:val="000000" w:themeColor="text1"/>
          <w:highlight w:val="none"/>
          <w14:textFill>
            <w14:solidFill>
              <w14:schemeClr w14:val="tx1"/>
            </w14:solidFill>
          </w14:textFill>
        </w:rPr>
        <w:t>放置以下设备：</w:t>
      </w:r>
    </w:p>
    <w:p>
      <w:pPr>
        <w:pStyle w:val="10"/>
        <w:numPr>
          <w:ilvl w:val="0"/>
          <w:numId w:val="1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LED显示系统：LED发送盒9台、拼接矩阵1台（内置输出、输出板卡）；</w:t>
      </w:r>
    </w:p>
    <w:p>
      <w:pPr>
        <w:pStyle w:val="10"/>
        <w:numPr>
          <w:ilvl w:val="0"/>
          <w:numId w:val="1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舞台灯光系统：灯光控台1台、信号放大器1台、幕布控制箱1台；</w:t>
      </w:r>
    </w:p>
    <w:p>
      <w:pPr>
        <w:pStyle w:val="10"/>
        <w:numPr>
          <w:ilvl w:val="0"/>
          <w:numId w:val="1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扩声系统：专业音响功放4台、</w:t>
      </w:r>
      <w:r>
        <w:rPr>
          <w:rFonts w:hint="eastAsia" w:ascii="宋体" w:hAnsi="宋体" w:eastAsia="宋体" w:cs="宋体"/>
          <w:color w:val="000000" w:themeColor="text1"/>
          <w:highlight w:val="none"/>
          <w:lang w:val="en-US" w:eastAsia="zh-CN"/>
          <w14:textFill>
            <w14:solidFill>
              <w14:schemeClr w14:val="tx1"/>
            </w14:solidFill>
          </w14:textFill>
        </w:rPr>
        <w:t>话筒主机1批</w:t>
      </w:r>
      <w:r>
        <w:rPr>
          <w:rFonts w:hint="eastAsia" w:ascii="宋体" w:hAnsi="宋体" w:eastAsia="宋体" w:cs="宋体"/>
          <w:color w:val="000000" w:themeColor="text1"/>
          <w:highlight w:val="none"/>
          <w14:textFill>
            <w14:solidFill>
              <w14:schemeClr w14:val="tx1"/>
            </w14:solidFill>
          </w14:textFill>
        </w:rPr>
        <w:t>、数字调音台1台、音频处理器1台、电源</w:t>
      </w:r>
      <w:r>
        <w:rPr>
          <w:rFonts w:hint="eastAsia" w:ascii="宋体" w:hAnsi="宋体" w:eastAsia="宋体" w:cs="宋体"/>
          <w:color w:val="000000" w:themeColor="text1"/>
          <w:highlight w:val="none"/>
          <w:lang w:val="en-US" w:eastAsia="zh-CN"/>
          <w14:textFill>
            <w14:solidFill>
              <w14:schemeClr w14:val="tx1"/>
            </w14:solidFill>
          </w14:textFill>
        </w:rPr>
        <w:t>管理</w:t>
      </w:r>
      <w:r>
        <w:rPr>
          <w:rFonts w:hint="eastAsia" w:ascii="宋体" w:hAnsi="宋体" w:eastAsia="宋体" w:cs="宋体"/>
          <w:color w:val="000000" w:themeColor="text1"/>
          <w:highlight w:val="none"/>
          <w14:textFill>
            <w14:solidFill>
              <w14:schemeClr w14:val="tx1"/>
            </w14:solidFill>
          </w14:textFill>
        </w:rPr>
        <w:t>器2台、抑制器1台。</w:t>
      </w:r>
    </w:p>
    <w:p>
      <w:pPr>
        <w:pStyle w:val="10"/>
        <w:numPr>
          <w:ilvl w:val="0"/>
          <w:numId w:val="1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中控系统：中控主机1台</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包含</w:t>
      </w:r>
      <w:r>
        <w:rPr>
          <w:rFonts w:hint="default" w:ascii="宋体" w:hAnsi="宋体" w:eastAsia="宋体" w:cs="宋体"/>
          <w:color w:val="000000" w:themeColor="text1"/>
          <w:highlight w:val="none"/>
          <w:lang w:val="en-US"/>
          <w14:textFill>
            <w14:solidFill>
              <w14:schemeClr w14:val="tx1"/>
            </w14:solidFill>
          </w14:textFill>
        </w:rPr>
        <w:t>串口分配器</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控制器</w:t>
      </w:r>
      <w:r>
        <w:rPr>
          <w:rFonts w:hint="default" w:ascii="宋体" w:hAnsi="宋体" w:eastAsia="宋体" w:cs="宋体"/>
          <w:color w:val="000000" w:themeColor="text1"/>
          <w:highlight w:val="none"/>
          <w:lang w:val="en-US"/>
          <w14:textFill>
            <w14:solidFill>
              <w14:schemeClr w14:val="tx1"/>
            </w14:solidFill>
          </w14:textFill>
        </w:rPr>
        <w:t>1台</w:t>
      </w:r>
      <w:r>
        <w:rPr>
          <w:rFonts w:hint="eastAsia" w:ascii="宋体" w:hAnsi="宋体" w:eastAsia="宋体" w:cs="宋体"/>
          <w:color w:val="000000" w:themeColor="text1"/>
          <w:highlight w:val="none"/>
          <w14:textFill>
            <w14:solidFill>
              <w14:schemeClr w14:val="tx1"/>
            </w14:solidFill>
          </w14:textFill>
        </w:rPr>
        <w:t>。</w:t>
      </w:r>
    </w:p>
    <w:p>
      <w:pPr>
        <w:pStyle w:val="10"/>
        <w:numPr>
          <w:ilvl w:val="0"/>
          <w:numId w:val="12"/>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录播和</w:t>
      </w:r>
      <w:r>
        <w:rPr>
          <w:rFonts w:hint="eastAsia" w:ascii="宋体" w:hAnsi="宋体" w:eastAsia="宋体" w:cs="宋体"/>
          <w:color w:val="000000" w:themeColor="text1"/>
          <w:highlight w:val="none"/>
          <w:lang w:val="en-US" w:eastAsia="zh-CN"/>
          <w14:textFill>
            <w14:solidFill>
              <w14:schemeClr w14:val="tx1"/>
            </w14:solidFill>
          </w14:textFill>
        </w:rPr>
        <w:t>视频</w:t>
      </w:r>
      <w:r>
        <w:rPr>
          <w:rFonts w:hint="eastAsia" w:ascii="宋体" w:hAnsi="宋体" w:eastAsia="宋体" w:cs="宋体"/>
          <w:color w:val="000000" w:themeColor="text1"/>
          <w:highlight w:val="none"/>
          <w14:textFill>
            <w14:solidFill>
              <w14:schemeClr w14:val="tx1"/>
            </w14:solidFill>
          </w14:textFill>
        </w:rPr>
        <w:t>会议系统：录播主机1台，</w:t>
      </w:r>
      <w:r>
        <w:rPr>
          <w:rFonts w:hint="eastAsia" w:ascii="宋体" w:hAnsi="宋体" w:eastAsia="宋体" w:cs="宋体"/>
          <w:color w:val="000000" w:themeColor="text1"/>
          <w:highlight w:val="none"/>
          <w:lang w:val="en-US" w:eastAsia="zh-CN"/>
          <w14:textFill>
            <w14:solidFill>
              <w14:schemeClr w14:val="tx1"/>
            </w14:solidFill>
          </w14:textFill>
        </w:rPr>
        <w:t>视频会议主机</w:t>
      </w:r>
      <w:r>
        <w:rPr>
          <w:rFonts w:hint="eastAsia" w:ascii="宋体" w:hAnsi="宋体" w:eastAsia="宋体" w:cs="宋体"/>
          <w:color w:val="000000" w:themeColor="text1"/>
          <w:highlight w:val="none"/>
          <w14:textFill>
            <w14:solidFill>
              <w14:schemeClr w14:val="tx1"/>
            </w14:solidFill>
          </w14:textFill>
        </w:rPr>
        <w:t>1台</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包含</w:t>
      </w:r>
      <w:r>
        <w:rPr>
          <w:rFonts w:hint="default" w:ascii="宋体" w:hAnsi="宋体" w:eastAsia="宋体" w:cs="宋体"/>
          <w:color w:val="000000" w:themeColor="text1"/>
          <w:highlight w:val="none"/>
          <w:lang w:val="en-US"/>
          <w14:textFill>
            <w14:solidFill>
              <w14:schemeClr w14:val="tx1"/>
            </w14:solidFill>
          </w14:textFill>
        </w:rPr>
        <w:t>远程视频服务器</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w:t>
      </w:r>
    </w:p>
    <w:p>
      <w:pPr>
        <w:pStyle w:val="10"/>
        <w:numPr>
          <w:ilvl w:val="-1"/>
          <w:numId w:val="0"/>
        </w:numPr>
        <w:ind w:left="420" w:firstLine="0" w:firstLineChars="0"/>
        <w:rPr>
          <w:rFonts w:hint="eastAsia" w:ascii="宋体" w:hAnsi="宋体" w:eastAsia="宋体" w:cs="宋体"/>
          <w:color w:val="000000" w:themeColor="text1"/>
          <w:highlight w:val="none"/>
          <w:lang w:val="en-US" w:eastAsia="zh-CN"/>
          <w14:textFill>
            <w14:solidFill>
              <w14:schemeClr w14:val="tx1"/>
            </w14:solidFill>
          </w14:textFill>
        </w:rPr>
      </w:pPr>
    </w:p>
    <w:p>
      <w:pPr>
        <w:pStyle w:val="10"/>
        <w:numPr>
          <w:ilvl w:val="-1"/>
          <w:numId w:val="0"/>
        </w:numPr>
        <w:ind w:left="420" w:firstLine="0" w:firstLineChars="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主要设置以下设备：</w:t>
      </w:r>
    </w:p>
    <w:p>
      <w:pPr>
        <w:pStyle w:val="10"/>
        <w:numPr>
          <w:ilvl w:val="0"/>
          <w:numId w:val="13"/>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监控屏 1块（80英寸液晶显示屏，含支架、电缆）</w:t>
      </w:r>
    </w:p>
    <w:p>
      <w:pPr>
        <w:pStyle w:val="10"/>
        <w:numPr>
          <w:ilvl w:val="0"/>
          <w:numId w:val="13"/>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桌面控制主机2套（8G内存，</w:t>
      </w:r>
      <w:r>
        <w:rPr>
          <w:rFonts w:hint="eastAsia" w:ascii="宋体" w:hAnsi="宋体" w:eastAsia="宋体" w:cs="宋体"/>
          <w:color w:val="000000" w:themeColor="text1"/>
          <w:highlight w:val="none"/>
          <w:lang w:val="en-US" w:eastAsia="zh-CN" w:bidi="ar"/>
          <w14:textFill>
            <w14:solidFill>
              <w14:schemeClr w14:val="tx1"/>
            </w14:solidFill>
          </w14:textFill>
        </w:rPr>
        <w:t>优于或相当于</w:t>
      </w:r>
      <w:r>
        <w:rPr>
          <w:rFonts w:hint="eastAsia" w:ascii="宋体" w:hAnsi="宋体" w:eastAsia="宋体" w:cs="宋体"/>
          <w:color w:val="000000" w:themeColor="text1"/>
          <w:highlight w:val="none"/>
          <w14:textFill>
            <w14:solidFill>
              <w14:schemeClr w14:val="tx1"/>
            </w14:solidFill>
          </w14:textFill>
        </w:rPr>
        <w:t>256G SSD，</w:t>
      </w:r>
      <w:r>
        <w:rPr>
          <w:rFonts w:hint="eastAsia" w:ascii="宋体" w:hAnsi="宋体" w:eastAsia="宋体" w:cs="宋体"/>
          <w:color w:val="000000" w:themeColor="text1"/>
          <w:highlight w:val="none"/>
          <w:lang w:val="en-US" w:eastAsia="zh-CN" w:bidi="ar"/>
          <w14:textFill>
            <w14:solidFill>
              <w14:schemeClr w14:val="tx1"/>
            </w14:solidFill>
          </w14:textFill>
        </w:rPr>
        <w:t>优于或相当于</w:t>
      </w:r>
      <w:r>
        <w:rPr>
          <w:rFonts w:hint="eastAsia" w:ascii="宋体" w:hAnsi="宋体" w:eastAsia="宋体" w:cs="宋体"/>
          <w:color w:val="000000" w:themeColor="text1"/>
          <w:highlight w:val="none"/>
          <w14:textFill>
            <w14:solidFill>
              <w14:schemeClr w14:val="tx1"/>
            </w14:solidFill>
          </w14:textFill>
        </w:rPr>
        <w:t>1T HD，</w:t>
      </w:r>
      <w:r>
        <w:rPr>
          <w:rFonts w:hint="eastAsia" w:ascii="宋体" w:hAnsi="宋体" w:eastAsia="宋体" w:cs="宋体"/>
          <w:color w:val="000000" w:themeColor="text1"/>
          <w:highlight w:val="none"/>
          <w:lang w:val="en-US" w:eastAsia="zh-CN" w:bidi="ar"/>
          <w14:textFill>
            <w14:solidFill>
              <w14:schemeClr w14:val="tx1"/>
            </w14:solidFill>
          </w14:textFill>
        </w:rPr>
        <w:t>优于或相当于</w:t>
      </w:r>
      <w:r>
        <w:rPr>
          <w:rFonts w:hint="eastAsia" w:ascii="宋体" w:hAnsi="宋体" w:eastAsia="宋体" w:cs="宋体"/>
          <w:color w:val="000000" w:themeColor="text1"/>
          <w:highlight w:val="none"/>
          <w14:textFill>
            <w14:solidFill>
              <w14:schemeClr w14:val="tx1"/>
            </w14:solidFill>
          </w14:textFill>
        </w:rPr>
        <w:t>4</w:t>
      </w:r>
      <w:r>
        <w:rPr>
          <w:rFonts w:hint="eastAsia" w:ascii="宋体" w:hAnsi="宋体" w:eastAsia="宋体" w:cs="宋体"/>
          <w:color w:val="000000" w:themeColor="text1"/>
          <w:highlight w:val="none"/>
          <w:lang w:val="en-US" w:eastAsia="zh-CN"/>
          <w14:textFill>
            <w14:solidFill>
              <w14:schemeClr w14:val="tx1"/>
            </w14:solidFill>
          </w14:textFill>
        </w:rPr>
        <w:t>G</w:t>
      </w:r>
      <w:r>
        <w:rPr>
          <w:rFonts w:hint="eastAsia" w:ascii="宋体" w:hAnsi="宋体" w:eastAsia="宋体" w:cs="宋体"/>
          <w:color w:val="000000" w:themeColor="text1"/>
          <w:highlight w:val="none"/>
          <w14:textFill>
            <w14:solidFill>
              <w14:schemeClr w14:val="tx1"/>
            </w14:solidFill>
          </w14:textFill>
        </w:rPr>
        <w:t>显卡，含桌面显示器、鼠标键盘、操作系统）</w:t>
      </w:r>
    </w:p>
    <w:p>
      <w:pPr>
        <w:pStyle w:val="10"/>
        <w:numPr>
          <w:ilvl w:val="0"/>
          <w:numId w:val="13"/>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其他设备：设备机柜2台、24口交换机1台、操控台</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张</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办公椅4张</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收纳</w:t>
      </w:r>
      <w:r>
        <w:rPr>
          <w:rFonts w:hint="eastAsia" w:ascii="宋体" w:hAnsi="宋体" w:eastAsia="宋体" w:cs="宋体"/>
          <w:color w:val="000000" w:themeColor="text1"/>
          <w:highlight w:val="none"/>
          <w14:textFill>
            <w14:solidFill>
              <w14:schemeClr w14:val="tx1"/>
            </w14:solidFill>
          </w14:textFill>
        </w:rPr>
        <w:t>柜2个</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地线系统、电箱、强弱电线槽、电缆1批。</w:t>
      </w:r>
    </w:p>
    <w:p>
      <w:pPr>
        <w:ind w:firstLine="420" w:firstLineChars="200"/>
        <w:rPr>
          <w:rFonts w:hint="eastAsia" w:ascii="宋体" w:hAnsi="宋体" w:eastAsia="宋体" w:cs="宋体"/>
          <w:color w:val="000000" w:themeColor="text1"/>
          <w:highlight w:val="none"/>
          <w14:textFill>
            <w14:solidFill>
              <w14:schemeClr w14:val="tx1"/>
            </w14:solidFill>
          </w14:textFill>
        </w:rPr>
      </w:pP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针对设备间进行以下装修：轻钢龙骨石膏板隔墙（带防盗网）、铝扣板天花（带防盗网）、接空调风管。</w:t>
      </w:r>
    </w:p>
    <w:p>
      <w:pPr>
        <w:pStyle w:val="4"/>
        <w:spacing w:after="0"/>
        <w:ind w:firstLine="0" w:firstLineChars="0"/>
        <w:rPr>
          <w:rFonts w:hint="eastAsia" w:ascii="宋体" w:hAnsi="宋体" w:eastAsia="宋体" w:cs="宋体"/>
          <w:color w:val="000000" w:themeColor="text1"/>
          <w:szCs w:val="21"/>
          <w:highlight w:val="none"/>
          <w14:textFill>
            <w14:solidFill>
              <w14:schemeClr w14:val="tx1"/>
            </w14:solidFill>
          </w14:textFill>
        </w:rPr>
      </w:pP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2</w:t>
      </w:r>
      <w:r>
        <w:rPr>
          <w:rFonts w:hint="eastAsia" w:ascii="宋体" w:hAnsi="宋体" w:eastAsia="宋体" w:cs="宋体"/>
          <w:b/>
          <w:color w:val="000000" w:themeColor="text1"/>
          <w:sz w:val="28"/>
          <w:szCs w:val="28"/>
          <w:highlight w:val="none"/>
          <w14:textFill>
            <w14:solidFill>
              <w14:schemeClr w14:val="tx1"/>
            </w14:solidFill>
          </w14:textFill>
        </w:rPr>
        <w:t xml:space="preserve"> 建筑声学改造</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2</w:t>
      </w:r>
      <w:r>
        <w:rPr>
          <w:rFonts w:hint="eastAsia" w:ascii="宋体" w:hAnsi="宋体" w:eastAsia="宋体" w:cs="宋体"/>
          <w:b/>
          <w:color w:val="000000" w:themeColor="text1"/>
          <w:sz w:val="28"/>
          <w:szCs w:val="28"/>
          <w:highlight w:val="none"/>
          <w14:textFill>
            <w14:solidFill>
              <w14:schemeClr w14:val="tx1"/>
            </w14:solidFill>
          </w14:textFill>
        </w:rPr>
        <w:t>.1设计思路</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礼堂的音质需要保证语言清晰，厅内各处还宜有合适的相对强感(强度因子)和均匀度。观众厅内任何位置上不得出现回声、多重回声、颤动回声、声聚焦和共振等缺陷，且不受设备噪声、放映机房噪声及外界环境噪声的干扰。</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声学改造后，</w:t>
      </w:r>
      <w:r>
        <w:rPr>
          <w:rFonts w:hint="eastAsia" w:ascii="宋体" w:hAnsi="宋体" w:eastAsia="宋体" w:cs="宋体"/>
          <w:color w:val="000000" w:themeColor="text1"/>
          <w:highlight w:val="none"/>
          <w:lang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供应商需采用专业的声学软件对改造后的现场声学环境进行测量，测量结果应符合国家设计规范要求，满足使用需求，且有较高的语言清晰度。</w:t>
      </w:r>
    </w:p>
    <w:p>
      <w:pPr>
        <w:ind w:firstLine="420" w:firstLineChars="200"/>
        <w:rPr>
          <w:rFonts w:hint="eastAsia" w:ascii="宋体" w:hAnsi="宋体" w:eastAsia="宋体" w:cs="宋体"/>
          <w:color w:val="000000" w:themeColor="text1"/>
          <w:highlight w:val="none"/>
          <w14:textFill>
            <w14:solidFill>
              <w14:schemeClr w14:val="tx1"/>
            </w14:solidFill>
          </w14:textFill>
        </w:rPr>
      </w:pP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2</w:t>
      </w:r>
      <w:r>
        <w:rPr>
          <w:rFonts w:hint="eastAsia" w:ascii="宋体" w:hAnsi="宋体" w:eastAsia="宋体" w:cs="宋体"/>
          <w:b/>
          <w:color w:val="000000" w:themeColor="text1"/>
          <w:sz w:val="28"/>
          <w:szCs w:val="28"/>
          <w:highlight w:val="none"/>
          <w14:textFill>
            <w14:solidFill>
              <w14:schemeClr w14:val="tx1"/>
            </w14:solidFill>
          </w14:textFill>
        </w:rPr>
        <w:t>.2设计方案</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2.1</w:t>
      </w:r>
      <w:r>
        <w:rPr>
          <w:rFonts w:hint="eastAsia" w:ascii="宋体" w:hAnsi="宋体" w:eastAsia="宋体" w:cs="宋体"/>
          <w:b/>
          <w:color w:val="000000" w:themeColor="text1"/>
          <w:sz w:val="24"/>
          <w:highlight w:val="none"/>
          <w:lang w:val="en-US" w:eastAsia="zh-CN"/>
          <w14:textFill>
            <w14:solidFill>
              <w14:schemeClr w14:val="tx1"/>
            </w14:solidFill>
          </w14:textFill>
        </w:rPr>
        <w:t>2</w:t>
      </w:r>
      <w:r>
        <w:rPr>
          <w:rFonts w:hint="eastAsia" w:ascii="宋体" w:hAnsi="宋体" w:eastAsia="宋体" w:cs="宋体"/>
          <w:b/>
          <w:color w:val="000000" w:themeColor="text1"/>
          <w:sz w:val="24"/>
          <w:highlight w:val="none"/>
          <w14:textFill>
            <w14:solidFill>
              <w14:schemeClr w14:val="tx1"/>
            </w14:solidFill>
          </w14:textFill>
        </w:rPr>
        <w:t>.2.1天花</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据颤动回声为同一个原始脉冲声引起的一连串紧跟着的反射脉冲声。所以平行面之间极容易产生颤动回声现象，为避免颤抖回声的产生同时控制厅内混响时间，天花采用穿孔铝吸声板内嵌声学纤维颗粒，致使厅内语音清晰、声场均匀。观众区天花采用穿孔铝吸声板内嵌声学纤维，控制厅内混响时间，削弱强反射声、颤抖回声。</w:t>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anchor distT="0" distB="0" distL="114300" distR="114300" simplePos="0" relativeHeight="251661312" behindDoc="0" locked="0" layoutInCell="1" allowOverlap="1">
            <wp:simplePos x="0" y="0"/>
            <wp:positionH relativeFrom="column">
              <wp:posOffset>4047490</wp:posOffset>
            </wp:positionH>
            <wp:positionV relativeFrom="page">
              <wp:posOffset>2327910</wp:posOffset>
            </wp:positionV>
            <wp:extent cx="1527175" cy="1186180"/>
            <wp:effectExtent l="0" t="0" r="0" b="0"/>
            <wp:wrapNone/>
            <wp:docPr id="15" name="图片 1" descr="电脑主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电脑主机&#10;&#10;中度可信度描述已自动生成"/>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27175" cy="1186180"/>
                    </a:xfrm>
                    <a:prstGeom prst="rect">
                      <a:avLst/>
                    </a:prstGeom>
                    <a:noFill/>
                    <a:ln>
                      <a:noFill/>
                    </a:ln>
                  </pic:spPr>
                </pic:pic>
              </a:graphicData>
            </a:graphic>
          </wp:anchor>
        </w:drawing>
      </w: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2726690</wp:posOffset>
                </wp:positionH>
                <wp:positionV relativeFrom="paragraph">
                  <wp:posOffset>1669415</wp:posOffset>
                </wp:positionV>
                <wp:extent cx="1642745" cy="1270"/>
                <wp:effectExtent l="0" t="49530" r="14605" b="63500"/>
                <wp:wrapNone/>
                <wp:docPr id="53" name="直接箭头连接符 1"/>
                <wp:cNvGraphicFramePr/>
                <a:graphic xmlns:a="http://schemas.openxmlformats.org/drawingml/2006/main">
                  <a:graphicData uri="http://schemas.microsoft.com/office/word/2010/wordprocessingShape">
                    <wps:wsp>
                      <wps:cNvCnPr/>
                      <wps:spPr>
                        <a:xfrm flipH="1">
                          <a:off x="0" y="0"/>
                          <a:ext cx="1642745" cy="1270"/>
                        </a:xfrm>
                        <a:prstGeom prst="straightConnector1">
                          <a:avLst/>
                        </a:prstGeom>
                        <a:ln w="12700" cap="flat" cmpd="sng">
                          <a:solidFill>
                            <a:srgbClr val="FF0000"/>
                          </a:solidFill>
                          <a:prstDash val="sysDash"/>
                          <a:round/>
                          <a:headEnd type="none" w="med" len="med"/>
                          <a:tailEnd type="arrow" w="med" len="med"/>
                        </a:ln>
                      </wps:spPr>
                      <wps:bodyPr/>
                    </wps:wsp>
                  </a:graphicData>
                </a:graphic>
              </wp:anchor>
            </w:drawing>
          </mc:Choice>
          <mc:Fallback>
            <w:pict>
              <v:shape id="直接箭头连接符 1" o:spid="_x0000_s1026" o:spt="32" type="#_x0000_t32" style="position:absolute;left:0pt;flip:x;margin-left:214.7pt;margin-top:131.45pt;height:0.1pt;width:129.35pt;z-index:251660288;mso-width-relative:page;mso-height-relative:page;" filled="f" stroked="t" coordsize="21600,21600" o:gfxdata="UEsDBAoAAAAAAIdO4kAAAAAAAAAAAAAAAAAEAAAAZHJzL1BLAwQUAAAACACHTuJAQtwkR9oAAAAL&#10;AQAADwAAAGRycy9kb3ducmV2LnhtbE2PsU7DMBCG90q8g3VIbK0TU4UkxOmAWirYCAwd3fiaRI3P&#10;IXbTlqfHnWC8u0//fX+xupieTTi6zpKEeBEBQ6qt7qiR8PW5mafAnFekVW8JJVzRwaq8mxUq1/ZM&#10;HzhVvmEhhFyuJLTeDznnrm7RKLewA1K4HexolA/j2HA9qnMINz0XUZRwozoKH1o14EuL9bE6GQnr&#10;d7xO3z9ZtfXi6dXpw+64fdtJ+XAfR8/APF78Hww3/aAOZXDa2xNpx3oJS5EtAypBJCIDFogkTWNg&#10;+9vmMQZeFvx/h/IXUEsDBBQAAAAIAIdO4kCdDDKBFwIAAAgEAAAOAAAAZHJzL2Uyb0RvYy54bWyt&#10;U0uOEzEQ3SNxB8t70kmYD2qlM4uEwALBSMABHLe725J/qnLSySW4ABIrYAWsZs9pYDgGZXfIwMBi&#10;FvSiVbarnt97VZ5d7KxhWwWovav4ZDTmTDnpa+3air9+tXrwiDOMwtXCeKcqvlfIL+b37836UKqp&#10;77ypFTACcVj2oeJdjKEsCpSdsgJHPihHh40HKyItoS1qED2hW1NMx+OzovdQB/BSIdLucjjkB0S4&#10;C6BvGi3V0suNVS4OqKCMiCQJOx2QzzPbplEyvmgaVJGZipPSmP90CcXr9C/mM1G2IEKn5YGCuAuF&#10;W5qs0I4uPUItRRRsA/ovKKslePRNHElvi0FIdoRUTMa3vHnZiaCyFrIaw9F0/H+w8vn2EpiuK376&#10;kDMnLHX8+u3V9zcfrr98/vb+6sfXdyn+9JFNkld9wJJKFu4SDisMl5CE7xqwrDE6PKWhylaQOLbL&#10;Tu+PTqtdZJI2J2cn0/OTU84knU2m57kRxYCS0AJgfKK8ZSmoOEYQuu3iwjtHLfUw3CC2zzASDyr8&#10;VZCKjWP9gEpdloJmtKHZoNAG0omuzfTQG12vtDGpBKFdLwywraA5Wa3G9CW5BPxHWrplKbAb8nCP&#10;aTHMEPiNq6lElJ0S9WNXs7gPZKajR8QTH6tqzoyiN5einBmFNjeZAsD3/04lHsYRnWT/YHiK1r7e&#10;5z7kfRqQTPgwzGkCf1/n6psHPP8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twkR9oAAAALAQAA&#10;DwAAAAAAAAABACAAAAAiAAAAZHJzL2Rvd25yZXYueG1sUEsBAhQAFAAAAAgAh07iQJ0MMoEXAgAA&#10;CAQAAA4AAAAAAAAAAQAgAAAAKQEAAGRycy9lMm9Eb2MueG1sUEsFBgAAAAAGAAYAWQEAALIFAAAA&#10;AA==&#10;">
                <v:fill on="f" focussize="0,0"/>
                <v:stroke weight="1pt" color="#FF0000" joinstyle="round" dashstyle="3 1" endarrow="open"/>
                <v:imagedata o:title=""/>
                <o:lock v:ext="edit" aspectratio="f"/>
              </v:shape>
            </w:pict>
          </mc:Fallback>
        </mc:AlternateConten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1796415</wp:posOffset>
                </wp:positionH>
                <wp:positionV relativeFrom="paragraph">
                  <wp:posOffset>1088390</wp:posOffset>
                </wp:positionV>
                <wp:extent cx="1513205" cy="1070610"/>
                <wp:effectExtent l="5080" t="4445" r="5715" b="10795"/>
                <wp:wrapNone/>
                <wp:docPr id="14" name="矩形 50"/>
                <wp:cNvGraphicFramePr/>
                <a:graphic xmlns:a="http://schemas.openxmlformats.org/drawingml/2006/main">
                  <a:graphicData uri="http://schemas.microsoft.com/office/word/2010/wordprocessingShape">
                    <wps:wsp>
                      <wps:cNvSpPr/>
                      <wps:spPr>
                        <a:xfrm>
                          <a:off x="0" y="0"/>
                          <a:ext cx="1513205" cy="1070610"/>
                        </a:xfrm>
                        <a:prstGeom prst="rect">
                          <a:avLst/>
                        </a:prstGeom>
                        <a:solidFill>
                          <a:srgbClr val="00B0F0">
                            <a:alpha val="48999"/>
                          </a:srgbClr>
                        </a:solidFill>
                        <a:ln w="9525" cap="flat" cmpd="sng">
                          <a:solidFill>
                            <a:srgbClr val="385D8A"/>
                          </a:solidFill>
                          <a:prstDash val="sysDash"/>
                          <a:round/>
                          <a:headEnd type="none" w="med" len="med"/>
                          <a:tailEnd type="none" w="med" len="med"/>
                        </a:ln>
                      </wps:spPr>
                      <wps:bodyPr/>
                    </wps:wsp>
                  </a:graphicData>
                </a:graphic>
              </wp:anchor>
            </w:drawing>
          </mc:Choice>
          <mc:Fallback>
            <w:pict>
              <v:rect id="矩形 50" o:spid="_x0000_s1026" o:spt="1" style="position:absolute;left:0pt;margin-left:141.45pt;margin-top:85.7pt;height:84.3pt;width:119.15pt;z-index:251659264;mso-width-relative:page;mso-height-relative:page;" fillcolor="#00B0F0" filled="t" stroked="t" coordsize="21600,21600" o:gfxdata="UEsDBAoAAAAAAIdO4kAAAAAAAAAAAAAAAAAEAAAAZHJzL1BLAwQUAAAACACHTuJAzpDJPNcAAAAL&#10;AQAADwAAAGRycy9kb3ducmV2LnhtbE2Py07DMBBF90j8gzVI7KidUKCEOF2AEGJJqcrWjadx1Hgc&#10;2U4ff8+wosvRvTr3TL08+UEcMKY+kIZipkAgtcH21GlYf7/fLUCkbMiaIRBqOGOCZXN9VZvKhiN9&#10;4WGVO8EQSpXR4HIeKylT69CbNAsjEme7EL3JfMZO2miODPeDLJV6lN70xAvOjPjqsN2vJq+hjL7d&#10;Te686T/l22aPH+lnTUnr25tCvYDIeMr/ZfjTZ3Vo2GkbJrJJDMxYlM9c5eCpmIPgxkNZlCC2Gu7n&#10;SoFsann5Q/MLUEsDBBQAAAAIAIdO4kBER66vCgIAADgEAAAOAAAAZHJzL2Uyb0RvYy54bWytU82O&#10;0zAQviPxDpbvNEl3u7RV0xVQygXBSgsP4NpOYsl/8rhN+zRI3HgIHgfxGoydblstQuqBSzIzHn8z&#10;3zfjxf3eaLKTAZSzNa1GJSXScieUbWv69cv61ZQSiMwKpp2VNT1IoPfLly8WvZ/LseucFjIQBLEw&#10;731Nuxj9vCiAd9IwGDkvLR42LhgW0Q1tIQLrEd3oYlyWd0XvgvDBcQmA0dVwSI+I4RpA1zSKy5Xj&#10;WyNtHFCD1CwiJeiUB7rM3TaN5PFz04CMRNcUmcb8xSJob9K3WC7YvA3Md4ofW2DXtPCMk2HKYtET&#10;1IpFRrZB/QVlFA8OXBNH3JliIJIVQRZV+Uybx455mbmg1OBPosP/g+Wfdg+BKIGbcEuJZQYn/vvb&#10;j18/v5NJVqf3MMekR/8QUKvkAZqJ6r4JJv2RBNlnRQ8nReU+Eo7BalLdjMsJJRzPqvJ1eVdl1OJ8&#10;3QeIH6QzJBk1DTiyrCTbfYSIJTH1KSVVA6eVWCutsxPazTsdyI6l8ZZvy3U53NW+Y0P0djqbzdKY&#10;EQeG9MG+xNGW9DWdTcapU4ZL3eAyoWk8CgO2zaD/rnwznaymb56KXAKnzlcMuqEXOEByhqULbmtF&#10;Xr9OMvHeChIPHtW3+OpoasdIQYmW+EiTlTMjU/qaTOSqLdI8jytZGycOeYo5jguVhTguf9rYSz/f&#10;Pj/4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kMk81wAAAAsBAAAPAAAAAAAAAAEAIAAAACIA&#10;AABkcnMvZG93bnJldi54bWxQSwECFAAUAAAACACHTuJAREeurwoCAAA4BAAADgAAAAAAAAABACAA&#10;AAAmAQAAZHJzL2Uyb0RvYy54bWxQSwUGAAAAAAYABgBZAQAAogUAAAAA&#10;">
                <v:fill on="t" opacity="32111f" focussize="0,0"/>
                <v:stroke color="#385D8A" joinstyle="round" dashstyle="3 1"/>
                <v:imagedata o:title=""/>
                <o:lock v:ext="edit" aspectratio="f"/>
              </v:rect>
            </w:pict>
          </mc:Fallback>
        </mc:AlternateContent>
      </w:r>
      <w:r>
        <w:rPr>
          <w:rFonts w:hint="eastAsia" w:ascii="宋体" w:hAnsi="宋体" w:eastAsia="宋体" w:cs="宋体"/>
          <w:color w:val="000000" w:themeColor="text1"/>
          <w:highlight w:val="none"/>
          <w14:textFill>
            <w14:solidFill>
              <w14:schemeClr w14:val="tx1"/>
            </w14:solidFill>
          </w14:textFill>
        </w:rPr>
        <w:drawing>
          <wp:inline distT="0" distB="0" distL="0" distR="0">
            <wp:extent cx="3626485" cy="4324985"/>
            <wp:effectExtent l="0" t="0" r="18415" b="12065"/>
            <wp:docPr id="9" name="图片 12"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图示, 工程绘图&#10;&#10;描述已自动生成"/>
                    <pic:cNvPicPr>
                      <a:picLocks noChangeAspect="1"/>
                    </pic:cNvPicPr>
                  </pic:nvPicPr>
                  <pic:blipFill>
                    <a:blip r:embed="rId11"/>
                    <a:stretch>
                      <a:fillRect/>
                    </a:stretch>
                  </pic:blipFill>
                  <pic:spPr>
                    <a:xfrm rot="-5400000">
                      <a:off x="0" y="0"/>
                      <a:ext cx="3626485" cy="4324985"/>
                    </a:xfrm>
                    <a:prstGeom prst="rect">
                      <a:avLst/>
                    </a:prstGeom>
                    <a:noFill/>
                    <a:ln>
                      <a:noFill/>
                    </a:ln>
                  </pic:spPr>
                </pic:pic>
              </a:graphicData>
            </a:graphic>
          </wp:inline>
        </w:drawing>
      </w:r>
    </w:p>
    <w:p>
      <w:pPr>
        <w:widowControl/>
        <w:jc w:val="left"/>
        <w:rPr>
          <w:rFonts w:hint="eastAsia" w:ascii="宋体" w:hAnsi="宋体" w:eastAsia="宋体" w:cs="宋体"/>
          <w:b/>
          <w:color w:val="000000" w:themeColor="text1"/>
          <w:sz w:val="32"/>
          <w:highlight w:val="none"/>
          <w14:textFill>
            <w14:solidFill>
              <w14:schemeClr w14:val="tx1"/>
            </w14:solidFill>
          </w14:textFill>
        </w:rPr>
      </w:pP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2.1</w:t>
      </w:r>
      <w:r>
        <w:rPr>
          <w:rFonts w:hint="eastAsia" w:ascii="宋体" w:hAnsi="宋体" w:eastAsia="宋体" w:cs="宋体"/>
          <w:b/>
          <w:color w:val="000000" w:themeColor="text1"/>
          <w:sz w:val="24"/>
          <w:highlight w:val="none"/>
          <w:lang w:val="en-US" w:eastAsia="zh-CN"/>
          <w14:textFill>
            <w14:solidFill>
              <w14:schemeClr w14:val="tx1"/>
            </w14:solidFill>
          </w14:textFill>
        </w:rPr>
        <w:t>2</w:t>
      </w:r>
      <w:r>
        <w:rPr>
          <w:rFonts w:hint="eastAsia" w:ascii="宋体" w:hAnsi="宋体" w:eastAsia="宋体" w:cs="宋体"/>
          <w:b/>
          <w:color w:val="000000" w:themeColor="text1"/>
          <w:sz w:val="24"/>
          <w:highlight w:val="none"/>
          <w14:textFill>
            <w14:solidFill>
              <w14:schemeClr w14:val="tx1"/>
            </w14:solidFill>
          </w14:textFill>
        </w:rPr>
        <w:t>.2.2舞台背景墙和观众背景墙</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为了避免回声，声缺陷产生，同时进一步控制观众厅的混响时间，后墙布置全频吸声模块内芯高密度声学纤维，如下图红色所示。舞台背景墙和观众背景墙此处做全频吸声模块内芯高密度声学纤维控制厅内混响时间，削弱强反射声。</w:t>
      </w: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3609340</wp:posOffset>
                </wp:positionH>
                <wp:positionV relativeFrom="paragraph">
                  <wp:posOffset>1446530</wp:posOffset>
                </wp:positionV>
                <wp:extent cx="1083945" cy="6985"/>
                <wp:effectExtent l="0" t="44450" r="1905" b="62865"/>
                <wp:wrapNone/>
                <wp:docPr id="21" name="直接箭头连接符 12"/>
                <wp:cNvGraphicFramePr/>
                <a:graphic xmlns:a="http://schemas.openxmlformats.org/drawingml/2006/main">
                  <a:graphicData uri="http://schemas.microsoft.com/office/word/2010/wordprocessingShape">
                    <wps:wsp>
                      <wps:cNvCnPr/>
                      <wps:spPr>
                        <a:xfrm flipH="1">
                          <a:off x="0" y="0"/>
                          <a:ext cx="1083945" cy="6985"/>
                        </a:xfrm>
                        <a:prstGeom prst="straightConnector1">
                          <a:avLst/>
                        </a:prstGeom>
                        <a:ln w="12700" cap="flat" cmpd="sng">
                          <a:solidFill>
                            <a:srgbClr val="FF0000"/>
                          </a:solidFill>
                          <a:prstDash val="sysDash"/>
                          <a:round/>
                          <a:headEnd type="none" w="med" len="med"/>
                          <a:tailEnd type="arrow" w="med" len="med"/>
                        </a:ln>
                      </wps:spPr>
                      <wps:bodyPr/>
                    </wps:wsp>
                  </a:graphicData>
                </a:graphic>
              </wp:anchor>
            </w:drawing>
          </mc:Choice>
          <mc:Fallback>
            <w:pict>
              <v:shape id="直接箭头连接符 12" o:spid="_x0000_s1026" o:spt="32" type="#_x0000_t32" style="position:absolute;left:0pt;flip:x;margin-left:284.2pt;margin-top:113.9pt;height:0.55pt;width:85.35pt;z-index:251663360;mso-width-relative:page;mso-height-relative:page;" filled="f" stroked="t" coordsize="21600,21600" o:gfxdata="UEsDBAoAAAAAAIdO4kAAAAAAAAAAAAAAAAAEAAAAZHJzL1BLAwQUAAAACACHTuJAvfxC2NoAAAAL&#10;AQAADwAAAGRycy9kb3ducmV2LnhtbE2PTU/DMAyG70j8h8hI3FjaAusHTXdAwMRuFA47Zo23Vmuc&#10;0mTdxq/HO8HR9qPXz1suTrYXE46+c6QgnkUgkBpnOtop+Pp8vctA+KDJ6N4RKjijh0V1fVXqwrgj&#10;feBUh53gEPKFVtCGMBRS+qZFq/3MDUh827rR6sDjuJNm1EcOt71Momgure6IP7R6wOcWm319sApe&#10;Vnievn/yehmS9M2b7Xq/fF8rdXsTR08gAp7CHwwXfVaHip027kDGi17B4zx7YFRBkqTcgYn0Po9B&#10;bC6bLAdZlfJ/h+oXUEsDBBQAAAAIAIdO4kCwNnS7GQIAAAkEAAAOAAAAZHJzL2Uyb0RvYy54bWyt&#10;U82O0zAQviPxDpbvNGlhl27UdA8thQOClYAHcG0nseQ/edymfQleAIkTcFo47Z2ngeUxGDulCwuH&#10;PZBDNGPPfDPfN+PZ+c5ospUBlLM1HY9KSqTlTijb1vTN69WDKSUQmRVMOytrupdAz+f37816X8mJ&#10;65wWMhAEsVD1vqZdjL4qCuCdNAxGzkuLl40LhkV0Q1uIwHpEN7qYlOVp0bsgfHBcAuDpcrikB8Rw&#10;F0DXNIrLpeMbI20cUIPULCIl6JQHOs/dNo3k8WXTgIxE1xSZxvzHImiv07+Yz1jVBuY7xQ8tsLu0&#10;cIuTYcpi0SPUkkVGNkH9BWUUDw5cE0fcmWIgkhVBFuPyljavOuZl5oJSgz+KDv8Plr/YXgSiRE0n&#10;Y0osMzjx63dX399+vP7y+duHqx9f3yf78hMZT5JYvYcKcxb2Ihw88BchMd81wZBGK/8MtyprgezI&#10;Lku9P0otd5FwPByX04dnj04o4Xh3ejY9SeDFgJLQfID4VDpDklFTiIGptosLZy3O1IWhAts+hzgk&#10;/kpIydqSHktMHpc4Zs5wSRtcDjSNR6Jg29weOK3ESmmdUiC064UOZMtwUVarEr9DR3+EpSpLBt0Q&#10;B3tITgpkVXAbK7LVSSaeWEHi3qOaFl8RTf0YKSjREh9dsnJkZErfRLIQXP/vUFRGWxQoyT8Inqy1&#10;E/s8h3yOG5IlPGxzWsHf/Zx984Ln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9/ELY2gAAAAsB&#10;AAAPAAAAAAAAAAEAIAAAACIAAABkcnMvZG93bnJldi54bWxQSwECFAAUAAAACACHTuJAsDZ0uxkC&#10;AAAJBAAADgAAAAAAAAABACAAAAApAQAAZHJzL2Uyb0RvYy54bWxQSwUGAAAAAAYABgBZAQAAtAUA&#10;AAAA&#10;">
                <v:fill on="f" focussize="0,0"/>
                <v:stroke weight="1pt" color="#FF0000" joinstyle="round" dashstyle="3 1" endarrow="open"/>
                <v:imagedata o:title=""/>
                <o:lock v:ext="edit" aspectratio="f"/>
              </v:shape>
            </w:pict>
          </mc:Fallback>
        </mc:AlternateConten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drawing>
          <wp:anchor distT="0" distB="0" distL="114300" distR="114300" simplePos="0" relativeHeight="251662336" behindDoc="0" locked="0" layoutInCell="1" allowOverlap="1">
            <wp:simplePos x="0" y="0"/>
            <wp:positionH relativeFrom="column">
              <wp:posOffset>4382770</wp:posOffset>
            </wp:positionH>
            <wp:positionV relativeFrom="paragraph">
              <wp:posOffset>1470660</wp:posOffset>
            </wp:positionV>
            <wp:extent cx="1004570" cy="737870"/>
            <wp:effectExtent l="0" t="0" r="5080" b="5080"/>
            <wp:wrapNone/>
            <wp:docPr id="22" name="ID_E7356DF5B41D46ECB2D23BBD0B2F9EC2" descr="图片包含 游戏机, 话筒, 瓶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D_E7356DF5B41D46ECB2D23BBD0B2F9EC2" descr="图片包含 游戏机, 话筒, 瓶子&#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4400" cy="738000"/>
                    </a:xfrm>
                    <a:prstGeom prst="rect">
                      <a:avLst/>
                    </a:prstGeom>
                    <a:noFill/>
                    <a:ln>
                      <a:noFill/>
                    </a:ln>
                  </pic:spPr>
                </pic:pic>
              </a:graphicData>
            </a:graphic>
          </wp:anchor>
        </w:drawing>
      </w:r>
      <w:r>
        <w:rPr>
          <w:rFonts w:hint="eastAsia" w:ascii="宋体" w:hAnsi="宋体" w:eastAsia="宋体" w:cs="宋体"/>
          <w:color w:val="000000" w:themeColor="text1"/>
          <w:highlight w:val="none"/>
          <w14:textFill>
            <w14:solidFill>
              <w14:schemeClr w14:val="tx1"/>
            </w14:solidFill>
          </w14:textFill>
        </w:rPr>
        <w:drawing>
          <wp:inline distT="0" distB="0" distL="0" distR="0">
            <wp:extent cx="3094355" cy="4467860"/>
            <wp:effectExtent l="0" t="0" r="8890" b="10795"/>
            <wp:docPr id="20" name="图片 12"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图示, 工程绘图&#10;&#10;描述已自动生成"/>
                    <pic:cNvPicPr>
                      <a:picLocks noChangeAspect="1"/>
                    </pic:cNvPicPr>
                  </pic:nvPicPr>
                  <pic:blipFill>
                    <a:blip r:embed="rId11"/>
                    <a:stretch>
                      <a:fillRect/>
                    </a:stretch>
                  </pic:blipFill>
                  <pic:spPr>
                    <a:xfrm rot="-5400000">
                      <a:off x="0" y="0"/>
                      <a:ext cx="3094355" cy="4467860"/>
                    </a:xfrm>
                    <a:prstGeom prst="rect">
                      <a:avLst/>
                    </a:prstGeom>
                    <a:noFill/>
                    <a:ln>
                      <a:noFill/>
                    </a:ln>
                  </pic:spPr>
                </pic:pic>
              </a:graphicData>
            </a:graphic>
          </wp:inline>
        </w:drawing>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drawing>
          <wp:anchor distT="0" distB="0" distL="114300" distR="114300" simplePos="0" relativeHeight="251667456" behindDoc="0" locked="0" layoutInCell="1" allowOverlap="1">
            <wp:simplePos x="0" y="0"/>
            <wp:positionH relativeFrom="column">
              <wp:posOffset>4110355</wp:posOffset>
            </wp:positionH>
            <wp:positionV relativeFrom="paragraph">
              <wp:posOffset>1517650</wp:posOffset>
            </wp:positionV>
            <wp:extent cx="1004570" cy="737870"/>
            <wp:effectExtent l="0" t="0" r="5080" b="5080"/>
            <wp:wrapNone/>
            <wp:docPr id="1411573104" name="ID_E7356DF5B41D46ECB2D23BBD0B2F9EC2" descr="图片包含 游戏机, 话筒, 瓶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73104" name="ID_E7356DF5B41D46ECB2D23BBD0B2F9EC2" descr="图片包含 游戏机, 话筒, 瓶子&#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4400" cy="738000"/>
                    </a:xfrm>
                    <a:prstGeom prst="rect">
                      <a:avLst/>
                    </a:prstGeom>
                    <a:noFill/>
                    <a:ln>
                      <a:noFill/>
                    </a:ln>
                  </pic:spPr>
                </pic:pic>
              </a:graphicData>
            </a:graphic>
          </wp:anchor>
        </w:drawing>
      </w: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3508375</wp:posOffset>
                </wp:positionH>
                <wp:positionV relativeFrom="paragraph">
                  <wp:posOffset>1649730</wp:posOffset>
                </wp:positionV>
                <wp:extent cx="667385" cy="45720"/>
                <wp:effectExtent l="0" t="44450" r="18415" b="24130"/>
                <wp:wrapNone/>
                <wp:docPr id="1841210677" name="直接箭头连接符 12"/>
                <wp:cNvGraphicFramePr/>
                <a:graphic xmlns:a="http://schemas.openxmlformats.org/drawingml/2006/main">
                  <a:graphicData uri="http://schemas.microsoft.com/office/word/2010/wordprocessingShape">
                    <wps:wsp>
                      <wps:cNvCnPr/>
                      <wps:spPr>
                        <a:xfrm flipH="1" flipV="1">
                          <a:off x="0" y="0"/>
                          <a:ext cx="667302" cy="45719"/>
                        </a:xfrm>
                        <a:prstGeom prst="straightConnector1">
                          <a:avLst/>
                        </a:prstGeom>
                        <a:ln w="12700" cap="flat" cmpd="sng">
                          <a:solidFill>
                            <a:srgbClr val="FF0000"/>
                          </a:solidFill>
                          <a:prstDash val="sysDash"/>
                          <a:round/>
                          <a:headEnd type="none" w="med" len="med"/>
                          <a:tailEnd type="arrow" w="med" len="med"/>
                        </a:ln>
                      </wps:spPr>
                      <wps:bodyPr/>
                    </wps:wsp>
                  </a:graphicData>
                </a:graphic>
              </wp:anchor>
            </w:drawing>
          </mc:Choice>
          <mc:Fallback>
            <w:pict>
              <v:shape id="直接箭头连接符 12" o:spid="_x0000_s1026" o:spt="32" type="#_x0000_t32" style="position:absolute;left:0pt;flip:x y;margin-left:276.25pt;margin-top:129.9pt;height:3.6pt;width:52.55pt;z-index:251666432;mso-width-relative:page;mso-height-relative:page;" filled="f" stroked="t" coordsize="21600,21600" o:gfxdata="UEsDBAoAAAAAAIdO4kAAAAAAAAAAAAAAAAAEAAAAZHJzL1BLAwQUAAAACACHTuJAxLiGUdsAAAAL&#10;AQAADwAAAGRycy9kb3ducmV2LnhtbE2PwU7DMAyG70i8Q2QkbixdpXSsNJ0AaRxAHFbQNG5ZY9qK&#10;xilNthWeHnOCo+1Pv7+/WE2uF0ccQ+dJw3yWgECqve2o0fD6sr66BhGiIWt6T6jhCwOsyvOzwuTW&#10;n2iDxyo2gkMo5EZDG+OQSxnqFp0JMz8g8e3dj85EHsdG2tGcONz1Mk2STDrTEX9ozYD3LdYf1cFp&#10;CNavq12zrR7ePp+mu93t8+N3Z7W+vJgnNyAiTvEPhl99VoeSnfb+QDaIXoNSqWJUQ6qW3IGJTC0y&#10;EHveZIsEZFnI/x3KH1BLAwQUAAAACACHTuJANStfvCMCAAAbBAAADgAAAGRycy9lMm9Eb2MueG1s&#10;rVPNjtMwEL4j8Q6W7zRJWdolarqHlsIBQSV+7q7jJJb8J4/btC/BCyBxAk7Aae88DSyPwdgpXVg4&#10;7IEcom/smW9mvhnPLvZakZ3wIK2paDHKKRGG21qatqKvXq7unVMCgZmaKWtERQ8C6MX87p1Z70ox&#10;tp1VtfAESQyUvatoF4Irswx4JzSDkXXC4GVjvWYBTd9mtWc9smuVjfN8kvXW185bLgDwdDlc0iOj&#10;vw2hbRrJxdLyrRYmDKxeKBawJeikAzpP1TaN4OF504AIRFUUOw3pj0kQb+I/m89Y2XrmOsmPJbDb&#10;lHCjJ82kwaQnqiULjGy9/ItKS+4t2CaMuNXZ0EhSBLso8hvavOiYE6kXlBrcSXT4f7T82W7tiaxx&#10;E87PinGRT6ZTSgzTOPmrt5ff33y4+vL52/vLH1/fRfzpIynGUbTeQYmxC7P2Rwvc2kcF9o3XpFHS&#10;PUFOmtDriOId9kv2SfzDSXyxD4Tj4WQyvZ+PKeF4dfZgWjyMabKBL8Y6D+GxsJpEUFEInsm2Cwtr&#10;DE7Z+iED2z2FMAT+CojBypAeixhPcxw8Z7i2Da4LQu2wdTBtKg+skvVKKhVDwLebhfJkx3B1Vqsc&#10;v2NFf7jFLEsG3eAHB4hGdGSlt1tTJ9QJVj8yNQkHh7oafFc01qNFTYkS+AwjSp6BSXXtyby3/b9d&#10;URllUKA4iEH6iDa2PqSJpHPcmSThcb/jUv5up+jrNz3/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S4hlHbAAAACwEAAA8AAAAAAAAAAQAgAAAAIgAAAGRycy9kb3ducmV2LnhtbFBLAQIUABQAAAAI&#10;AIdO4kA1K1+8IwIAABsEAAAOAAAAAAAAAAEAIAAAACoBAABkcnMvZTJvRG9jLnhtbFBLBQYAAAAA&#10;BgAGAFkBAAC/BQAAAAA=&#10;">
                <v:fill on="f" focussize="0,0"/>
                <v:stroke weight="1pt" color="#FF0000" joinstyle="round" dashstyle="3 1" endarrow="open"/>
                <v:imagedata o:title=""/>
                <o:lock v:ext="edit" aspectratio="f"/>
              </v:shape>
            </w:pict>
          </mc:Fallback>
        </mc:AlternateContent>
      </w: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3191510</wp:posOffset>
                </wp:positionH>
                <wp:positionV relativeFrom="paragraph">
                  <wp:posOffset>740410</wp:posOffset>
                </wp:positionV>
                <wp:extent cx="563880" cy="1207770"/>
                <wp:effectExtent l="0" t="0" r="7620" b="11430"/>
                <wp:wrapNone/>
                <wp:docPr id="1380846613" name="矩形 1"/>
                <wp:cNvGraphicFramePr/>
                <a:graphic xmlns:a="http://schemas.openxmlformats.org/drawingml/2006/main">
                  <a:graphicData uri="http://schemas.microsoft.com/office/word/2010/wordprocessingShape">
                    <wps:wsp>
                      <wps:cNvSpPr/>
                      <wps:spPr>
                        <a:xfrm>
                          <a:off x="0" y="0"/>
                          <a:ext cx="563880" cy="1207770"/>
                        </a:xfrm>
                        <a:prstGeom prst="rect">
                          <a:avLst/>
                        </a:prstGeom>
                        <a:solidFill>
                          <a:srgbClr val="0070C0">
                            <a:alpha val="73000"/>
                          </a:srgbClr>
                        </a:solidFill>
                        <a:ln>
                          <a:noFill/>
                        </a:ln>
                      </wps:spPr>
                      <wps:bodyPr/>
                    </wps:wsp>
                  </a:graphicData>
                </a:graphic>
              </wp:anchor>
            </w:drawing>
          </mc:Choice>
          <mc:Fallback>
            <w:pict>
              <v:rect id="矩形 1" o:spid="_x0000_s1026" o:spt="1" style="position:absolute;left:0pt;margin-left:251.3pt;margin-top:58.3pt;height:95.1pt;width:44.4pt;z-index:251665408;mso-width-relative:page;mso-height-relative:page;" fillcolor="#0070C0" filled="t" stroked="f" coordsize="21600,21600" o:gfxdata="UEsDBAoAAAAAAIdO4kAAAAAAAAAAAAAAAAAEAAAAZHJzL1BLAwQUAAAACACHTuJAka+9RtkAAAAL&#10;AQAADwAAAGRycy9kb3ducmV2LnhtbE2Py07DMBBF90j8gzVI7KidlIQ2xOkCiccCCWj5ADeZJoF4&#10;bGz3wd8zrGA3o3t050y9OtlJHDDE0ZGGbKZAILWuG6nX8L65v1qAiMlQZyZHqOEbI6ya87PaVJ07&#10;0hse1qkXXEKxMhqGlHwlZWwHtCbOnEfibOeCNYnX0MsumCOX20nmSpXSmpH4wmA83g3Yfq73VoMs&#10;nh+eNq/54/zLv/iP4Hc3S5JaX15k6hZEwlP6g+FXn9WhYaet21MXxaShUHnJKAdZyQMTxTK7BrHV&#10;MFflAmRTy/8/ND9QSwMEFAAAAAgAh07iQPJItGPAAQAAfQMAAA4AAABkcnMvZTJvRG9jLnhtbK1T&#10;S27bMBDdF+gdCO5jUXZrCYLlLGKkmyIJkPYANEVZBPgDh7Hs0wToLofocYpeo0PKcdp0k0U21Mxw&#10;5s28N9Tq8mA02csAytmWljNGibTCdcruWvr92/VFTQlEbjuunZUtPUqgl+uPH1ajb+TcDU53MhAE&#10;sdCMvqVDjL4pChCDNBxmzkuLl70Lhkd0w67oAh8R3ehiztiyGF3ofHBCAmB0M13SE2J4C6DreyXk&#10;xokHI22cUIPUPCIlGJQHus7T9r0U8bbvQUaiW4pMYz6xCdrbdBbrFW92gftBidMI/C0jvOJkuLLY&#10;9Ay14ZGTh6D+gzJKBAeujzPhTDERyYogi5K90uZ+4F5mLig1+LPo8H6w4mZ/F4jq8CUsalZ/Wi7L&#10;BSWWG9z878enXz9/kDKJNHpoMPfe34WTB2gmxoc+mPRFLuSQhT2ehZWHSAQGPy8XdY2SC7wq56yq&#10;qqx88VLtA8Qv0hmSjJYGXFzWk++/QsSOmPqckpqB06q7VlpnJ+y2VzqQPU9LZhW7YlOt9gOfotWC&#10;seeWMKVnzH9wtE1o1iXcqWWKFIn6RDZZW9cdswY5jlvJOKcXlNb+t5+rX/6a9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Rr71G2QAAAAsBAAAPAAAAAAAAAAEAIAAAACIAAABkcnMvZG93bnJldi54&#10;bWxQSwECFAAUAAAACACHTuJA8ki0Y8ABAAB9AwAADgAAAAAAAAABACAAAAAoAQAAZHJzL2Uyb0Rv&#10;Yy54bWxQSwUGAAAAAAYABgBZAQAAWgUAAAAA&#10;">
                <v:fill on="t" opacity="47841f" focussize="0,0"/>
                <v:stroke on="f"/>
                <v:imagedata o:title=""/>
                <o:lock v:ext="edit" aspectratio="f"/>
              </v:rect>
            </w:pict>
          </mc:Fallback>
        </mc:AlternateContent>
      </w: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1080770</wp:posOffset>
                </wp:positionH>
                <wp:positionV relativeFrom="paragraph">
                  <wp:posOffset>731520</wp:posOffset>
                </wp:positionV>
                <wp:extent cx="563880" cy="1207770"/>
                <wp:effectExtent l="0" t="0" r="7620" b="11430"/>
                <wp:wrapNone/>
                <wp:docPr id="61" name="矩形 1"/>
                <wp:cNvGraphicFramePr/>
                <a:graphic xmlns:a="http://schemas.openxmlformats.org/drawingml/2006/main">
                  <a:graphicData uri="http://schemas.microsoft.com/office/word/2010/wordprocessingShape">
                    <wps:wsp>
                      <wps:cNvSpPr/>
                      <wps:spPr>
                        <a:xfrm>
                          <a:off x="0" y="0"/>
                          <a:ext cx="563880" cy="1207770"/>
                        </a:xfrm>
                        <a:prstGeom prst="rect">
                          <a:avLst/>
                        </a:prstGeom>
                        <a:solidFill>
                          <a:srgbClr val="0070C0">
                            <a:alpha val="73000"/>
                          </a:srgbClr>
                        </a:solidFill>
                        <a:ln>
                          <a:noFill/>
                        </a:ln>
                      </wps:spPr>
                      <wps:bodyPr/>
                    </wps:wsp>
                  </a:graphicData>
                </a:graphic>
              </wp:anchor>
            </w:drawing>
          </mc:Choice>
          <mc:Fallback>
            <w:pict>
              <v:rect id="矩形 1" o:spid="_x0000_s1026" o:spt="1" style="position:absolute;left:0pt;margin-left:85.1pt;margin-top:57.6pt;height:95.1pt;width:44.4pt;z-index:251664384;mso-width-relative:page;mso-height-relative:page;" fillcolor="#0070C0" filled="t" stroked="f" coordsize="21600,21600" o:gfxdata="UEsDBAoAAAAAAIdO4kAAAAAAAAAAAAAAAAAEAAAAZHJzL1BLAwQUAAAACACHTuJAeNNsddkAAAAL&#10;AQAADwAAAGRycy9kb3ducmV2LnhtbE2PzU7DMBCE70i8g7VI3KidlNA2jdMDEj8HpELLA7jJNgnE&#10;a2O7P7w9ywluM9pPszPV6mxHccQQB0casokCgdS4dqBOw/v24WYOIiZDrRkdoYZvjLCqLy8qU7bu&#10;RG943KROcAjF0mjoU/KllLHp0Zo4cR6Jb3sXrElsQyfbYE4cbkeZK3UnrRmIP/TG432PzefmYDXI&#10;4uXxefuaP02//Np/BL+fLUhqfX2VqSWIhOf0B8Nvfa4ONXfauQO1UYzsZypnlEVWsGAiLxa8bqdh&#10;qopbkHUl/2+ofwBQSwMEFAAAAAgAh07iQHgT3Ge5AQAAdQMAAA4AAABkcnMvZTJvRG9jLnhtbK1T&#10;zW7bMAy+D9g7CLovllMsCYw4PTToLsNWoNsDKLIcC9AfSDVOnmbAbnuIPc6w1xglp2nXXXrYRSYp&#10;8iO/j9b6+ugsO2hAE3zL65ngTHsVOuP3Lf/65fbdijNM0nfSBq9bftLIrzdv36zH2Oh5GILtNDAC&#10;8diMseVDSrGpKlSDdhJnIWpPl30AJxO5sK86kCOhO1vNhVhUY4AuQlAakaLb6ZKfEeE1gKHvjdLb&#10;oB6c9mlCBW1lIko4mIh8U6bte63S575HnZhtOTFN5aQmZO/yWW3WstmDjINR5xHka0Z4wclJ46np&#10;BWork2QPYP6BckZBwNCnmQqumogURYhFLV5ocz/IqAsXkhrjRXT8f7Dq0+EOmOlavqg589LRxn9/&#10;+/Hr53dWZ3HGiA3l3Mc7OHtIZmZ67MHlL3FgxyLo6SKoPiamKPh+cbVakdSKruq5WC6XRfHqqToC&#10;pg86OJaNlgMtrOgoDx8xUUdKfUzJzTBY090aa4sD+92NBXaQebliKW7EVGvjIKfo8kqIx5Y4pRfM&#10;v3Csz2g+ZNypZY5UmfpENlu70J2KBiVO2yg45z8nr/u5X6qfXsvm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jTbHXZAAAACwEAAA8AAAAAAAAAAQAgAAAAIgAAAGRycy9kb3ducmV2LnhtbFBLAQIU&#10;ABQAAAAIAIdO4kB4E9xnuQEAAHUDAAAOAAAAAAAAAAEAIAAAACgBAABkcnMvZTJvRG9jLnhtbFBL&#10;BQYAAAAABgAGAFkBAABTBQAAAAA=&#10;">
                <v:fill on="t" opacity="47841f" focussize="0,0"/>
                <v:stroke on="f"/>
                <v:imagedata o:title=""/>
                <o:lock v:ext="edit" aspectratio="f"/>
              </v:rect>
            </w:pict>
          </mc:Fallback>
        </mc:AlternateContent>
      </w:r>
      <w:r>
        <w:rPr>
          <w:rFonts w:hint="eastAsia" w:ascii="宋体" w:hAnsi="宋体" w:eastAsia="宋体" w:cs="宋体"/>
          <w:color w:val="000000" w:themeColor="text1"/>
          <w:highlight w:val="none"/>
          <w14:textFill>
            <w14:solidFill>
              <w14:schemeClr w14:val="tx1"/>
            </w14:solidFill>
          </w14:textFill>
        </w:rPr>
        <w:drawing>
          <wp:inline distT="0" distB="0" distL="0" distR="0">
            <wp:extent cx="4763770" cy="2295525"/>
            <wp:effectExtent l="0" t="0" r="17780" b="9525"/>
            <wp:docPr id="65"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descr="图示, 工程绘图&#10;&#10;描述已自动生成"/>
                    <pic:cNvPicPr>
                      <a:picLocks noChangeAspect="1"/>
                    </pic:cNvPicPr>
                  </pic:nvPicPr>
                  <pic:blipFill>
                    <a:blip r:embed="rId13"/>
                    <a:stretch>
                      <a:fillRect/>
                    </a:stretch>
                  </pic:blipFill>
                  <pic:spPr>
                    <a:xfrm>
                      <a:off x="0" y="0"/>
                      <a:ext cx="4763770" cy="2295525"/>
                    </a:xfrm>
                    <a:prstGeom prst="rect">
                      <a:avLst/>
                    </a:prstGeom>
                    <a:noFill/>
                    <a:ln>
                      <a:noFill/>
                    </a:ln>
                  </pic:spPr>
                </pic:pic>
              </a:graphicData>
            </a:graphic>
          </wp:inline>
        </w:drawing>
      </w:r>
    </w:p>
    <w:p>
      <w:pPr>
        <w:widowControl/>
        <w:jc w:val="center"/>
        <w:rPr>
          <w:rFonts w:hint="eastAsia" w:ascii="宋体" w:hAnsi="宋体" w:eastAsia="宋体" w:cs="宋体"/>
          <w:bCs/>
          <w:color w:val="000000" w:themeColor="text1"/>
          <w:sz w:val="32"/>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舞台背景墙</w:t>
      </w:r>
    </w:p>
    <w:p>
      <w:pPr>
        <w:widowControl/>
        <w:jc w:val="left"/>
        <w:rPr>
          <w:rFonts w:hint="eastAsia" w:ascii="宋体" w:hAnsi="宋体" w:eastAsia="宋体" w:cs="宋体"/>
          <w:b/>
          <w:color w:val="000000" w:themeColor="text1"/>
          <w:sz w:val="32"/>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anchor distT="0" distB="0" distL="114300" distR="114300" simplePos="0" relativeHeight="251670528" behindDoc="0" locked="0" layoutInCell="1" allowOverlap="1">
            <wp:simplePos x="0" y="0"/>
            <wp:positionH relativeFrom="column">
              <wp:posOffset>4367530</wp:posOffset>
            </wp:positionH>
            <wp:positionV relativeFrom="paragraph">
              <wp:posOffset>1153795</wp:posOffset>
            </wp:positionV>
            <wp:extent cx="1004570" cy="737870"/>
            <wp:effectExtent l="0" t="0" r="5080" b="5080"/>
            <wp:wrapNone/>
            <wp:docPr id="587481541" name="ID_E7356DF5B41D46ECB2D23BBD0B2F9EC2" descr="图片包含 游戏机, 话筒, 瓶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81541" name="ID_E7356DF5B41D46ECB2D23BBD0B2F9EC2" descr="图片包含 游戏机, 话筒, 瓶子&#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4400" cy="738000"/>
                    </a:xfrm>
                    <a:prstGeom prst="rect">
                      <a:avLst/>
                    </a:prstGeom>
                    <a:noFill/>
                    <a:ln>
                      <a:noFill/>
                    </a:ln>
                  </pic:spPr>
                </pic:pic>
              </a:graphicData>
            </a:graphic>
          </wp:anchor>
        </w:drawing>
      </w: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3833495</wp:posOffset>
                </wp:positionH>
                <wp:positionV relativeFrom="paragraph">
                  <wp:posOffset>1245870</wp:posOffset>
                </wp:positionV>
                <wp:extent cx="667385" cy="45720"/>
                <wp:effectExtent l="0" t="44450" r="18415" b="24130"/>
                <wp:wrapNone/>
                <wp:docPr id="18307440" name="直接箭头连接符 12"/>
                <wp:cNvGraphicFramePr/>
                <a:graphic xmlns:a="http://schemas.openxmlformats.org/drawingml/2006/main">
                  <a:graphicData uri="http://schemas.microsoft.com/office/word/2010/wordprocessingShape">
                    <wps:wsp>
                      <wps:cNvCnPr/>
                      <wps:spPr>
                        <a:xfrm flipH="1" flipV="1">
                          <a:off x="0" y="0"/>
                          <a:ext cx="667302" cy="45719"/>
                        </a:xfrm>
                        <a:prstGeom prst="straightConnector1">
                          <a:avLst/>
                        </a:prstGeom>
                        <a:ln w="12700" cap="flat" cmpd="sng">
                          <a:solidFill>
                            <a:srgbClr val="FF0000"/>
                          </a:solidFill>
                          <a:prstDash val="sysDash"/>
                          <a:round/>
                          <a:headEnd type="none" w="med" len="med"/>
                          <a:tailEnd type="arrow" w="med" len="med"/>
                        </a:ln>
                      </wps:spPr>
                      <wps:bodyPr/>
                    </wps:wsp>
                  </a:graphicData>
                </a:graphic>
              </wp:anchor>
            </w:drawing>
          </mc:Choice>
          <mc:Fallback>
            <w:pict>
              <v:shape id="直接箭头连接符 12" o:spid="_x0000_s1026" o:spt="32" type="#_x0000_t32" style="position:absolute;left:0pt;flip:x y;margin-left:301.85pt;margin-top:98.1pt;height:3.6pt;width:52.55pt;z-index:251669504;mso-width-relative:page;mso-height-relative:page;" filled="f" stroked="t" coordsize="21600,21600" o:gfxdata="UEsDBAoAAAAAAIdO4kAAAAAAAAAAAAAAAAAEAAAAZHJzL1BLAwQUAAAACACHTuJAP6+q9dsAAAAL&#10;AQAADwAAAGRycy9kb3ducmV2LnhtbE2PwU7DMBBE70j8g7VI3KjdFKUlxKkAqRxAPZBWqNzceEki&#10;4nWI3Tbw9SwnOK7mafZNvhxdJ444hNaThulEgUCqvG2p1rDdrK4WIEI0ZE3nCTV8YYBlcX6Wm8z6&#10;E73gsYy14BIKmdHQxNhnUoaqQWfCxPdInL37wZnI51BLO5gTl7tOJkql0pmW+ENjenxosPooD05D&#10;sH5V7urX8vHt83m8392tn75bq/XlxVTdgog4xj8YfvVZHQp22vsD2SA6DamazRnl4CZNQDAxVwse&#10;s9eQqNk1yCKX/zcUP1BLAwQUAAAACACHTuJAOCwdAyECAAAZBAAADgAAAGRycy9lMm9Eb2MueG1s&#10;rVPNjtMwEL4j8Q6W7zRpt7RL1HQPLYUDgkr83F3HSSz5Tx63aV+CF0DiBHsCTnvnaWB5DMZO6cLC&#10;YQ/kEH22Z76Z7/N4drHXiuyEB2lNSYeDnBJhuK2kaUr6+tXqwTklEJipmLJGlPQggF7M79+bda4Q&#10;I9taVQlPkMRA0bmStiG4IsuAt0IzGFgnDB7W1msWcOmbrPKsQ3atslGeT7LO+sp5ywUA7i77Q3pk&#10;9HchtHUtuVhavtXChJ7VC8UCSoJWOqDz1G1dCx5e1DWIQFRJUWlIfyyCeBP/2XzGisYz10p+bIHd&#10;pYVbmjSTBoueqJYsMLL18i8qLbm3YOsw4FZnvZDkCKoY5re8edkyJ5IWtBrcyXT4f7T8+W7tiaxw&#10;Es7P8ul4jMYYpvHer99dfX/78frL528frn58fR/xp0syHEXLOgcFZi7M2h9X4NY+6t/XXpNaSfcU&#10;GWlCbyKKZ6iW7JP1h5P1Yh8Ix83JZHqWjyjheDR+OB0+imWyni/mOg/hibCaRFBSCJ7Jpg0Lawze&#10;sfV9BbZ7BqFP/JUQk5UhHTYxmuaojjMc2hqHBaF2KBxMk9oDq2S1kkrFFPDNZqE82TEcnNUqx+/Y&#10;0R9hscqSQdvHwQHiIgaywtutqRJqBasem4qEg0NfDb4qGvvRoqJECXyEEaXIwKS6iWTe2+7foeiM&#10;MmhQvIje+og2tjqkG0n7ODHJwuN0x5H8fZ2yb170/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10;r6r12wAAAAsBAAAPAAAAAAAAAAEAIAAAACIAAABkcnMvZG93bnJldi54bWxQSwECFAAUAAAACACH&#10;TuJAOCwdAyECAAAZBAAADgAAAAAAAAABACAAAAAqAQAAZHJzL2Uyb0RvYy54bWxQSwUGAAAAAAYA&#10;BgBZAQAAvQUAAAAA&#10;">
                <v:fill on="f" focussize="0,0"/>
                <v:stroke weight="1pt" color="#FF0000" joinstyle="round" dashstyle="3 1" endarrow="open"/>
                <v:imagedata o:title=""/>
                <o:lock v:ext="edit" aspectratio="f"/>
              </v:shape>
            </w:pict>
          </mc:Fallback>
        </mc:AlternateContent>
      </w: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810260</wp:posOffset>
                </wp:positionH>
                <wp:positionV relativeFrom="paragraph">
                  <wp:posOffset>356870</wp:posOffset>
                </wp:positionV>
                <wp:extent cx="3429000" cy="1423035"/>
                <wp:effectExtent l="0" t="0" r="0" b="5715"/>
                <wp:wrapNone/>
                <wp:docPr id="66" name="任意多边形 66"/>
                <wp:cNvGraphicFramePr/>
                <a:graphic xmlns:a="http://schemas.openxmlformats.org/drawingml/2006/main">
                  <a:graphicData uri="http://schemas.microsoft.com/office/word/2010/wordprocessingShape">
                    <wps:wsp>
                      <wps:cNvSpPr/>
                      <wps:spPr>
                        <a:xfrm>
                          <a:off x="0" y="0"/>
                          <a:ext cx="3429000" cy="1423035"/>
                        </a:xfrm>
                        <a:custGeom>
                          <a:avLst/>
                          <a:gdLst/>
                          <a:ahLst/>
                          <a:cxnLst/>
                          <a:rect l="0" t="0" r="0" b="0"/>
                          <a:pathLst>
                            <a:path w="6734" h="2050">
                              <a:moveTo>
                                <a:pt x="0" y="0"/>
                              </a:moveTo>
                              <a:lnTo>
                                <a:pt x="9" y="2034"/>
                              </a:lnTo>
                              <a:lnTo>
                                <a:pt x="825" y="2050"/>
                              </a:lnTo>
                              <a:lnTo>
                                <a:pt x="831" y="1066"/>
                              </a:lnTo>
                              <a:lnTo>
                                <a:pt x="1575" y="1059"/>
                              </a:lnTo>
                              <a:lnTo>
                                <a:pt x="1592" y="2034"/>
                              </a:lnTo>
                              <a:lnTo>
                                <a:pt x="6734" y="2050"/>
                              </a:lnTo>
                              <a:lnTo>
                                <a:pt x="6725" y="9"/>
                              </a:lnTo>
                              <a:lnTo>
                                <a:pt x="0" y="0"/>
                              </a:lnTo>
                              <a:close/>
                            </a:path>
                          </a:pathLst>
                        </a:custGeom>
                        <a:solidFill>
                          <a:srgbClr val="0070C0">
                            <a:alpha val="73000"/>
                          </a:srgbClr>
                        </a:solidFill>
                        <a:ln>
                          <a:noFill/>
                        </a:ln>
                      </wps:spPr>
                      <wps:bodyPr/>
                    </wps:wsp>
                  </a:graphicData>
                </a:graphic>
              </wp:anchor>
            </w:drawing>
          </mc:Choice>
          <mc:Fallback>
            <w:pict>
              <v:shape id="_x0000_s1026" o:spid="_x0000_s1026" o:spt="100" style="position:absolute;left:0pt;margin-left:63.8pt;margin-top:28.1pt;height:112.05pt;width:270pt;z-index:251668480;mso-width-relative:page;mso-height-relative:page;" fillcolor="#0070C0" filled="t" stroked="f" coordsize="6734,2050" o:gfxdata="UEsDBAoAAAAAAIdO4kAAAAAAAAAAAAAAAAAEAAAAZHJzL1BLAwQUAAAACACHTuJANCoeh9YAAAAK&#10;AQAADwAAAGRycy9kb3ducmV2LnhtbE2Py07DMBBF90j8gzVIbBC1Y4RbhTgVQoIFq74+wI2ncYQ9&#10;DrH74O9xV7C8M0d3zjTLS/DshFMaImmoZgIYUhftQL2G3fb9cQEsZUPW+Eio4QcTLNvbm8bUNp5p&#10;jadN7lkpoVQbDS7nseY8dQ6DSbM4IpXdIU7B5BKnntvJnEt58FwKoXgwA5ULzoz45rD72hyDhtfP&#10;Ssjvj+HhIJ2XYb1b4TystL6/q8QLsIyX/AfDVb+oQ1uc9vFINjFfspyrgmp4VhJYAZS6DvYa5EI8&#10;AW8b/v+F9hdQSwMEFAAAAAgAh07iQI23P4RNAgAAYgUAAA4AAABkcnMvZTJvRG9jLnhtbK1UzY7T&#10;MBC+I/EOlu80Tvq3rZruYavlgmClXR7AdZwmkmNbtvt3586dI+Il0AqehkU8BmM7acsilR64xGPP&#10;+Jv5vhlndr1rBNpwY2slc5z2CEZcMlXUcpXj9w+3r64wso7KggoleY733OLr+csXs62e8kxVShTc&#10;IACRdrrVOa6c09MksaziDbU9pbkEZ6lMQx1szSopDN0CeiOSjJBRslWm0EYxbi2cLqITt4jmEkBV&#10;ljXjC8XWDZcuohouqANKtqq1xfNQbVly5t6VpeUOiRwDUxe+kATspf8m8xmdrgzVVc3aEuglJTzj&#10;1NBaQtID1II6itam/guqqZlRVpWux1STRCJBEWCRkmfa3FdU88AFpLb6ILr9f7Ds7ebOoLrI8WiE&#10;kaQNdPzH4+PPDx+fvnz69f3r07fPCDwg01bbKUTf6zvT7iyYnvOuNI1fgQ3aBWn3B2n5ziEGh/1B&#10;NiEEVGfgSwdZn/SHHjU5Xmdr615zFaDo5o11sTdFZ9Gqs9hOdqaBDp/trabO3/P1eRNtgem4P8Co&#10;ynFGhiR0rVEb/qBCjHtGAQo8eoU8jZpgBGQyAmiRSefuVh3ArrJhGwjZzgb20xCYkqg4pO6QujUi&#10;psNxhEzJcHIWMh1OssuqjKIEPv8oczRuCZ1PDb3uxuCECBPK8iiCb0cYgEOLIO50CKwSdXFbC+Eb&#10;Y81qeSMM2lD/ksmY3MTWUaErGk/HfT9hEbwND/h/4Ajp0aTyuF0zIMpPd5xnby1VsQ9jHs7h6QWc&#10;9jfh3/bpPtw+/hrn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0Kh6H1gAAAAoBAAAPAAAAAAAA&#10;AAEAIAAAACIAAABkcnMvZG93bnJldi54bWxQSwECFAAUAAAACACHTuJAjbc/hE0CAABiBQAADgAA&#10;AAAAAAABACAAAAAlAQAAZHJzL2Uyb0RvYy54bWxQSwUGAAAAAAYABgBZAQAA5AUAAAAA&#10;" path="m0,0l9,2034,825,2050,831,1066,1575,1059,1592,2034,6734,2050,6725,9,0,0xe">
                <v:fill on="t" opacity="47841f" focussize="0,0"/>
                <v:stroke on="f"/>
                <v:imagedata o:title=""/>
                <o:lock v:ext="edit" aspectratio="f"/>
              </v:shape>
            </w:pict>
          </mc:Fallback>
        </mc:AlternateContent>
      </w:r>
      <w:r>
        <w:rPr>
          <w:rFonts w:hint="eastAsia" w:ascii="宋体" w:hAnsi="宋体" w:eastAsia="宋体" w:cs="宋体"/>
          <w:color w:val="000000" w:themeColor="text1"/>
          <w:highlight w:val="none"/>
          <w14:textFill>
            <w14:solidFill>
              <w14:schemeClr w14:val="tx1"/>
            </w14:solidFill>
          </w14:textFill>
        </w:rPr>
        <w:drawing>
          <wp:inline distT="0" distB="0" distL="0" distR="0">
            <wp:extent cx="4669790" cy="2138680"/>
            <wp:effectExtent l="0" t="0" r="16510" b="13970"/>
            <wp:docPr id="70" name="图片 2" descr="电脑屏幕的照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descr="电脑屏幕的照片&#10;&#10;中度可信度描述已自动生成"/>
                    <pic:cNvPicPr>
                      <a:picLocks noChangeAspect="1"/>
                    </pic:cNvPicPr>
                  </pic:nvPicPr>
                  <pic:blipFill>
                    <a:blip r:embed="rId14"/>
                    <a:stretch>
                      <a:fillRect/>
                    </a:stretch>
                  </pic:blipFill>
                  <pic:spPr>
                    <a:xfrm>
                      <a:off x="0" y="0"/>
                      <a:ext cx="4669790" cy="2138680"/>
                    </a:xfrm>
                    <a:prstGeom prst="rect">
                      <a:avLst/>
                    </a:prstGeom>
                    <a:noFill/>
                    <a:ln>
                      <a:noFill/>
                    </a:ln>
                  </pic:spPr>
                </pic:pic>
              </a:graphicData>
            </a:graphic>
          </wp:inline>
        </w:drawing>
      </w:r>
    </w:p>
    <w:p>
      <w:pPr>
        <w:widowControl/>
        <w:jc w:val="center"/>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观众背景墙</w:t>
      </w:r>
    </w:p>
    <w:p>
      <w:pPr>
        <w:widowControl/>
        <w:jc w:val="left"/>
        <w:rPr>
          <w:rFonts w:hint="eastAsia" w:ascii="宋体" w:hAnsi="宋体" w:eastAsia="宋体" w:cs="宋体"/>
          <w:b/>
          <w:color w:val="000000" w:themeColor="text1"/>
          <w:sz w:val="32"/>
          <w:highlight w:val="none"/>
          <w14:textFill>
            <w14:solidFill>
              <w14:schemeClr w14:val="tx1"/>
            </w14:solidFill>
          </w14:textFill>
        </w:rPr>
      </w:pPr>
    </w:p>
    <w:p>
      <w:pPr>
        <w:outlineLvl w:val="2"/>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3</w:t>
      </w:r>
      <w:r>
        <w:rPr>
          <w:rFonts w:hint="eastAsia" w:ascii="宋体" w:hAnsi="宋体" w:eastAsia="宋体" w:cs="宋体"/>
          <w:b/>
          <w:color w:val="000000" w:themeColor="text1"/>
          <w:sz w:val="28"/>
          <w:szCs w:val="28"/>
          <w:highlight w:val="none"/>
          <w14:textFill>
            <w14:solidFill>
              <w14:schemeClr w14:val="tx1"/>
            </w14:solidFill>
          </w14:textFill>
        </w:rPr>
        <w:t xml:space="preserve"> 礼堂桌椅、讲台等家具</w:t>
      </w:r>
    </w:p>
    <w:p>
      <w:pPr>
        <w:outlineLvl w:val="3"/>
        <w:rPr>
          <w:rFonts w:hint="eastAsia" w:ascii="宋体" w:hAnsi="宋体" w:eastAsia="宋体" w:cs="宋体"/>
          <w:b/>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sz w:val="28"/>
          <w:szCs w:val="28"/>
          <w:highlight w:val="none"/>
          <w14:textFill>
            <w14:solidFill>
              <w14:schemeClr w14:val="tx1"/>
            </w14:solidFill>
          </w14:textFill>
        </w:rPr>
        <w:t>2.1</w:t>
      </w:r>
      <w:r>
        <w:rPr>
          <w:rFonts w:hint="eastAsia" w:ascii="宋体" w:hAnsi="宋体" w:eastAsia="宋体" w:cs="宋体"/>
          <w:b/>
          <w:color w:val="000000" w:themeColor="text1"/>
          <w:sz w:val="28"/>
          <w:szCs w:val="28"/>
          <w:highlight w:val="none"/>
          <w:lang w:val="en-US" w:eastAsia="zh-CN"/>
          <w14:textFill>
            <w14:solidFill>
              <w14:schemeClr w14:val="tx1"/>
            </w14:solidFill>
          </w14:textFill>
        </w:rPr>
        <w:t>3</w:t>
      </w:r>
      <w:r>
        <w:rPr>
          <w:rFonts w:hint="eastAsia" w:ascii="宋体" w:hAnsi="宋体" w:eastAsia="宋体" w:cs="宋体"/>
          <w:b/>
          <w:color w:val="000000" w:themeColor="text1"/>
          <w:sz w:val="28"/>
          <w:szCs w:val="28"/>
          <w:highlight w:val="none"/>
          <w14:textFill>
            <w14:solidFill>
              <w14:schemeClr w14:val="tx1"/>
            </w14:solidFill>
          </w14:textFill>
        </w:rPr>
        <w:t>.1家具配置</w:t>
      </w:r>
    </w:p>
    <w:p>
      <w:pPr>
        <w:pStyle w:val="10"/>
        <w:numPr>
          <w:ilvl w:val="0"/>
          <w:numId w:val="1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讲台：升降讲台 1个；</w:t>
      </w:r>
    </w:p>
    <w:p>
      <w:pPr>
        <w:pStyle w:val="10"/>
        <w:numPr>
          <w:ilvl w:val="0"/>
          <w:numId w:val="1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主席台会议桌（深600mm）：1张单（宽1200mm)、</w:t>
      </w: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张双（宽1800mm)；</w:t>
      </w:r>
    </w:p>
    <w:p>
      <w:pPr>
        <w:pStyle w:val="10"/>
        <w:numPr>
          <w:ilvl w:val="0"/>
          <w:numId w:val="1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主席台椅 </w:t>
      </w:r>
      <w:r>
        <w:rPr>
          <w:rFonts w:hint="eastAsia" w:ascii="宋体" w:hAnsi="宋体" w:eastAsia="宋体" w:cs="宋体"/>
          <w:color w:val="000000" w:themeColor="text1"/>
          <w:highlight w:val="none"/>
          <w:lang w:val="en-US" w:eastAsia="zh-CN"/>
          <w14:textFill>
            <w14:solidFill>
              <w14:schemeClr w14:val="tx1"/>
            </w14:solidFill>
          </w14:textFill>
        </w:rPr>
        <w:t>9</w:t>
      </w:r>
      <w:r>
        <w:rPr>
          <w:rFonts w:hint="eastAsia" w:ascii="宋体" w:hAnsi="宋体" w:eastAsia="宋体" w:cs="宋体"/>
          <w:color w:val="000000" w:themeColor="text1"/>
          <w:highlight w:val="none"/>
          <w14:textFill>
            <w14:solidFill>
              <w14:schemeClr w14:val="tx1"/>
            </w14:solidFill>
          </w14:textFill>
        </w:rPr>
        <w:t>张；</w:t>
      </w:r>
    </w:p>
    <w:p>
      <w:pPr>
        <w:pStyle w:val="10"/>
        <w:numPr>
          <w:ilvl w:val="0"/>
          <w:numId w:val="1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观众席会议条桌：12</w:t>
      </w:r>
      <w:r>
        <w:rPr>
          <w:rFonts w:hint="eastAsia" w:ascii="宋体" w:hAnsi="宋体" w:eastAsia="宋体" w:cs="宋体"/>
          <w:color w:val="000000" w:themeColor="text1"/>
          <w:highlight w:val="none"/>
          <w:lang w:eastAsia="zh-CN"/>
          <w14:textFill>
            <w14:solidFill>
              <w14:schemeClr w14:val="tx1"/>
            </w14:solidFill>
          </w14:textFill>
        </w:rPr>
        <w:t>张</w:t>
      </w:r>
      <w:r>
        <w:rPr>
          <w:rFonts w:hint="eastAsia" w:ascii="宋体" w:hAnsi="宋体" w:eastAsia="宋体" w:cs="宋体"/>
          <w:color w:val="000000" w:themeColor="text1"/>
          <w:highlight w:val="none"/>
          <w14:textFill>
            <w14:solidFill>
              <w14:schemeClr w14:val="tx1"/>
            </w14:solidFill>
          </w14:textFill>
        </w:rPr>
        <w:t>（宽1800mm)</w:t>
      </w:r>
      <w:r>
        <w:rPr>
          <w:rFonts w:hint="eastAsia" w:ascii="宋体" w:hAnsi="宋体" w:eastAsia="宋体" w:cs="宋体"/>
          <w:color w:val="000000" w:themeColor="text1"/>
          <w:highlight w:val="none"/>
          <w:lang w:eastAsia="zh-CN"/>
          <w14:textFill>
            <w14:solidFill>
              <w14:schemeClr w14:val="tx1"/>
            </w14:solidFill>
          </w14:textFill>
        </w:rPr>
        <w:t>；</w:t>
      </w:r>
    </w:p>
    <w:p>
      <w:pPr>
        <w:pStyle w:val="10"/>
        <w:numPr>
          <w:ilvl w:val="0"/>
          <w:numId w:val="1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观众席椅：36张（2排）</w:t>
      </w:r>
      <w:r>
        <w:rPr>
          <w:rFonts w:hint="eastAsia" w:ascii="宋体" w:hAnsi="宋体" w:eastAsia="宋体" w:cs="宋体"/>
          <w:color w:val="000000" w:themeColor="text1"/>
          <w:highlight w:val="none"/>
          <w:lang w:eastAsia="zh-CN"/>
          <w14:textFill>
            <w14:solidFill>
              <w14:schemeClr w14:val="tx1"/>
            </w14:solidFill>
          </w14:textFill>
        </w:rPr>
        <w:t>；</w:t>
      </w:r>
    </w:p>
    <w:p>
      <w:pPr>
        <w:pStyle w:val="10"/>
        <w:numPr>
          <w:ilvl w:val="0"/>
          <w:numId w:val="1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可折叠座椅：144张（8排）</w:t>
      </w:r>
      <w:r>
        <w:rPr>
          <w:rFonts w:hint="eastAsia" w:ascii="宋体" w:hAnsi="宋体" w:eastAsia="宋体" w:cs="宋体"/>
          <w:color w:val="000000" w:themeColor="text1"/>
          <w:highlight w:val="none"/>
          <w:lang w:eastAsia="zh-CN"/>
          <w14:textFill>
            <w14:solidFill>
              <w14:schemeClr w14:val="tx1"/>
            </w14:solidFill>
          </w14:textFill>
        </w:rPr>
        <w:t>；</w:t>
      </w:r>
    </w:p>
    <w:p>
      <w:pPr>
        <w:pStyle w:val="10"/>
        <w:numPr>
          <w:ilvl w:val="0"/>
          <w:numId w:val="1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课室讲台：1个；</w:t>
      </w:r>
    </w:p>
    <w:p>
      <w:pPr>
        <w:pStyle w:val="10"/>
        <w:numPr>
          <w:ilvl w:val="0"/>
          <w:numId w:val="14"/>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培训桌16张，不带桌板的培训椅33张。</w:t>
      </w:r>
    </w:p>
    <w:p>
      <w:pPr>
        <w:widowControl/>
        <w:jc w:val="left"/>
        <w:rPr>
          <w:rFonts w:hint="eastAsia" w:ascii="宋体" w:hAnsi="宋体" w:eastAsia="宋体" w:cs="宋体"/>
          <w:b/>
          <w:color w:val="000000" w:themeColor="text1"/>
          <w:sz w:val="32"/>
          <w:highlight w:val="none"/>
          <w14:textFill>
            <w14:solidFill>
              <w14:schemeClr w14:val="tx1"/>
            </w14:solidFill>
          </w14:textFill>
        </w:rPr>
      </w:pPr>
    </w:p>
    <w:p>
      <w:pPr>
        <w:outlineLvl w:val="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32"/>
          <w:highlight w:val="none"/>
          <w14:textFill>
            <w14:solidFill>
              <w14:schemeClr w14:val="tx1"/>
            </w14:solidFill>
          </w14:textFill>
        </w:rPr>
        <w:t>三、项目管理</w:t>
      </w:r>
    </w:p>
    <w:p>
      <w:pPr>
        <w:outlineLvl w:val="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8"/>
          <w:highlight w:val="none"/>
          <w14:textFill>
            <w14:solidFill>
              <w14:schemeClr w14:val="tx1"/>
            </w14:solidFill>
          </w14:textFill>
        </w:rPr>
        <w:t>3.1</w:t>
      </w:r>
      <w:r>
        <w:rPr>
          <w:rFonts w:hint="eastAsia" w:ascii="宋体" w:hAnsi="宋体" w:eastAsia="宋体" w:cs="宋体"/>
          <w:b/>
          <w:color w:val="000000" w:themeColor="text1"/>
          <w:sz w:val="28"/>
          <w:highlight w:val="none"/>
          <w:lang w:val="en-US" w:eastAsia="zh-CN"/>
          <w14:textFill>
            <w14:solidFill>
              <w14:schemeClr w14:val="tx1"/>
            </w14:solidFill>
          </w14:textFill>
        </w:rPr>
        <w:t>项目</w:t>
      </w:r>
      <w:r>
        <w:rPr>
          <w:rFonts w:hint="eastAsia" w:ascii="宋体" w:hAnsi="宋体" w:eastAsia="宋体" w:cs="宋体"/>
          <w:b/>
          <w:color w:val="000000" w:themeColor="text1"/>
          <w:sz w:val="28"/>
          <w:highlight w:val="none"/>
          <w14:textFill>
            <w14:solidFill>
              <w14:schemeClr w14:val="tx1"/>
            </w14:solidFill>
          </w14:textFill>
        </w:rPr>
        <w:t>实施要求</w:t>
      </w:r>
    </w:p>
    <w:p>
      <w:pPr>
        <w:ind w:firstLine="420" w:firstLineChars="200"/>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完成本项目采购的</w:t>
      </w:r>
      <w:r>
        <w:rPr>
          <w:rFonts w:hint="eastAsia" w:ascii="宋体" w:hAnsi="宋体" w:eastAsia="宋体" w:cs="宋体"/>
          <w:color w:val="000000" w:themeColor="text1"/>
          <w:highlight w:val="none"/>
          <w:lang w:val="en-US" w:eastAsia="zh-CN"/>
          <w14:textFill>
            <w14:solidFill>
              <w14:schemeClr w14:val="tx1"/>
            </w14:solidFill>
          </w14:textFill>
        </w:rPr>
        <w:t>声学改造装修、</w:t>
      </w:r>
      <w:r>
        <w:rPr>
          <w:rFonts w:hint="eastAsia" w:ascii="宋体" w:hAnsi="宋体" w:eastAsia="宋体" w:cs="宋体"/>
          <w:color w:val="000000" w:themeColor="text1"/>
          <w:highlight w:val="none"/>
          <w14:textFill>
            <w14:solidFill>
              <w14:schemeClr w14:val="tx1"/>
            </w14:solidFill>
          </w14:textFill>
        </w:rPr>
        <w:t>所有软硬件设备的安装、调试、实现各设备系统集成，货物到场后</w:t>
      </w: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根据客户的实际情况及需求，提供完整的、具体的、可行的安装、调试方案，相关技术人员应具备较强的专业技术能力，确保本项目顺利进行，同时应满足招标需求中提出的功能和性能要求：</w:t>
      </w:r>
    </w:p>
    <w:p>
      <w:pPr>
        <w:ind w:firstLine="420" w:firstLineChars="200"/>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1）能依据</w:t>
      </w:r>
      <w:r>
        <w:rPr>
          <w:rFonts w:hint="eastAsia" w:ascii="宋体" w:hAnsi="宋体" w:eastAsia="宋体" w:cs="宋体"/>
          <w:color w:val="000000" w:themeColor="text1"/>
          <w:highlight w:val="none"/>
          <w:lang w:val="en-US" w:eastAsia="zh-CN"/>
          <w14:textFill>
            <w14:solidFill>
              <w14:schemeClr w14:val="tx1"/>
            </w14:solidFill>
          </w14:textFill>
        </w:rPr>
        <w:t>礼堂</w:t>
      </w:r>
      <w:r>
        <w:rPr>
          <w:rFonts w:hint="eastAsia" w:ascii="宋体" w:hAnsi="宋体" w:eastAsia="宋体" w:cs="宋体"/>
          <w:color w:val="000000" w:themeColor="text1"/>
          <w:highlight w:val="none"/>
          <w14:textFill>
            <w14:solidFill>
              <w14:schemeClr w14:val="tx1"/>
            </w14:solidFill>
          </w14:textFill>
        </w:rPr>
        <w:t>建设要求时限，制定科学的实施组织计划，包括安装、整体调试的详细计划；</w:t>
      </w:r>
    </w:p>
    <w:p>
      <w:pPr>
        <w:ind w:firstLine="420" w:firstLineChars="200"/>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2）有设备安装的质量和安全管理措施，有调试效果监测措施，有实施、完工及验收等资料及时提交的保证措施；</w:t>
      </w:r>
    </w:p>
    <w:p>
      <w:pPr>
        <w:ind w:firstLine="420" w:firstLineChars="200"/>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3）需要有项目的清晰管理措施。</w:t>
      </w:r>
    </w:p>
    <w:p>
      <w:pPr>
        <w:ind w:firstLine="420" w:firstLineChars="200"/>
        <w:outlineLvl w:val="9"/>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电配电箱为40KW，总功率≤40KW峰值</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提供承诺函，格式自拟。</w:t>
      </w:r>
    </w:p>
    <w:p>
      <w:pPr>
        <w:ind w:firstLine="420" w:firstLineChars="200"/>
        <w:outlineLvl w:val="9"/>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供应商承诺在成交后凡影响外观的产品（包括：</w:t>
      </w:r>
      <w:r>
        <w:rPr>
          <w:rFonts w:hint="eastAsia" w:ascii="宋体" w:hAnsi="宋体" w:eastAsia="宋体" w:cs="宋体"/>
          <w:color w:val="000000" w:themeColor="text1"/>
          <w:highlight w:val="none"/>
          <w14:textFill>
            <w14:solidFill>
              <w14:schemeClr w14:val="tx1"/>
            </w14:solidFill>
          </w14:textFill>
        </w:rPr>
        <w:t>主扩音箱、补声环绕音箱、返听中置音箱、超低音箱、LED</w:t>
      </w:r>
      <w:r>
        <w:rPr>
          <w:rFonts w:hint="eastAsia" w:ascii="宋体" w:hAnsi="宋体" w:eastAsia="宋体" w:cs="宋体"/>
          <w:color w:val="000000" w:themeColor="text1"/>
          <w:highlight w:val="none"/>
          <w:lang w:val="en-US" w:eastAsia="zh-CN"/>
          <w14:textFill>
            <w14:solidFill>
              <w14:schemeClr w14:val="tx1"/>
            </w14:solidFill>
          </w14:textFill>
        </w:rPr>
        <w:t>摇头</w:t>
      </w:r>
      <w:r>
        <w:rPr>
          <w:rFonts w:hint="eastAsia" w:ascii="宋体" w:hAnsi="宋体" w:eastAsia="宋体" w:cs="宋体"/>
          <w:color w:val="000000" w:themeColor="text1"/>
          <w:highlight w:val="none"/>
          <w14:textFill>
            <w14:solidFill>
              <w14:schemeClr w14:val="tx1"/>
            </w14:solidFill>
          </w14:textFill>
        </w:rPr>
        <w:t>染色帕灯、平板会议灯、智能光束灯、嵌入面光灯、电动对开吸音窗帘、幕布</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主席台会议桌(600mm深)、主席台椅、观众席会议条桌、观众席椅、可折叠座椅、培训桌、培训椅、办公椅</w:t>
      </w:r>
      <w:r>
        <w:rPr>
          <w:rFonts w:hint="eastAsia" w:ascii="宋体" w:hAnsi="宋体" w:eastAsia="宋体" w:cs="宋体"/>
          <w:color w:val="000000" w:themeColor="text1"/>
          <w:highlight w:val="none"/>
          <w:lang w:val="en-US" w:eastAsia="zh-CN"/>
          <w14:textFill>
            <w14:solidFill>
              <w14:schemeClr w14:val="tx1"/>
            </w14:solidFill>
          </w14:textFill>
        </w:rPr>
        <w:t>）应提供样品供采购人核实，经采购方同意。提供承诺函，格式自拟。</w:t>
      </w:r>
    </w:p>
    <w:p>
      <w:pPr>
        <w:ind w:firstLine="420" w:firstLineChars="200"/>
        <w:outlineLvl w:val="9"/>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6）</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供应商承诺在进行声学改造装修前相关设计安装方案和施工图纸应经过采购人确认和同意后才可实施。提供承诺函，格式自拟。</w:t>
      </w:r>
    </w:p>
    <w:p>
      <w:pPr>
        <w:ind w:firstLine="420" w:firstLineChars="200"/>
        <w:outlineLvl w:val="9"/>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7）扩声系统应达到有足够的声压级和均匀度、平滑的频率特性、良好的语音清晰度等符合国标多功能厅一级声学指标。采用技术成熟有高可靠性和适应性、方便操作的产品。建筑声学改造和扩声系统设计需经EASE声场分析软件计算达到多功能厅一级声学指标要求，选用的材料和设备参数需入选EASE声场分析软件库。扬声器和后级功放都具有过载保护过热保护功能。</w:t>
      </w:r>
    </w:p>
    <w:p>
      <w:pPr>
        <w:ind w:firstLine="420" w:firstLineChars="200"/>
        <w:outlineLvl w:val="9"/>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8）本项目采购需求中涉及的所有设备和装修改造材料均需要符合国标防火要求。</w:t>
      </w:r>
    </w:p>
    <w:p>
      <w:pPr>
        <w:outlineLvl w:val="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8"/>
          <w:highlight w:val="none"/>
          <w14:textFill>
            <w14:solidFill>
              <w14:schemeClr w14:val="tx1"/>
            </w14:solidFill>
          </w14:textFill>
        </w:rPr>
        <w:t>3.</w:t>
      </w:r>
      <w:r>
        <w:rPr>
          <w:rFonts w:hint="eastAsia" w:ascii="宋体" w:hAnsi="宋体" w:eastAsia="宋体" w:cs="宋体"/>
          <w:b/>
          <w:color w:val="000000" w:themeColor="text1"/>
          <w:sz w:val="28"/>
          <w:highlight w:val="none"/>
          <w:lang w:val="en-US" w:eastAsia="zh-CN"/>
          <w14:textFill>
            <w14:solidFill>
              <w14:schemeClr w14:val="tx1"/>
            </w14:solidFill>
          </w14:textFill>
        </w:rPr>
        <w:t>2</w:t>
      </w:r>
      <w:r>
        <w:rPr>
          <w:rFonts w:hint="eastAsia" w:ascii="宋体" w:hAnsi="宋体" w:eastAsia="宋体" w:cs="宋体"/>
          <w:b/>
          <w:color w:val="000000" w:themeColor="text1"/>
          <w:sz w:val="28"/>
          <w:highlight w:val="none"/>
          <w14:textFill>
            <w14:solidFill>
              <w14:schemeClr w14:val="tx1"/>
            </w14:solidFill>
          </w14:textFill>
        </w:rPr>
        <w:t>项目进度计划安排</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2</w:t>
      </w:r>
      <w:r>
        <w:rPr>
          <w:rFonts w:hint="eastAsia" w:ascii="宋体" w:hAnsi="宋体" w:eastAsia="宋体" w:cs="宋体"/>
          <w:b/>
          <w:color w:val="000000" w:themeColor="text1"/>
          <w:sz w:val="26"/>
          <w:highlight w:val="none"/>
          <w14:textFill>
            <w14:solidFill>
              <w14:schemeClr w14:val="tx1"/>
            </w14:solidFill>
          </w14:textFill>
        </w:rPr>
        <w:t>.1项目</w:t>
      </w:r>
      <w:r>
        <w:rPr>
          <w:rFonts w:hint="eastAsia" w:ascii="宋体" w:hAnsi="宋体" w:eastAsia="宋体" w:cs="宋体"/>
          <w:b/>
          <w:color w:val="000000" w:themeColor="text1"/>
          <w:sz w:val="26"/>
          <w:highlight w:val="none"/>
          <w:lang w:val="en-US" w:eastAsia="zh-CN"/>
          <w14:textFill>
            <w14:solidFill>
              <w14:schemeClr w14:val="tx1"/>
            </w14:solidFill>
          </w14:textFill>
        </w:rPr>
        <w:t>实施周期</w:t>
      </w:r>
    </w:p>
    <w:p>
      <w:pPr>
        <w:ind w:firstLine="48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本项目建设周期，工期要求：软硬件设备采购在合同签订后</w:t>
      </w:r>
      <w:r>
        <w:rPr>
          <w:rFonts w:hint="eastAsia" w:ascii="宋体" w:hAnsi="宋体" w:eastAsia="宋体" w:cs="宋体"/>
          <w:color w:val="000000" w:themeColor="text1"/>
          <w:highlight w:val="none"/>
          <w:lang w:val="en-US" w:eastAsia="zh-CN"/>
          <w14:textFill>
            <w14:solidFill>
              <w14:schemeClr w14:val="tx1"/>
            </w14:solidFill>
          </w14:textFill>
        </w:rPr>
        <w:t>两个月</w:t>
      </w:r>
      <w:r>
        <w:rPr>
          <w:rFonts w:hint="eastAsia" w:ascii="宋体" w:hAnsi="宋体" w:eastAsia="宋体" w:cs="宋体"/>
          <w:color w:val="000000" w:themeColor="text1"/>
          <w:highlight w:val="none"/>
          <w14:textFill>
            <w14:solidFill>
              <w14:schemeClr w14:val="tx1"/>
            </w14:solidFill>
          </w14:textFill>
        </w:rPr>
        <w:t>内完成；</w:t>
      </w:r>
      <w:r>
        <w:rPr>
          <w:rFonts w:hint="eastAsia" w:ascii="宋体" w:hAnsi="宋体" w:eastAsia="宋体" w:cs="宋体"/>
          <w:color w:val="000000" w:themeColor="text1"/>
          <w:highlight w:val="none"/>
          <w:lang w:val="en-US" w:eastAsia="zh-CN"/>
          <w14:textFill>
            <w14:solidFill>
              <w14:schemeClr w14:val="tx1"/>
            </w14:solidFill>
          </w14:textFill>
        </w:rPr>
        <w:t>同时</w:t>
      </w:r>
      <w:r>
        <w:rPr>
          <w:rFonts w:hint="eastAsia" w:ascii="宋体" w:hAnsi="宋体" w:eastAsia="宋体" w:cs="宋体"/>
          <w:color w:val="000000" w:themeColor="text1"/>
          <w:highlight w:val="none"/>
          <w14:textFill>
            <w14:solidFill>
              <w14:schemeClr w14:val="tx1"/>
            </w14:solidFill>
          </w14:textFill>
        </w:rPr>
        <w:t>在收到进场/开工通知书后</w:t>
      </w:r>
      <w:r>
        <w:rPr>
          <w:rFonts w:hint="eastAsia" w:ascii="宋体" w:hAnsi="宋体" w:eastAsia="宋体" w:cs="宋体"/>
          <w:color w:val="000000" w:themeColor="text1"/>
          <w:highlight w:val="none"/>
          <w:lang w:val="en-US" w:eastAsia="zh-CN"/>
          <w14:textFill>
            <w14:solidFill>
              <w14:schemeClr w14:val="tx1"/>
            </w14:solidFill>
          </w14:textFill>
        </w:rPr>
        <w:t>两个月</w:t>
      </w:r>
      <w:r>
        <w:rPr>
          <w:rFonts w:hint="eastAsia" w:ascii="宋体" w:hAnsi="宋体" w:eastAsia="宋体" w:cs="宋体"/>
          <w:color w:val="000000" w:themeColor="text1"/>
          <w:highlight w:val="none"/>
          <w14:textFill>
            <w14:solidFill>
              <w14:schemeClr w14:val="tx1"/>
            </w14:solidFill>
          </w14:textFill>
        </w:rPr>
        <w:t>内完成声学改造装修、软硬件设备联合安装调试以及用户培训等工作。系统正常试运行</w:t>
      </w:r>
      <w:r>
        <w:rPr>
          <w:rFonts w:hint="eastAsia" w:ascii="宋体" w:hAnsi="宋体" w:eastAsia="宋体" w:cs="宋体"/>
          <w:color w:val="000000" w:themeColor="text1"/>
          <w:highlight w:val="none"/>
          <w:lang w:val="en-US" w:eastAsia="zh-CN"/>
          <w14:textFill>
            <w14:solidFill>
              <w14:schemeClr w14:val="tx1"/>
            </w14:solidFill>
          </w14:textFill>
        </w:rPr>
        <w:t>1个周</w:t>
      </w:r>
      <w:r>
        <w:rPr>
          <w:rFonts w:hint="eastAsia" w:ascii="宋体" w:hAnsi="宋体" w:eastAsia="宋体" w:cs="宋体"/>
          <w:color w:val="000000" w:themeColor="text1"/>
          <w:highlight w:val="none"/>
          <w14:textFill>
            <w14:solidFill>
              <w14:schemeClr w14:val="tx1"/>
            </w14:solidFill>
          </w14:textFill>
        </w:rPr>
        <w:t>后进行项目最终验收</w:t>
      </w:r>
      <w:r>
        <w:rPr>
          <w:rFonts w:hint="eastAsia" w:ascii="宋体" w:hAnsi="宋体" w:eastAsia="宋体" w:cs="宋体"/>
          <w:color w:val="000000" w:themeColor="text1"/>
          <w:highlight w:val="none"/>
          <w:lang w:eastAsia="zh-CN"/>
          <w14:textFill>
            <w14:solidFill>
              <w14:schemeClr w14:val="tx1"/>
            </w14:solidFill>
          </w14:textFill>
        </w:rPr>
        <w:t>。</w:t>
      </w:r>
    </w:p>
    <w:p>
      <w:pPr>
        <w:ind w:firstLine="480"/>
        <w:rPr>
          <w:rStyle w:val="8"/>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sz w:val="20"/>
          <w:highlight w:val="none"/>
          <w14:textFill>
            <w14:solidFill>
              <w14:schemeClr w14:val="tx1"/>
            </w14:solidFill>
          </w14:textFill>
        </w:rPr>
        <w:t>★</w:t>
      </w:r>
      <w:r>
        <w:rPr>
          <w:rFonts w:hint="eastAsia" w:ascii="宋体" w:hAnsi="宋体" w:eastAsia="宋体" w:cs="宋体"/>
          <w:color w:val="000000" w:themeColor="text1"/>
          <w:sz w:val="20"/>
          <w:highlight w:val="none"/>
          <w:lang w:val="en-US" w:eastAsia="zh-CN"/>
          <w14:textFill>
            <w14:solidFill>
              <w14:schemeClr w14:val="tx1"/>
            </w14:solidFill>
          </w14:textFill>
        </w:rPr>
        <w:t>本</w:t>
      </w:r>
      <w:r>
        <w:rPr>
          <w:rFonts w:hint="eastAsia" w:ascii="宋体" w:hAnsi="宋体" w:eastAsia="宋体" w:cs="宋体"/>
          <w:color w:val="000000" w:themeColor="text1"/>
          <w:highlight w:val="none"/>
          <w:lang w:val="en-US" w:eastAsia="zh-CN"/>
          <w14:textFill>
            <w14:solidFill>
              <w14:schemeClr w14:val="tx1"/>
            </w14:solidFill>
          </w14:textFill>
        </w:rPr>
        <w:t>项目所采购的所有设备</w:t>
      </w:r>
      <w:r>
        <w:rPr>
          <w:rFonts w:hint="eastAsia" w:ascii="宋体" w:hAnsi="宋体" w:eastAsia="宋体" w:cs="宋体"/>
          <w:color w:val="000000" w:themeColor="text1"/>
          <w:highlight w:val="none"/>
          <w14:textFill>
            <w14:solidFill>
              <w14:schemeClr w14:val="tx1"/>
            </w14:solidFill>
          </w14:textFill>
        </w:rPr>
        <w:t>质保期为终验后</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年，并提供</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年的维保。</w:t>
      </w:r>
      <w:r>
        <w:rPr>
          <w:rFonts w:hint="eastAsia" w:ascii="宋体" w:hAnsi="宋体" w:eastAsia="宋体" w:cs="宋体"/>
          <w:color w:val="000000" w:themeColor="text1"/>
          <w:highlight w:val="none"/>
          <w:lang w:val="en-US" w:eastAsia="zh-CN"/>
          <w14:textFill>
            <w14:solidFill>
              <w14:schemeClr w14:val="tx1"/>
            </w14:solidFill>
          </w14:textFill>
        </w:rPr>
        <w:t>供应商承诺，格式自拟。</w:t>
      </w:r>
    </w:p>
    <w:tbl>
      <w:tblPr>
        <w:tblStyle w:val="5"/>
        <w:tblW w:w="8254"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53"/>
        <w:gridCol w:w="2734"/>
        <w:gridCol w:w="36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853" w:type="dxa"/>
            <w:tcBorders>
              <w:top w:val="single" w:color="000000" w:sz="4" w:space="0"/>
              <w:left w:val="single" w:color="000000" w:sz="4" w:space="0"/>
              <w:bottom w:val="single" w:color="000000" w:sz="4" w:space="0"/>
              <w:right w:val="single" w:color="000000" w:sz="4" w:space="0"/>
            </w:tcBorders>
            <w:shd w:val="clear" w:color="auto" w:fill="E7E6E6"/>
            <w:vAlign w:val="bottom"/>
          </w:tcPr>
          <w:p>
            <w:pPr>
              <w:keepNext w:val="0"/>
              <w:keepLines w:val="0"/>
              <w:widowControl/>
              <w:suppressLineNumbers w:val="0"/>
              <w:jc w:val="center"/>
              <w:textAlignment w:val="bottom"/>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阶段</w:t>
            </w:r>
          </w:p>
        </w:tc>
        <w:tc>
          <w:tcPr>
            <w:tcW w:w="2734" w:type="dxa"/>
            <w:tcBorders>
              <w:top w:val="single" w:color="000000" w:sz="4" w:space="0"/>
              <w:left w:val="single" w:color="000000" w:sz="4" w:space="0"/>
              <w:bottom w:val="single" w:color="000000" w:sz="4" w:space="0"/>
              <w:right w:val="single" w:color="000000" w:sz="4" w:space="0"/>
            </w:tcBorders>
            <w:shd w:val="clear" w:color="auto" w:fill="E7E6E6"/>
            <w:vAlign w:val="bottom"/>
          </w:tcPr>
          <w:p>
            <w:pPr>
              <w:keepNext w:val="0"/>
              <w:keepLines w:val="0"/>
              <w:widowControl/>
              <w:suppressLineNumbers w:val="0"/>
              <w:jc w:val="center"/>
              <w:textAlignment w:val="bottom"/>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任务内容</w:t>
            </w:r>
          </w:p>
        </w:tc>
        <w:tc>
          <w:tcPr>
            <w:tcW w:w="3667" w:type="dxa"/>
            <w:tcBorders>
              <w:top w:val="single" w:color="000000" w:sz="4" w:space="0"/>
              <w:left w:val="single" w:color="000000" w:sz="4" w:space="0"/>
              <w:bottom w:val="single" w:color="000000" w:sz="4" w:space="0"/>
              <w:right w:val="single" w:color="000000" w:sz="4" w:space="0"/>
            </w:tcBorders>
            <w:shd w:val="clear" w:color="auto" w:fill="E7E6E6"/>
            <w:vAlign w:val="bottom"/>
          </w:tcPr>
          <w:p>
            <w:pPr>
              <w:keepNext w:val="0"/>
              <w:keepLines w:val="0"/>
              <w:widowControl/>
              <w:suppressLineNumbers w:val="0"/>
              <w:jc w:val="center"/>
              <w:textAlignment w:val="bottom"/>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时间要求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软硬件设备采购</w:t>
            </w:r>
          </w:p>
        </w:tc>
        <w:tc>
          <w:tcPr>
            <w:tcW w:w="2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完成</w:t>
            </w:r>
          </w:p>
        </w:tc>
        <w:tc>
          <w:tcPr>
            <w:tcW w:w="3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签订合同后60天内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声学改造装修</w:t>
            </w:r>
          </w:p>
        </w:tc>
        <w:tc>
          <w:tcPr>
            <w:tcW w:w="2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完成</w:t>
            </w:r>
          </w:p>
        </w:tc>
        <w:tc>
          <w:tcPr>
            <w:tcW w:w="3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收到进场/开工通知书60天内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软硬件设备联合安装调试</w:t>
            </w:r>
          </w:p>
        </w:tc>
        <w:tc>
          <w:tcPr>
            <w:tcW w:w="2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完成</w:t>
            </w:r>
          </w:p>
        </w:tc>
        <w:tc>
          <w:tcPr>
            <w:tcW w:w="3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收到进场/开工通知书60天内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用户培训</w:t>
            </w:r>
          </w:p>
        </w:tc>
        <w:tc>
          <w:tcPr>
            <w:tcW w:w="2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完成</w:t>
            </w:r>
          </w:p>
        </w:tc>
        <w:tc>
          <w:tcPr>
            <w:tcW w:w="3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收到进场/开工通知书60天内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系统试运行</w:t>
            </w:r>
          </w:p>
        </w:tc>
        <w:tc>
          <w:tcPr>
            <w:tcW w:w="2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正常试运行</w:t>
            </w:r>
          </w:p>
        </w:tc>
        <w:tc>
          <w:tcPr>
            <w:tcW w:w="3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项目最终验收</w:t>
            </w:r>
          </w:p>
        </w:tc>
        <w:tc>
          <w:tcPr>
            <w:tcW w:w="2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完成</w:t>
            </w:r>
          </w:p>
        </w:tc>
        <w:tc>
          <w:tcPr>
            <w:tcW w:w="3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系统正常试运行1周后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质保期</w:t>
            </w:r>
          </w:p>
        </w:tc>
        <w:tc>
          <w:tcPr>
            <w:tcW w:w="27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3年维保</w:t>
            </w:r>
          </w:p>
        </w:tc>
        <w:tc>
          <w:tcPr>
            <w:tcW w:w="3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终验收后3年</w:t>
            </w:r>
          </w:p>
        </w:tc>
      </w:tr>
    </w:tbl>
    <w:p>
      <w:pPr>
        <w:outlineLvl w:val="3"/>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2</w:t>
      </w:r>
      <w:r>
        <w:rPr>
          <w:rFonts w:hint="eastAsia" w:ascii="宋体" w:hAnsi="宋体" w:eastAsia="宋体" w:cs="宋体"/>
          <w:b/>
          <w:color w:val="000000" w:themeColor="text1"/>
          <w:sz w:val="26"/>
          <w:highlight w:val="none"/>
          <w14:textFill>
            <w14:solidFill>
              <w14:schemeClr w14:val="tx1"/>
            </w14:solidFill>
          </w14:textFill>
        </w:rPr>
        <w:t>.2项目实施计划</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整个项目阶段分为</w:t>
      </w:r>
      <w:r>
        <w:rPr>
          <w:rFonts w:hint="eastAsia" w:ascii="宋体" w:hAnsi="宋体" w:eastAsia="宋体" w:cs="宋体"/>
          <w:color w:val="000000" w:themeColor="text1"/>
          <w:highlight w:val="none"/>
          <w:lang w:val="en-US" w:eastAsia="zh-CN"/>
          <w14:textFill>
            <w14:solidFill>
              <w14:schemeClr w14:val="tx1"/>
            </w14:solidFill>
          </w14:textFill>
        </w:rPr>
        <w:t>项目计划阶段、</w:t>
      </w:r>
      <w:r>
        <w:rPr>
          <w:rFonts w:hint="eastAsia" w:ascii="宋体" w:hAnsi="宋体" w:eastAsia="宋体" w:cs="宋体"/>
          <w:color w:val="000000" w:themeColor="text1"/>
          <w:highlight w:val="none"/>
          <w14:textFill>
            <w14:solidFill>
              <w14:schemeClr w14:val="tx1"/>
            </w14:solidFill>
          </w14:textFill>
        </w:rPr>
        <w:t>项目实施阶段、项目初验阶段</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项目试运行阶段</w:t>
      </w:r>
      <w:r>
        <w:rPr>
          <w:rFonts w:hint="eastAsia" w:ascii="宋体" w:hAnsi="宋体" w:eastAsia="宋体" w:cs="宋体"/>
          <w:color w:val="000000" w:themeColor="text1"/>
          <w:highlight w:val="none"/>
          <w14:textFill>
            <w14:solidFill>
              <w14:schemeClr w14:val="tx1"/>
            </w14:solidFill>
          </w14:textFill>
        </w:rPr>
        <w:t>、项目终验阶段和项目运维阶段，各阶段的项目成果，分别为：</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1）项目计划阶段：项目实施计划、实施方案、装修方案需要经过采购确认后才可实施；</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2）项目实施阶段：建筑声学改造装修、软硬件设备采购安装、软硬件设备联合调试、用户培训</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系统试运行</w:t>
      </w:r>
      <w:r>
        <w:rPr>
          <w:rFonts w:hint="eastAsia" w:ascii="宋体" w:hAnsi="宋体" w:eastAsia="宋体" w:cs="宋体"/>
          <w:color w:val="000000" w:themeColor="text1"/>
          <w:highlight w:val="none"/>
          <w14:textFill>
            <w14:solidFill>
              <w14:schemeClr w14:val="tx1"/>
            </w14:solidFill>
          </w14:textFill>
        </w:rPr>
        <w:t>等工作；</w:t>
      </w:r>
    </w:p>
    <w:p>
      <w:pPr>
        <w:ind w:firstLine="420" w:firstLineChars="20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3）项目初验阶段：项目初验报告、整改报告等</w:t>
      </w:r>
      <w:r>
        <w:rPr>
          <w:rFonts w:hint="eastAsia" w:ascii="宋体" w:hAnsi="宋体" w:eastAsia="宋体" w:cs="宋体"/>
          <w:color w:val="000000" w:themeColor="text1"/>
          <w:highlight w:val="none"/>
          <w:lang w:eastAsia="zh-CN"/>
          <w14:textFill>
            <w14:solidFill>
              <w14:schemeClr w14:val="tx1"/>
            </w14:solidFill>
          </w14:textFill>
        </w:rPr>
        <w:t>；</w:t>
      </w:r>
    </w:p>
    <w:p>
      <w:pPr>
        <w:ind w:firstLine="420" w:firstLineChars="200"/>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4）试运行阶段：系统试运行报告等；</w:t>
      </w:r>
    </w:p>
    <w:p>
      <w:pPr>
        <w:ind w:firstLine="420" w:firstLineChars="200"/>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项目终验阶段</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第三方专业检测机构的检测报告</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项目终验报告等；</w:t>
      </w:r>
    </w:p>
    <w:p>
      <w:pPr>
        <w:ind w:firstLine="420" w:firstLineChars="200"/>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项目运维阶段</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系统运行情况分析报告。</w:t>
      </w:r>
    </w:p>
    <w:p>
      <w:pPr>
        <w:ind w:firstLine="420" w:firstLineChars="200"/>
        <w:rPr>
          <w:rFonts w:hint="eastAsia" w:ascii="宋体" w:hAnsi="宋体" w:eastAsia="宋体" w:cs="宋体"/>
          <w:color w:val="000000" w:themeColor="text1"/>
          <w:highlight w:val="none"/>
          <w14:textFill>
            <w14:solidFill>
              <w14:schemeClr w14:val="tx1"/>
            </w14:solidFill>
          </w14:textFill>
        </w:rPr>
      </w:pPr>
    </w:p>
    <w:p>
      <w:pPr>
        <w:outlineLvl w:val="2"/>
        <w:rPr>
          <w:rFonts w:hint="default"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b/>
          <w:color w:val="000000" w:themeColor="text1"/>
          <w:sz w:val="28"/>
          <w:highlight w:val="none"/>
          <w14:textFill>
            <w14:solidFill>
              <w14:schemeClr w14:val="tx1"/>
            </w14:solidFill>
          </w14:textFill>
        </w:rPr>
        <w:t>3.</w:t>
      </w:r>
      <w:r>
        <w:rPr>
          <w:rFonts w:hint="eastAsia" w:ascii="宋体" w:hAnsi="宋体" w:eastAsia="宋体" w:cs="宋体"/>
          <w:b/>
          <w:color w:val="000000" w:themeColor="text1"/>
          <w:sz w:val="28"/>
          <w:highlight w:val="none"/>
          <w:lang w:val="en-US" w:eastAsia="zh-CN"/>
          <w14:textFill>
            <w14:solidFill>
              <w14:schemeClr w14:val="tx1"/>
            </w14:solidFill>
          </w14:textFill>
        </w:rPr>
        <w:t>3安装与调试</w:t>
      </w:r>
    </w:p>
    <w:p>
      <w:pPr>
        <w:outlineLvl w:val="3"/>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3</w:t>
      </w:r>
      <w:r>
        <w:rPr>
          <w:rFonts w:hint="eastAsia" w:ascii="宋体" w:hAnsi="宋体" w:eastAsia="宋体" w:cs="宋体"/>
          <w:b/>
          <w:color w:val="000000" w:themeColor="text1"/>
          <w:sz w:val="26"/>
          <w:highlight w:val="none"/>
          <w14:textFill>
            <w14:solidFill>
              <w14:schemeClr w14:val="tx1"/>
            </w14:solidFill>
          </w14:textFill>
        </w:rPr>
        <w:t>.</w:t>
      </w:r>
      <w:r>
        <w:rPr>
          <w:rFonts w:hint="eastAsia" w:ascii="宋体" w:hAnsi="宋体" w:eastAsia="宋体" w:cs="宋体"/>
          <w:b/>
          <w:color w:val="000000" w:themeColor="text1"/>
          <w:sz w:val="26"/>
          <w:highlight w:val="none"/>
          <w:lang w:val="en-US" w:eastAsia="zh-CN"/>
          <w14:textFill>
            <w14:solidFill>
              <w14:schemeClr w14:val="tx1"/>
            </w14:solidFill>
          </w14:textFill>
        </w:rPr>
        <w:t>1安装服务</w:t>
      </w:r>
    </w:p>
    <w:p>
      <w:pPr>
        <w:ind w:firstLine="420" w:firstLineChars="200"/>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安装期间，</w:t>
      </w:r>
      <w:r>
        <w:rPr>
          <w:rFonts w:hint="eastAsia" w:ascii="宋体" w:hAnsi="宋体" w:eastAsia="宋体" w:cs="宋体"/>
          <w:color w:val="000000" w:themeColor="text1"/>
          <w:highlight w:val="none"/>
          <w:lang w:val="en-US" w:eastAsia="zh-CN"/>
          <w14:textFill>
            <w14:solidFill>
              <w14:schemeClr w14:val="tx1"/>
            </w14:solidFill>
          </w14:textFill>
        </w:rPr>
        <w:t>成交供应商</w:t>
      </w:r>
      <w:r>
        <w:rPr>
          <w:rFonts w:hint="eastAsia" w:ascii="宋体" w:hAnsi="宋体" w:eastAsia="宋体" w:cs="宋体"/>
          <w:color w:val="000000" w:themeColor="text1"/>
          <w:highlight w:val="none"/>
          <w14:textFill>
            <w14:solidFill>
              <w14:schemeClr w14:val="tx1"/>
            </w14:solidFill>
          </w14:textFill>
        </w:rPr>
        <w:t>的项目负责人要常驻现场，并由采购人统一的管理和协调。</w:t>
      </w:r>
    </w:p>
    <w:p>
      <w:pPr>
        <w:ind w:firstLine="420" w:firstLineChars="200"/>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val="en-US" w:eastAsia="zh-CN"/>
          <w14:textFill>
            <w14:solidFill>
              <w14:schemeClr w14:val="tx1"/>
            </w14:solidFill>
          </w14:textFill>
        </w:rPr>
        <w:t>安装</w:t>
      </w:r>
      <w:r>
        <w:rPr>
          <w:rFonts w:hint="eastAsia" w:ascii="宋体" w:hAnsi="宋体" w:eastAsia="宋体" w:cs="宋体"/>
          <w:color w:val="000000" w:themeColor="text1"/>
          <w:highlight w:val="none"/>
          <w14:textFill>
            <w14:solidFill>
              <w14:schemeClr w14:val="tx1"/>
            </w14:solidFill>
          </w14:textFill>
        </w:rPr>
        <w:t>条件：每一系统的安装，必须具备作业条件。如</w:t>
      </w:r>
      <w:r>
        <w:rPr>
          <w:rFonts w:hint="eastAsia" w:ascii="宋体" w:hAnsi="宋体" w:eastAsia="宋体" w:cs="宋体"/>
          <w:color w:val="000000" w:themeColor="text1"/>
          <w:highlight w:val="none"/>
          <w:lang w:val="en-US" w:eastAsia="zh-CN"/>
          <w14:textFill>
            <w14:solidFill>
              <w14:schemeClr w14:val="tx1"/>
            </w14:solidFill>
          </w14:textFill>
        </w:rPr>
        <w:t>装修</w:t>
      </w:r>
      <w:r>
        <w:rPr>
          <w:rFonts w:hint="eastAsia" w:ascii="宋体" w:hAnsi="宋体" w:eastAsia="宋体" w:cs="宋体"/>
          <w:color w:val="000000" w:themeColor="text1"/>
          <w:highlight w:val="none"/>
          <w14:textFill>
            <w14:solidFill>
              <w14:schemeClr w14:val="tx1"/>
            </w14:solidFill>
          </w14:textFill>
        </w:rPr>
        <w:t>施工程度的条件、材料设备进场的条件、设备安装的条件、设备调试的条件等，以免打乱</w:t>
      </w:r>
      <w:r>
        <w:rPr>
          <w:rFonts w:hint="eastAsia" w:ascii="宋体" w:hAnsi="宋体" w:eastAsia="宋体" w:cs="宋体"/>
          <w:color w:val="000000" w:themeColor="text1"/>
          <w:highlight w:val="none"/>
          <w:lang w:val="en-US" w:eastAsia="zh-CN"/>
          <w14:textFill>
            <w14:solidFill>
              <w14:schemeClr w14:val="tx1"/>
            </w14:solidFill>
          </w14:textFill>
        </w:rPr>
        <w:t>项目</w:t>
      </w:r>
      <w:r>
        <w:rPr>
          <w:rFonts w:hint="eastAsia" w:ascii="宋体" w:hAnsi="宋体" w:eastAsia="宋体" w:cs="宋体"/>
          <w:color w:val="000000" w:themeColor="text1"/>
          <w:highlight w:val="none"/>
          <w14:textFill>
            <w14:solidFill>
              <w14:schemeClr w14:val="tx1"/>
            </w14:solidFill>
          </w14:textFill>
        </w:rPr>
        <w:t>部署，影响质量。</w:t>
      </w:r>
    </w:p>
    <w:p>
      <w:pPr>
        <w:ind w:firstLine="420" w:firstLineChars="200"/>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所有设备须固定于适当位置上，除非</w:t>
      </w:r>
      <w:r>
        <w:rPr>
          <w:rFonts w:hint="eastAsia" w:ascii="宋体" w:hAnsi="宋体" w:eastAsia="宋体" w:cs="宋体"/>
          <w:color w:val="000000" w:themeColor="text1"/>
          <w:highlight w:val="none"/>
          <w:lang w:val="en-US" w:eastAsia="zh-CN"/>
          <w14:textFill>
            <w14:solidFill>
              <w14:schemeClr w14:val="tx1"/>
            </w14:solidFill>
          </w14:textFill>
        </w:rPr>
        <w:t>采购人</w:t>
      </w:r>
      <w:r>
        <w:rPr>
          <w:rFonts w:hint="eastAsia" w:ascii="宋体" w:hAnsi="宋体" w:eastAsia="宋体" w:cs="宋体"/>
          <w:color w:val="000000" w:themeColor="text1"/>
          <w:highlight w:val="none"/>
          <w14:textFill>
            <w14:solidFill>
              <w14:schemeClr w14:val="tx1"/>
            </w14:solidFill>
          </w14:textFill>
        </w:rPr>
        <w:t>另行</w:t>
      </w:r>
      <w:r>
        <w:rPr>
          <w:rFonts w:hint="eastAsia" w:ascii="宋体" w:hAnsi="宋体" w:eastAsia="宋体" w:cs="宋体"/>
          <w:color w:val="000000" w:themeColor="text1"/>
          <w:highlight w:val="none"/>
          <w:lang w:val="en-US" w:eastAsia="zh-CN"/>
          <w14:textFill>
            <w14:solidFill>
              <w14:schemeClr w14:val="tx1"/>
            </w14:solidFill>
          </w14:textFill>
        </w:rPr>
        <w:t>要求</w:t>
      </w:r>
      <w:r>
        <w:rPr>
          <w:rFonts w:hint="eastAsia" w:ascii="宋体" w:hAnsi="宋体" w:eastAsia="宋体" w:cs="宋体"/>
          <w:color w:val="000000" w:themeColor="text1"/>
          <w:highlight w:val="none"/>
          <w14:textFill>
            <w14:solidFill>
              <w14:schemeClr w14:val="tx1"/>
            </w14:solidFill>
          </w14:textFill>
        </w:rPr>
        <w:t>为可携式</w:t>
      </w:r>
      <w:r>
        <w:rPr>
          <w:rFonts w:hint="eastAsia" w:ascii="宋体" w:hAnsi="宋体" w:eastAsia="宋体" w:cs="宋体"/>
          <w:color w:val="000000" w:themeColor="text1"/>
          <w:highlight w:val="none"/>
          <w:lang w:val="en-US" w:eastAsia="zh-CN"/>
          <w14:textFill>
            <w14:solidFill>
              <w14:schemeClr w14:val="tx1"/>
            </w14:solidFill>
          </w14:textFill>
        </w:rPr>
        <w:t>或可移动的</w:t>
      </w:r>
      <w:r>
        <w:rPr>
          <w:rFonts w:hint="eastAsia" w:ascii="宋体" w:hAnsi="宋体" w:eastAsia="宋体" w:cs="宋体"/>
          <w:color w:val="000000" w:themeColor="text1"/>
          <w:highlight w:val="none"/>
          <w14:textFill>
            <w14:solidFill>
              <w14:schemeClr w14:val="tx1"/>
            </w14:solidFill>
          </w14:textFill>
        </w:rPr>
        <w:t>设备。因设备本身之重量，须有足够之固定及支撑物。在安装设备及电缆线时，不但要顾及运作效能，还须讲究整体美观。</w:t>
      </w:r>
    </w:p>
    <w:p>
      <w:pPr>
        <w:ind w:firstLine="420" w:firstLineChars="200"/>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3）质量标准：除确保</w:t>
      </w:r>
      <w:r>
        <w:rPr>
          <w:rFonts w:hint="eastAsia" w:ascii="宋体" w:hAnsi="宋体" w:eastAsia="宋体" w:cs="宋体"/>
          <w:color w:val="000000" w:themeColor="text1"/>
          <w:highlight w:val="none"/>
          <w:lang w:val="en-US" w:eastAsia="zh-CN"/>
          <w14:textFill>
            <w14:solidFill>
              <w14:schemeClr w14:val="tx1"/>
            </w14:solidFill>
          </w14:textFill>
        </w:rPr>
        <w:t>安装</w:t>
      </w:r>
      <w:r>
        <w:rPr>
          <w:rFonts w:hint="eastAsia" w:ascii="宋体" w:hAnsi="宋体" w:eastAsia="宋体" w:cs="宋体"/>
          <w:color w:val="000000" w:themeColor="text1"/>
          <w:highlight w:val="none"/>
          <w14:textFill>
            <w14:solidFill>
              <w14:schemeClr w14:val="tx1"/>
            </w14:solidFill>
          </w14:textFill>
        </w:rPr>
        <w:t>质量外，对于安装好的产品要严格做好成品保护，保持外观质量。</w:t>
      </w:r>
    </w:p>
    <w:p>
      <w:pPr>
        <w:outlineLvl w:val="3"/>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3</w:t>
      </w:r>
      <w:r>
        <w:rPr>
          <w:rFonts w:hint="eastAsia" w:ascii="宋体" w:hAnsi="宋体" w:eastAsia="宋体" w:cs="宋体"/>
          <w:b/>
          <w:color w:val="000000" w:themeColor="text1"/>
          <w:sz w:val="26"/>
          <w:highlight w:val="none"/>
          <w14:textFill>
            <w14:solidFill>
              <w14:schemeClr w14:val="tx1"/>
            </w14:solidFill>
          </w14:textFill>
        </w:rPr>
        <w:t>.</w:t>
      </w:r>
      <w:r>
        <w:rPr>
          <w:rFonts w:hint="eastAsia" w:ascii="宋体" w:hAnsi="宋体" w:eastAsia="宋体" w:cs="宋体"/>
          <w:b/>
          <w:color w:val="000000" w:themeColor="text1"/>
          <w:sz w:val="26"/>
          <w:highlight w:val="none"/>
          <w:lang w:val="en-US" w:eastAsia="zh-CN"/>
          <w14:textFill>
            <w14:solidFill>
              <w14:schemeClr w14:val="tx1"/>
            </w14:solidFill>
          </w14:textFill>
        </w:rPr>
        <w:t>2调试服务</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成交</w:t>
      </w:r>
      <w:r>
        <w:rPr>
          <w:rFonts w:hint="eastAsia" w:ascii="宋体" w:hAnsi="宋体" w:eastAsia="宋体" w:cs="宋体"/>
          <w:color w:val="000000" w:themeColor="text1"/>
          <w:highlight w:val="none"/>
          <w:lang w:val="en-US"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要对</w:t>
      </w:r>
      <w:r>
        <w:rPr>
          <w:rFonts w:hint="eastAsia" w:ascii="宋体" w:hAnsi="宋体" w:eastAsia="宋体" w:cs="宋体"/>
          <w:color w:val="000000" w:themeColor="text1"/>
          <w:highlight w:val="none"/>
          <w:lang w:val="en-US" w:eastAsia="zh-CN"/>
          <w14:textFill>
            <w14:solidFill>
              <w14:schemeClr w14:val="tx1"/>
            </w14:solidFill>
          </w14:textFill>
        </w:rPr>
        <w:t>礼堂</w:t>
      </w:r>
      <w:r>
        <w:rPr>
          <w:rFonts w:hint="eastAsia" w:ascii="宋体" w:hAnsi="宋体" w:eastAsia="宋体" w:cs="宋体"/>
          <w:color w:val="000000" w:themeColor="text1"/>
          <w:highlight w:val="none"/>
          <w14:textFill>
            <w14:solidFill>
              <w14:schemeClr w14:val="tx1"/>
            </w14:solidFill>
          </w14:textFill>
        </w:rPr>
        <w:t>的设备、</w:t>
      </w:r>
      <w:r>
        <w:rPr>
          <w:rFonts w:hint="eastAsia" w:ascii="宋体" w:hAnsi="宋体" w:eastAsia="宋体" w:cs="宋体"/>
          <w:color w:val="000000" w:themeColor="text1"/>
          <w:highlight w:val="none"/>
          <w:lang w:val="en-US" w:eastAsia="zh-CN"/>
          <w14:textFill>
            <w14:solidFill>
              <w14:schemeClr w14:val="tx1"/>
            </w14:solidFill>
          </w14:textFill>
        </w:rPr>
        <w:t>录播和视频会议</w:t>
      </w:r>
      <w:r>
        <w:rPr>
          <w:rFonts w:hint="eastAsia" w:ascii="宋体" w:hAnsi="宋体" w:eastAsia="宋体" w:cs="宋体"/>
          <w:color w:val="000000" w:themeColor="text1"/>
          <w:highlight w:val="none"/>
          <w14:textFill>
            <w14:solidFill>
              <w14:schemeClr w14:val="tx1"/>
            </w14:solidFill>
          </w14:textFill>
        </w:rPr>
        <w:t>系统</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中控系统</w:t>
      </w:r>
      <w:r>
        <w:rPr>
          <w:rFonts w:hint="eastAsia" w:ascii="宋体" w:hAnsi="宋体" w:eastAsia="宋体" w:cs="宋体"/>
          <w:color w:val="000000" w:themeColor="text1"/>
          <w:highlight w:val="none"/>
          <w14:textFill>
            <w14:solidFill>
              <w14:schemeClr w14:val="tx1"/>
            </w14:solidFill>
          </w14:textFill>
        </w:rPr>
        <w:t>等进行全面的检测和调试，确保其正常运行和达到预期效果，并提供相关的测试报告和证明文件。</w:t>
      </w:r>
    </w:p>
    <w:p>
      <w:pPr>
        <w:ind w:firstLine="420" w:firstLineChars="200"/>
        <w:rPr>
          <w:rFonts w:hint="eastAsia" w:ascii="宋体" w:hAnsi="宋体" w:eastAsia="宋体" w:cs="宋体"/>
          <w:color w:val="000000" w:themeColor="text1"/>
          <w:highlight w:val="none"/>
          <w14:textFill>
            <w14:solidFill>
              <w14:schemeClr w14:val="tx1"/>
            </w14:solidFill>
          </w14:textFill>
        </w:rPr>
      </w:pPr>
    </w:p>
    <w:p>
      <w:pPr>
        <w:outlineLvl w:val="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8"/>
          <w:highlight w:val="none"/>
          <w14:textFill>
            <w14:solidFill>
              <w14:schemeClr w14:val="tx1"/>
            </w14:solidFill>
          </w14:textFill>
        </w:rPr>
        <w:t>3.</w:t>
      </w:r>
      <w:r>
        <w:rPr>
          <w:rFonts w:hint="eastAsia" w:ascii="宋体" w:hAnsi="宋体" w:eastAsia="宋体" w:cs="宋体"/>
          <w:b/>
          <w:color w:val="000000" w:themeColor="text1"/>
          <w:sz w:val="28"/>
          <w:highlight w:val="none"/>
          <w:lang w:val="en-US" w:eastAsia="zh-CN"/>
          <w14:textFill>
            <w14:solidFill>
              <w14:schemeClr w14:val="tx1"/>
            </w14:solidFill>
          </w14:textFill>
        </w:rPr>
        <w:t>4技术</w:t>
      </w:r>
      <w:r>
        <w:rPr>
          <w:rFonts w:hint="eastAsia" w:ascii="宋体" w:hAnsi="宋体" w:eastAsia="宋体" w:cs="宋体"/>
          <w:b/>
          <w:color w:val="000000" w:themeColor="text1"/>
          <w:sz w:val="28"/>
          <w:highlight w:val="none"/>
          <w14:textFill>
            <w14:solidFill>
              <w14:schemeClr w14:val="tx1"/>
            </w14:solidFill>
          </w14:textFill>
        </w:rPr>
        <w:t>培训</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4</w:t>
      </w:r>
      <w:r>
        <w:rPr>
          <w:rFonts w:hint="eastAsia" w:ascii="宋体" w:hAnsi="宋体" w:eastAsia="宋体" w:cs="宋体"/>
          <w:b/>
          <w:color w:val="000000" w:themeColor="text1"/>
          <w:sz w:val="26"/>
          <w:highlight w:val="none"/>
          <w14:textFill>
            <w14:solidFill>
              <w14:schemeClr w14:val="tx1"/>
            </w14:solidFill>
          </w14:textFill>
        </w:rPr>
        <w:t>.1培训目的</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通过完整的技术培训，使采购人相关人员具有以下的业务技能：</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1）全面了解本项目配置的相关硬件设备的功能、性能。</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2）熟悉本项目所涉及的设备原理与功能组成。</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3）能够进行正常的本项目所以系统设备的操作、维护、故障维修等基本技能。</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4</w:t>
      </w:r>
      <w:r>
        <w:rPr>
          <w:rFonts w:hint="eastAsia" w:ascii="宋体" w:hAnsi="宋体" w:eastAsia="宋体" w:cs="宋体"/>
          <w:b/>
          <w:color w:val="000000" w:themeColor="text1"/>
          <w:sz w:val="26"/>
          <w:highlight w:val="none"/>
          <w14:textFill>
            <w14:solidFill>
              <w14:schemeClr w14:val="tx1"/>
            </w14:solidFill>
          </w14:textFill>
        </w:rPr>
        <w:t>.2培训内容</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针对本项目的特点，编制适用于本项目的培训教材，安排有资格和能力的技术工程师来对业主人员进行培训和解答问题。业主参加培训的人员为管理人员、技术人员和运维人员。为业主受培训人员提供项目系统所有操作项目所需的工作环境，使受训人员了解整个系统的功能。</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4</w:t>
      </w:r>
      <w:r>
        <w:rPr>
          <w:rFonts w:hint="eastAsia" w:ascii="宋体" w:hAnsi="宋体" w:eastAsia="宋体" w:cs="宋体"/>
          <w:b/>
          <w:color w:val="000000" w:themeColor="text1"/>
          <w:sz w:val="26"/>
          <w:highlight w:val="none"/>
          <w14:textFill>
            <w14:solidFill>
              <w14:schemeClr w14:val="tx1"/>
            </w14:solidFill>
          </w14:textFill>
        </w:rPr>
        <w:t>.3培训方式及计划</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根据培训对象和培训内容采用多样化的培训方式来开展本次培训，以保证培训效果和质量，达到培训目标要求。采用的培训方式包括：</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1）差别化培训（3次）</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根据培训人员不同的技术背景和能力，采取不同的培训手段和培训方法。在系统的不同进展阶段，采取不同的培训方式进行相关培训。差别化培训在项目上线、试运行阶段进行3次培训。</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2）理论培训（2次）</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各层次人员的需要，进行相应的理论培训，使其掌握必要的理论基础。理论培训将安排具有授课经验的专业讲师授课，以保证授课质量。理论培训安排集中培训，在项目建设中举行1次，在试运行过程中举行一次。</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3）实操培训（按需，至少5次）</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为了使培训学员特别是系统操作人员与系统维护人员更好更快地掌握系统使用，将根据各操作人员、维护人员以及管理人员的需要进行现场实操培训，现场实操培训将安排有实际经验的教员授课。实操培训根据现场实际情况，在任意阶段提供培训工作，至少5次。</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4</w:t>
      </w:r>
      <w:r>
        <w:rPr>
          <w:rFonts w:hint="eastAsia" w:ascii="宋体" w:hAnsi="宋体" w:eastAsia="宋体" w:cs="宋体"/>
          <w:b/>
          <w:color w:val="000000" w:themeColor="text1"/>
          <w:sz w:val="26"/>
          <w:highlight w:val="none"/>
          <w14:textFill>
            <w14:solidFill>
              <w14:schemeClr w14:val="tx1"/>
            </w14:solidFill>
          </w14:textFill>
        </w:rPr>
        <w:t>.4授课方式</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采用现场跟班学习方式，由承建单位安排专业技术负责人授课讲解。计划安排2-3个工作日完成所有培训内容，并由建设单位指定授课地点。</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4</w:t>
      </w:r>
      <w:r>
        <w:rPr>
          <w:rFonts w:hint="eastAsia" w:ascii="宋体" w:hAnsi="宋体" w:eastAsia="宋体" w:cs="宋体"/>
          <w:b/>
          <w:color w:val="000000" w:themeColor="text1"/>
          <w:sz w:val="26"/>
          <w:highlight w:val="none"/>
          <w14:textFill>
            <w14:solidFill>
              <w14:schemeClr w14:val="tx1"/>
            </w14:solidFill>
          </w14:textFill>
        </w:rPr>
        <w:t>.5培训效果评估</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为了达到培训目标，检验培训效果，根据不同的培训对象，需采取多种方式对培训效果进行评估：</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1）理论考试：在完成每次理论培训后，根据培训内容，有针对性地安排笔试或面试，以检验培训学员对培训课程的掌握情况。并根据考试结果，进行相应的补充培训。</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2）实际操作：根据系统实践性的要求，对培训学员的实际操作能力进行相应评估。</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3）故障数字：针对可能出现的系统故障，安排不同的场景，检验培训学员的应变和排除故障能力。</w:t>
      </w:r>
    </w:p>
    <w:p>
      <w:pPr>
        <w:ind w:firstLine="480"/>
        <w:rPr>
          <w:rFonts w:hint="eastAsia" w:ascii="宋体" w:hAnsi="宋体" w:eastAsia="宋体" w:cs="宋体"/>
          <w:color w:val="000000" w:themeColor="text1"/>
          <w:highlight w:val="none"/>
          <w14:textFill>
            <w14:solidFill>
              <w14:schemeClr w14:val="tx1"/>
            </w14:solidFill>
          </w14:textFill>
        </w:rPr>
      </w:pPr>
    </w:p>
    <w:p>
      <w:pPr>
        <w:outlineLvl w:val="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8"/>
          <w:highlight w:val="none"/>
          <w14:textFill>
            <w14:solidFill>
              <w14:schemeClr w14:val="tx1"/>
            </w14:solidFill>
          </w14:textFill>
        </w:rPr>
        <w:t>3.</w:t>
      </w:r>
      <w:r>
        <w:rPr>
          <w:rFonts w:hint="eastAsia" w:ascii="宋体" w:hAnsi="宋体" w:eastAsia="宋体" w:cs="宋体"/>
          <w:b/>
          <w:color w:val="000000" w:themeColor="text1"/>
          <w:sz w:val="28"/>
          <w:highlight w:val="none"/>
          <w:lang w:val="en-US" w:eastAsia="zh-CN"/>
          <w14:textFill>
            <w14:solidFill>
              <w14:schemeClr w14:val="tx1"/>
            </w14:solidFill>
          </w14:textFill>
        </w:rPr>
        <w:t>5</w:t>
      </w:r>
      <w:r>
        <w:rPr>
          <w:rFonts w:hint="eastAsia" w:ascii="宋体" w:hAnsi="宋体" w:eastAsia="宋体" w:cs="宋体"/>
          <w:b/>
          <w:color w:val="000000" w:themeColor="text1"/>
          <w:sz w:val="28"/>
          <w:highlight w:val="none"/>
          <w14:textFill>
            <w14:solidFill>
              <w14:schemeClr w14:val="tx1"/>
            </w14:solidFill>
          </w14:textFill>
        </w:rPr>
        <w:t>项目验收</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5</w:t>
      </w:r>
      <w:r>
        <w:rPr>
          <w:rFonts w:hint="eastAsia" w:ascii="宋体" w:hAnsi="宋体" w:eastAsia="宋体" w:cs="宋体"/>
          <w:b/>
          <w:color w:val="000000" w:themeColor="text1"/>
          <w:sz w:val="26"/>
          <w:highlight w:val="none"/>
          <w14:textFill>
            <w14:solidFill>
              <w14:schemeClr w14:val="tx1"/>
            </w14:solidFill>
          </w14:textFill>
        </w:rPr>
        <w:t>.1验收的前提条件</w:t>
      </w:r>
    </w:p>
    <w:p>
      <w:pPr>
        <w:pStyle w:val="10"/>
        <w:numPr>
          <w:ilvl w:val="0"/>
          <w:numId w:val="15"/>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w:t>
      </w:r>
      <w:r>
        <w:rPr>
          <w:rFonts w:hint="eastAsia" w:ascii="宋体" w:hAnsi="宋体" w:eastAsia="宋体" w:cs="宋体"/>
          <w:color w:val="000000" w:themeColor="text1"/>
          <w:highlight w:val="none"/>
          <w:lang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单位提出验收申请应满足以下条件：</w:t>
      </w:r>
    </w:p>
    <w:p>
      <w:pPr>
        <w:pStyle w:val="10"/>
        <w:numPr>
          <w:ilvl w:val="0"/>
          <w:numId w:val="15"/>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完成规定的所有建设内容项目初验后试运行</w:t>
      </w:r>
      <w:r>
        <w:rPr>
          <w:rFonts w:hint="eastAsia" w:ascii="宋体" w:hAnsi="宋体" w:eastAsia="宋体" w:cs="宋体"/>
          <w:color w:val="000000" w:themeColor="text1"/>
          <w:highlight w:val="none"/>
          <w:lang w:val="en-US" w:eastAsia="zh-CN"/>
          <w14:textFill>
            <w14:solidFill>
              <w14:schemeClr w14:val="tx1"/>
            </w14:solidFill>
          </w14:textFill>
        </w:rPr>
        <w:t>1周</w:t>
      </w:r>
      <w:r>
        <w:rPr>
          <w:rFonts w:hint="eastAsia" w:ascii="宋体" w:hAnsi="宋体" w:eastAsia="宋体" w:cs="宋体"/>
          <w:color w:val="000000" w:themeColor="text1"/>
          <w:highlight w:val="none"/>
          <w14:textFill>
            <w14:solidFill>
              <w14:schemeClr w14:val="tx1"/>
            </w14:solidFill>
          </w14:textFill>
        </w:rPr>
        <w:t>后；</w:t>
      </w:r>
    </w:p>
    <w:p>
      <w:pPr>
        <w:pStyle w:val="10"/>
        <w:numPr>
          <w:ilvl w:val="0"/>
          <w:numId w:val="15"/>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项目成交单位完成第三方专业检测机构的验收且验收合格；</w:t>
      </w:r>
    </w:p>
    <w:p>
      <w:pPr>
        <w:pStyle w:val="10"/>
        <w:numPr>
          <w:ilvl w:val="0"/>
          <w:numId w:val="15"/>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项目验收资料齐全；</w:t>
      </w:r>
    </w:p>
    <w:p>
      <w:pPr>
        <w:pStyle w:val="10"/>
        <w:numPr>
          <w:ilvl w:val="0"/>
          <w:numId w:val="15"/>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项目合同规定的建设任务已完成，并符合项目的建设目标；</w:t>
      </w:r>
    </w:p>
    <w:p>
      <w:pPr>
        <w:pStyle w:val="10"/>
        <w:numPr>
          <w:ilvl w:val="0"/>
          <w:numId w:val="15"/>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项目的功能、性能等指标达到项目设计的要求；</w:t>
      </w:r>
    </w:p>
    <w:p>
      <w:pPr>
        <w:pStyle w:val="10"/>
        <w:numPr>
          <w:ilvl w:val="0"/>
          <w:numId w:val="15"/>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项目试运行结束；</w:t>
      </w:r>
    </w:p>
    <w:p>
      <w:pPr>
        <w:pStyle w:val="10"/>
        <w:numPr>
          <w:ilvl w:val="0"/>
          <w:numId w:val="15"/>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项目验收资料齐全；</w:t>
      </w:r>
    </w:p>
    <w:p>
      <w:pPr>
        <w:pStyle w:val="10"/>
        <w:numPr>
          <w:ilvl w:val="0"/>
          <w:numId w:val="15"/>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验收准备：</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①按照项目合同、项目招标清单中各软硬件设备，核对相关数量及参数，完成各种验收文档；</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②各种设备经加电试运行，状态正常，完成试运行，</w:t>
      </w:r>
      <w:r>
        <w:rPr>
          <w:rFonts w:hint="eastAsia" w:ascii="宋体" w:hAnsi="宋体" w:eastAsia="宋体" w:cs="宋体"/>
          <w:color w:val="000000" w:themeColor="text1"/>
          <w:highlight w:val="none"/>
          <w:lang w:val="en-US"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单位编制项目试运行报告；</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③</w:t>
      </w:r>
      <w:r>
        <w:rPr>
          <w:rFonts w:hint="eastAsia" w:ascii="宋体" w:hAnsi="宋体" w:eastAsia="宋体" w:cs="宋体"/>
          <w:color w:val="000000" w:themeColor="text1"/>
          <w:highlight w:val="none"/>
          <w:lang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单位整理所有技术文档和工程实施管理资料等项目文档，提交给采购人单位。</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5</w:t>
      </w:r>
      <w:r>
        <w:rPr>
          <w:rFonts w:hint="eastAsia" w:ascii="宋体" w:hAnsi="宋体" w:eastAsia="宋体" w:cs="宋体"/>
          <w:b/>
          <w:color w:val="000000" w:themeColor="text1"/>
          <w:sz w:val="26"/>
          <w:highlight w:val="none"/>
          <w14:textFill>
            <w14:solidFill>
              <w14:schemeClr w14:val="tx1"/>
            </w14:solidFill>
          </w14:textFill>
        </w:rPr>
        <w:t>.2验收的标准和依据</w:t>
      </w:r>
    </w:p>
    <w:p>
      <w:pPr>
        <w:ind w:firstLine="48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1）项目验收的标准</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项目验收的标准是指判断项目建设是否符合项目目标的根据。项目验收的标准一般包括：项目合同书；国家标准；行业标准；国家的相关政策、法规。</w:t>
      </w:r>
    </w:p>
    <w:p>
      <w:pPr>
        <w:ind w:firstLine="48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2）项目验收的依据</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①工作成果</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工作成果是项目实施的结果，项目收尾时提交的工作成果要符合项目目标。工作成果验收合格，项目才能终止。因此，项目验收的重点是对项目的工作成果进行审查。</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②成果说明</w:t>
      </w:r>
    </w:p>
    <w:p>
      <w:pPr>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项目团队还要向用户提供说明项目成果的文件，如技术要求说明书、技术文件、竣工图纸等，以供验收审查。</w:t>
      </w:r>
    </w:p>
    <w:p>
      <w:pPr>
        <w:ind w:firstLine="0"/>
        <w:jc w:val="left"/>
        <w:outlineLvl w:val="3"/>
        <w:rPr>
          <w:rFonts w:hint="eastAsia" w:ascii="宋体" w:hAnsi="宋体" w:eastAsia="宋体" w:cs="宋体"/>
          <w:b/>
          <w:color w:val="000000" w:themeColor="text1"/>
          <w:sz w:val="26"/>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5</w:t>
      </w:r>
      <w:r>
        <w:rPr>
          <w:rFonts w:hint="eastAsia" w:ascii="宋体" w:hAnsi="宋体" w:eastAsia="宋体" w:cs="宋体"/>
          <w:b/>
          <w:color w:val="000000" w:themeColor="text1"/>
          <w:sz w:val="26"/>
          <w:highlight w:val="none"/>
          <w14:textFill>
            <w14:solidFill>
              <w14:schemeClr w14:val="tx1"/>
            </w14:solidFill>
          </w14:textFill>
        </w:rPr>
        <w:t>.</w:t>
      </w:r>
      <w:r>
        <w:rPr>
          <w:rFonts w:hint="eastAsia" w:ascii="宋体" w:hAnsi="宋体" w:eastAsia="宋体" w:cs="宋体"/>
          <w:b/>
          <w:color w:val="000000" w:themeColor="text1"/>
          <w:sz w:val="26"/>
          <w:highlight w:val="none"/>
          <w:lang w:val="en-US" w:eastAsia="zh-CN"/>
          <w14:textFill>
            <w14:solidFill>
              <w14:schemeClr w14:val="tx1"/>
            </w14:solidFill>
          </w14:textFill>
        </w:rPr>
        <w:t>3</w:t>
      </w:r>
      <w:r>
        <w:rPr>
          <w:rFonts w:hint="eastAsia" w:ascii="宋体" w:hAnsi="宋体" w:eastAsia="宋体" w:cs="宋体"/>
          <w:b/>
          <w:color w:val="000000" w:themeColor="text1"/>
          <w:sz w:val="26"/>
          <w:highlight w:val="none"/>
          <w14:textFill>
            <w14:solidFill>
              <w14:schemeClr w14:val="tx1"/>
            </w14:solidFill>
          </w14:textFill>
        </w:rPr>
        <w:t>验收要求</w:t>
      </w:r>
    </w:p>
    <w:p>
      <w:pPr>
        <w:ind w:firstLine="42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预验收由项目使用部门组织，验收标准为检查产品数量、参数是否符合，产品是否完整无损，安装调试是否规范及相关产品资料是否提供。</w:t>
      </w:r>
    </w:p>
    <w:p>
      <w:pPr>
        <w:ind w:firstLine="42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正式验收由项目相关部门组织，对产品参数、产品资料、项目相关文档、预验收资料等进行核查并出具最终验收报告。</w:t>
      </w:r>
    </w:p>
    <w:p>
      <w:pPr>
        <w:ind w:firstLine="42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1）货物若有国家标准按照国家标准验收，若无国家标准按行业标准验收，为原制造商制造的全新产品，整机无污染，无侵权行为、表面无划损、无任何缺陷隐患，在中国境内可依常规安全合法使用。</w:t>
      </w:r>
    </w:p>
    <w:p>
      <w:pPr>
        <w:ind w:firstLine="42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2）货物为原厂商未启封全新包装，具出厂合格证，序列号、包装箱号与出厂批号一致，并可追索查阅。所有设备的附件须齐全。</w:t>
      </w:r>
    </w:p>
    <w:p>
      <w:pPr>
        <w:ind w:firstLine="42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3）</w:t>
      </w:r>
      <w:r>
        <w:rPr>
          <w:rFonts w:hint="eastAsia" w:ascii="宋体" w:hAnsi="宋体" w:eastAsia="宋体" w:cs="宋体"/>
          <w:color w:val="000000" w:themeColor="text1"/>
          <w:sz w:val="21"/>
          <w:highlight w:val="none"/>
          <w:lang w:eastAsia="zh-CN"/>
          <w14:textFill>
            <w14:solidFill>
              <w14:schemeClr w14:val="tx1"/>
            </w14:solidFill>
          </w14:textFill>
        </w:rPr>
        <w:t>成交</w:t>
      </w:r>
      <w:r>
        <w:rPr>
          <w:rFonts w:hint="eastAsia" w:ascii="宋体" w:hAnsi="宋体" w:eastAsia="宋体" w:cs="宋体"/>
          <w:color w:val="000000" w:themeColor="text1"/>
          <w:sz w:val="21"/>
          <w:highlight w:val="none"/>
          <w14:textFill>
            <w14:solidFill>
              <w14:schemeClr w14:val="tx1"/>
            </w14:solidFill>
          </w14:textFill>
        </w:rPr>
        <w:t>人应将关键主机设备的用户手册、保修手册、有关单证资料及配备件、随机工具等交付给采购人，使用操作及安全须知等重要资料应附有中文说明。</w:t>
      </w:r>
    </w:p>
    <w:p>
      <w:pPr>
        <w:ind w:firstLine="420"/>
        <w:jc w:val="both"/>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4）采购人组成验收小组按国家有关规定、规范进行验收，</w:t>
      </w:r>
      <w:r>
        <w:rPr>
          <w:rFonts w:hint="eastAsia" w:ascii="宋体" w:hAnsi="宋体" w:eastAsia="宋体" w:cs="宋体"/>
          <w:color w:val="000000" w:themeColor="text1"/>
          <w:sz w:val="21"/>
          <w:highlight w:val="none"/>
          <w:lang w:val="en-US" w:eastAsia="zh-CN"/>
          <w14:textFill>
            <w14:solidFill>
              <w14:schemeClr w14:val="tx1"/>
            </w14:solidFill>
          </w14:textFill>
        </w:rPr>
        <w:t>如有需要可</w:t>
      </w:r>
      <w:r>
        <w:rPr>
          <w:rFonts w:hint="eastAsia" w:ascii="宋体" w:hAnsi="宋体" w:eastAsia="宋体" w:cs="宋体"/>
          <w:color w:val="000000" w:themeColor="text1"/>
          <w:sz w:val="21"/>
          <w:highlight w:val="none"/>
          <w14:textFill>
            <w14:solidFill>
              <w14:schemeClr w14:val="tx1"/>
            </w14:solidFill>
          </w14:textFill>
        </w:rPr>
        <w:t>邀请相关的专业人员或机构参与验收</w:t>
      </w:r>
      <w:r>
        <w:rPr>
          <w:rFonts w:hint="eastAsia" w:ascii="宋体" w:hAnsi="宋体" w:eastAsia="宋体" w:cs="宋体"/>
          <w:color w:val="000000" w:themeColor="text1"/>
          <w:sz w:val="2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对设备、声学环境进行</w:t>
      </w:r>
      <w:r>
        <w:rPr>
          <w:rFonts w:hint="eastAsia" w:ascii="宋体" w:hAnsi="宋体" w:eastAsia="宋体" w:cs="宋体"/>
          <w:color w:val="000000" w:themeColor="text1"/>
          <w:highlight w:val="none"/>
          <w14:textFill>
            <w14:solidFill>
              <w14:schemeClr w14:val="tx1"/>
            </w14:solidFill>
          </w14:textFill>
        </w:rPr>
        <w:t>检验</w:t>
      </w:r>
      <w:r>
        <w:rPr>
          <w:rFonts w:hint="eastAsia" w:ascii="宋体" w:hAnsi="宋体" w:eastAsia="宋体" w:cs="宋体"/>
          <w:color w:val="000000" w:themeColor="text1"/>
          <w:sz w:val="21"/>
          <w:highlight w:val="none"/>
          <w14:textFill>
            <w14:solidFill>
              <w14:schemeClr w14:val="tx1"/>
            </w14:solidFill>
          </w14:textFill>
        </w:rPr>
        <w:t>。</w:t>
      </w:r>
    </w:p>
    <w:p>
      <w:pPr>
        <w:ind w:firstLine="420"/>
        <w:jc w:val="both"/>
        <w:rPr>
          <w:rFonts w:hint="eastAsia" w:ascii="宋体" w:hAnsi="宋体" w:eastAsia="宋体" w:cs="宋体"/>
          <w:color w:val="000000" w:themeColor="text1"/>
          <w:sz w:val="21"/>
          <w:highlight w:val="none"/>
          <w:lang w:val="en-US" w:eastAsia="zh-CN"/>
          <w14:textFill>
            <w14:solidFill>
              <w14:schemeClr w14:val="tx1"/>
            </w14:solidFill>
          </w14:textFill>
        </w:rPr>
      </w:pPr>
      <w:r>
        <w:rPr>
          <w:rFonts w:hint="eastAsia" w:ascii="宋体" w:hAnsi="宋体" w:eastAsia="宋体" w:cs="宋体"/>
          <w:color w:val="000000" w:themeColor="text1"/>
          <w:sz w:val="21"/>
          <w:highlight w:val="none"/>
          <w14:textFill>
            <w14:solidFill>
              <w14:schemeClr w14:val="tx1"/>
            </w14:solidFill>
          </w14:textFill>
        </w:rPr>
        <w:t>正式验收</w:t>
      </w:r>
      <w:r>
        <w:rPr>
          <w:rFonts w:hint="eastAsia" w:ascii="宋体" w:hAnsi="宋体" w:eastAsia="宋体" w:cs="宋体"/>
          <w:color w:val="000000" w:themeColor="text1"/>
          <w:sz w:val="21"/>
          <w:highlight w:val="none"/>
          <w:lang w:val="en-US" w:eastAsia="zh-CN"/>
          <w14:textFill>
            <w14:solidFill>
              <w14:schemeClr w14:val="tx1"/>
            </w14:solidFill>
          </w14:textFill>
        </w:rPr>
        <w:t>时，成交</w:t>
      </w:r>
      <w:r>
        <w:rPr>
          <w:rFonts w:hint="eastAsia" w:ascii="宋体" w:hAnsi="宋体" w:eastAsia="宋体" w:cs="宋体"/>
          <w:color w:val="000000" w:themeColor="text1"/>
          <w:highlight w:val="none"/>
          <w14:textFill>
            <w14:solidFill>
              <w14:schemeClr w14:val="tx1"/>
            </w14:solidFill>
          </w14:textFill>
        </w:rPr>
        <w:t>供应商</w:t>
      </w:r>
      <w:r>
        <w:rPr>
          <w:rFonts w:hint="eastAsia" w:ascii="宋体" w:hAnsi="宋体" w:eastAsia="宋体" w:cs="宋体"/>
          <w:color w:val="000000" w:themeColor="text1"/>
          <w:highlight w:val="none"/>
          <w:lang w:val="en-US" w:eastAsia="zh-CN"/>
          <w14:textFill>
            <w14:solidFill>
              <w14:schemeClr w14:val="tx1"/>
            </w14:solidFill>
          </w14:textFill>
        </w:rPr>
        <w:t>需</w:t>
      </w:r>
      <w:r>
        <w:rPr>
          <w:rFonts w:hint="eastAsia" w:ascii="宋体" w:hAnsi="宋体" w:eastAsia="宋体" w:cs="宋体"/>
          <w:color w:val="000000" w:themeColor="text1"/>
          <w:highlight w:val="none"/>
          <w14:textFill>
            <w14:solidFill>
              <w14:schemeClr w14:val="tx1"/>
            </w14:solidFill>
          </w14:textFill>
        </w:rPr>
        <w:t>提供</w:t>
      </w:r>
      <w:r>
        <w:rPr>
          <w:rFonts w:hint="eastAsia" w:ascii="宋体" w:hAnsi="宋体" w:eastAsia="宋体" w:cs="宋体"/>
          <w:color w:val="000000" w:themeColor="text1"/>
          <w:highlight w:val="none"/>
          <w:lang w:val="en-US" w:eastAsia="zh-CN"/>
          <w14:textFill>
            <w14:solidFill>
              <w14:schemeClr w14:val="tx1"/>
            </w14:solidFill>
          </w14:textFill>
        </w:rPr>
        <w:t>第三方专业检测机构的</w:t>
      </w:r>
      <w:r>
        <w:rPr>
          <w:rFonts w:hint="eastAsia" w:ascii="宋体" w:hAnsi="宋体" w:eastAsia="宋体" w:cs="宋体"/>
          <w:color w:val="000000" w:themeColor="text1"/>
          <w:highlight w:val="none"/>
          <w14:textFill>
            <w14:solidFill>
              <w14:schemeClr w14:val="tx1"/>
            </w14:solidFill>
          </w14:textFill>
        </w:rPr>
        <w:t>检测报告</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并满足以下标准和要求：</w:t>
      </w:r>
    </w:p>
    <w:p>
      <w:pPr>
        <w:ind w:firstLine="42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①</w:t>
      </w:r>
      <w:r>
        <w:rPr>
          <w:rFonts w:hint="eastAsia" w:ascii="宋体" w:hAnsi="宋体" w:eastAsia="宋体" w:cs="宋体"/>
          <w:color w:val="000000" w:themeColor="text1"/>
          <w:highlight w:val="none"/>
          <w:lang w:eastAsia="zh-CN"/>
          <w14:textFill>
            <w14:solidFill>
              <w14:schemeClr w14:val="tx1"/>
            </w14:solidFill>
          </w14:textFill>
        </w:rPr>
        <w:t>LED显示屏</w:t>
      </w:r>
      <w:r>
        <w:rPr>
          <w:rFonts w:hint="eastAsia" w:ascii="宋体" w:hAnsi="宋体" w:eastAsia="宋体" w:cs="宋体"/>
          <w:color w:val="000000" w:themeColor="text1"/>
          <w:highlight w:val="none"/>
          <w14:textFill>
            <w14:solidFill>
              <w14:schemeClr w14:val="tx1"/>
            </w14:solidFill>
          </w14:textFill>
        </w:rPr>
        <w:t>和显示系统满足《视频显示系统工程技术规范》甲级性能指标、《发光二极管(LED)显示屏通用规范》（SJT 11141） C级指标和4K显示；</w:t>
      </w:r>
    </w:p>
    <w:p>
      <w:pPr>
        <w:ind w:firstLine="42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②</w:t>
      </w:r>
      <w:r>
        <w:rPr>
          <w:rFonts w:hint="eastAsia" w:ascii="宋体" w:hAnsi="宋体" w:eastAsia="宋体" w:cs="宋体"/>
          <w:color w:val="000000" w:themeColor="text1"/>
          <w:highlight w:val="none"/>
          <w14:textFill>
            <w14:solidFill>
              <w14:schemeClr w14:val="tx1"/>
            </w14:solidFill>
          </w14:textFill>
        </w:rPr>
        <w:t>扩声系统满足GB_T 28049-2011《厅堂、体育场馆扩声系统设计规范》多用途类扩声系统声学特性指标一级要求，确保声音在全域能听清、（影片音效）重现真实；</w:t>
      </w:r>
    </w:p>
    <w:p>
      <w:pPr>
        <w:ind w:firstLine="42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③</w:t>
      </w:r>
      <w:r>
        <w:rPr>
          <w:rFonts w:hint="eastAsia" w:ascii="宋体" w:hAnsi="宋体" w:eastAsia="宋体" w:cs="宋体"/>
          <w:color w:val="000000" w:themeColor="text1"/>
          <w:highlight w:val="none"/>
          <w14:textFill>
            <w14:solidFill>
              <w14:schemeClr w14:val="tx1"/>
            </w14:solidFill>
          </w14:textFill>
        </w:rPr>
        <w:t>建筑声学条件满足GB/T 50356《剧场、电影院和多用途厅堂建筑声学设计规范》多用途厅堂的要求；</w:t>
      </w:r>
    </w:p>
    <w:p>
      <w:pPr>
        <w:ind w:firstLine="420"/>
        <w:jc w:val="both"/>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④</w:t>
      </w:r>
      <w:r>
        <w:rPr>
          <w:rFonts w:hint="eastAsia" w:ascii="宋体" w:hAnsi="宋体" w:eastAsia="宋体" w:cs="宋体"/>
          <w:color w:val="000000" w:themeColor="text1"/>
          <w:highlight w:val="none"/>
          <w14:textFill>
            <w14:solidFill>
              <w14:schemeClr w14:val="tx1"/>
            </w14:solidFill>
          </w14:textFill>
        </w:rPr>
        <w:t>舞台灯光需要满足GB 50606《智能建筑工程施工规范》视频信号的采集区照明要求，确保拍照录像不黑脸。</w:t>
      </w:r>
    </w:p>
    <w:p>
      <w:pPr>
        <w:ind w:firstLine="420"/>
        <w:jc w:val="both"/>
        <w:rPr>
          <w:rFonts w:hint="eastAsia" w:ascii="宋体" w:hAnsi="宋体" w:eastAsia="宋体" w:cs="宋体"/>
          <w:color w:val="000000" w:themeColor="text1"/>
          <w:sz w:val="21"/>
          <w:highlight w:val="none"/>
          <w14:textFill>
            <w14:solidFill>
              <w14:schemeClr w14:val="tx1"/>
            </w14:solidFill>
          </w14:textFill>
        </w:rPr>
      </w:pPr>
      <w:r>
        <w:rPr>
          <w:rFonts w:hint="eastAsia" w:ascii="宋体" w:hAnsi="宋体" w:eastAsia="宋体" w:cs="宋体"/>
          <w:color w:val="000000" w:themeColor="text1"/>
          <w:sz w:val="21"/>
          <w:highlight w:val="none"/>
          <w:lang w:val="en-US" w:eastAsia="zh-CN"/>
          <w14:textFill>
            <w14:solidFill>
              <w14:schemeClr w14:val="tx1"/>
            </w14:solidFill>
          </w14:textFill>
        </w:rPr>
        <w:t>5）</w:t>
      </w:r>
      <w:r>
        <w:rPr>
          <w:rFonts w:hint="eastAsia" w:ascii="宋体" w:hAnsi="宋体" w:eastAsia="宋体" w:cs="宋体"/>
          <w:color w:val="000000" w:themeColor="text1"/>
          <w:sz w:val="21"/>
          <w:highlight w:val="none"/>
          <w14:textFill>
            <w14:solidFill>
              <w14:schemeClr w14:val="tx1"/>
            </w14:solidFill>
          </w14:textFill>
        </w:rPr>
        <w:t>因货物质量问题发生争议时，由本地质量技术监督部门鉴定。货物符合质量技术标准的，鉴定费由采购人承担；否则鉴定费由</w:t>
      </w:r>
      <w:r>
        <w:rPr>
          <w:rFonts w:hint="eastAsia" w:ascii="宋体" w:hAnsi="宋体" w:eastAsia="宋体" w:cs="宋体"/>
          <w:color w:val="000000" w:themeColor="text1"/>
          <w:sz w:val="21"/>
          <w:highlight w:val="none"/>
          <w:lang w:eastAsia="zh-CN"/>
          <w14:textFill>
            <w14:solidFill>
              <w14:schemeClr w14:val="tx1"/>
            </w14:solidFill>
          </w14:textFill>
        </w:rPr>
        <w:t>成交</w:t>
      </w:r>
      <w:r>
        <w:rPr>
          <w:rFonts w:hint="eastAsia" w:ascii="宋体" w:hAnsi="宋体" w:eastAsia="宋体" w:cs="宋体"/>
          <w:color w:val="000000" w:themeColor="text1"/>
          <w:sz w:val="21"/>
          <w:highlight w:val="none"/>
          <w14:textFill>
            <w14:solidFill>
              <w14:schemeClr w14:val="tx1"/>
            </w14:solidFill>
          </w14:textFill>
        </w:rPr>
        <w:t>人承担。</w:t>
      </w:r>
    </w:p>
    <w:p>
      <w:pPr>
        <w:ind w:firstLine="420" w:firstLineChars="200"/>
        <w:rPr>
          <w:rFonts w:hint="eastAsia" w:ascii="宋体" w:hAnsi="宋体" w:eastAsia="宋体" w:cs="宋体"/>
          <w:color w:val="000000" w:themeColor="text1"/>
          <w:highlight w:val="none"/>
          <w14:textFill>
            <w14:solidFill>
              <w14:schemeClr w14:val="tx1"/>
            </w14:solidFill>
          </w14:textFill>
        </w:rPr>
      </w:pPr>
    </w:p>
    <w:p>
      <w:pPr>
        <w:outlineLvl w:val="3"/>
        <w:rPr>
          <w:rFonts w:hint="eastAsia" w:ascii="宋体" w:hAnsi="宋体" w:eastAsia="宋体" w:cs="宋体"/>
          <w:b/>
          <w:color w:val="000000" w:themeColor="text1"/>
          <w:sz w:val="26"/>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5</w:t>
      </w:r>
      <w:r>
        <w:rPr>
          <w:rFonts w:hint="eastAsia" w:ascii="宋体" w:hAnsi="宋体" w:eastAsia="宋体" w:cs="宋体"/>
          <w:b/>
          <w:color w:val="000000" w:themeColor="text1"/>
          <w:sz w:val="26"/>
          <w:highlight w:val="none"/>
          <w14:textFill>
            <w14:solidFill>
              <w14:schemeClr w14:val="tx1"/>
            </w14:solidFill>
          </w14:textFill>
        </w:rPr>
        <w:t>.3项目验收的组织</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w:t>
      </w:r>
      <w:r>
        <w:rPr>
          <w:rFonts w:hint="eastAsia" w:ascii="宋体" w:hAnsi="宋体" w:eastAsia="宋体" w:cs="宋体"/>
          <w:b/>
          <w:color w:val="000000" w:themeColor="text1"/>
          <w:sz w:val="24"/>
          <w:highlight w:val="none"/>
          <w:lang w:val="en-US" w:eastAsia="zh-CN"/>
          <w14:textFill>
            <w14:solidFill>
              <w14:schemeClr w14:val="tx1"/>
            </w14:solidFill>
          </w14:textFill>
        </w:rPr>
        <w:t>5</w:t>
      </w:r>
      <w:r>
        <w:rPr>
          <w:rFonts w:hint="eastAsia" w:ascii="宋体" w:hAnsi="宋体" w:eastAsia="宋体" w:cs="宋体"/>
          <w:b/>
          <w:color w:val="000000" w:themeColor="text1"/>
          <w:sz w:val="24"/>
          <w:highlight w:val="none"/>
          <w14:textFill>
            <w14:solidFill>
              <w14:schemeClr w14:val="tx1"/>
            </w14:solidFill>
          </w14:textFill>
        </w:rPr>
        <w:t>.3.1资料审查工作</w:t>
      </w:r>
    </w:p>
    <w:p>
      <w:pPr>
        <w:ind w:firstLine="48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资料审查工作主要对项目的相关资料进行评审，检查资料是否齐全、完整、正确。评审的资料包括以下内容：</w:t>
      </w:r>
    </w:p>
    <w:p>
      <w:pPr>
        <w:ind w:firstLine="48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1）总结资料：项目概要。</w:t>
      </w:r>
    </w:p>
    <w:p>
      <w:pPr>
        <w:ind w:firstLine="48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2）合同资料：</w:t>
      </w:r>
      <w:r>
        <w:rPr>
          <w:rFonts w:hint="eastAsia" w:ascii="宋体" w:hAnsi="宋体" w:eastAsia="宋体" w:cs="宋体"/>
          <w:color w:val="000000" w:themeColor="text1"/>
          <w:highlight w:val="none"/>
          <w:lang w:eastAsia="zh-CN"/>
          <w14:textFill>
            <w14:solidFill>
              <w14:schemeClr w14:val="tx1"/>
            </w14:solidFill>
          </w14:textFill>
        </w:rPr>
        <w:t>磋商文件</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eastAsia="zh-CN"/>
          <w14:textFill>
            <w14:solidFill>
              <w14:schemeClr w14:val="tx1"/>
            </w14:solidFill>
          </w14:textFill>
        </w:rPr>
        <w:t>响应文件</w:t>
      </w:r>
      <w:r>
        <w:rPr>
          <w:rFonts w:hint="eastAsia" w:ascii="宋体" w:hAnsi="宋体" w:eastAsia="宋体" w:cs="宋体"/>
          <w:color w:val="000000" w:themeColor="text1"/>
          <w:highlight w:val="none"/>
          <w14:textFill>
            <w14:solidFill>
              <w14:schemeClr w14:val="tx1"/>
            </w14:solidFill>
          </w14:textFill>
        </w:rPr>
        <w:t>、合同文件。</w:t>
      </w:r>
    </w:p>
    <w:p>
      <w:pPr>
        <w:ind w:firstLine="48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3）项目施工资料：项目开工报告、项目实施报告、项目竣工报告、材料与设备清单、项目实施质量与安全检查记录、项目竣工图纸、售后服务保证文件、项目自检报告。</w:t>
      </w:r>
    </w:p>
    <w:p>
      <w:pPr>
        <w:ind w:firstLine="480"/>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4）项目试运行</w:t>
      </w:r>
      <w:r>
        <w:rPr>
          <w:rFonts w:hint="eastAsia" w:ascii="宋体" w:hAnsi="宋体" w:eastAsia="宋体" w:cs="宋体"/>
          <w:color w:val="000000" w:themeColor="text1"/>
          <w:highlight w:val="none"/>
          <w:lang w:val="en-US" w:eastAsia="zh-CN"/>
          <w14:textFill>
            <w14:solidFill>
              <w14:schemeClr w14:val="tx1"/>
            </w14:solidFill>
          </w14:textFill>
        </w:rPr>
        <w:t>报告</w:t>
      </w:r>
      <w:r>
        <w:rPr>
          <w:rFonts w:hint="eastAsia" w:ascii="宋体" w:hAnsi="宋体" w:eastAsia="宋体" w:cs="宋体"/>
          <w:color w:val="000000" w:themeColor="text1"/>
          <w:highlight w:val="none"/>
          <w14:textFill>
            <w14:solidFill>
              <w14:schemeClr w14:val="tx1"/>
            </w14:solidFill>
          </w14:textFill>
        </w:rPr>
        <w:t>：用户试用报告或用户意见书。</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5）系统设计说明书、项目详细实施方案、系统结构图、用户手册、用户培训计划、培训文档。</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6）第三方专业检测机构的检测报告</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w:t>
      </w:r>
      <w:r>
        <w:rPr>
          <w:rFonts w:hint="eastAsia" w:ascii="宋体" w:hAnsi="宋体" w:eastAsia="宋体" w:cs="宋体"/>
          <w:b/>
          <w:color w:val="000000" w:themeColor="text1"/>
          <w:sz w:val="24"/>
          <w:highlight w:val="none"/>
          <w:lang w:val="en-US" w:eastAsia="zh-CN"/>
          <w14:textFill>
            <w14:solidFill>
              <w14:schemeClr w14:val="tx1"/>
            </w14:solidFill>
          </w14:textFill>
        </w:rPr>
        <w:t>5</w:t>
      </w:r>
      <w:r>
        <w:rPr>
          <w:rFonts w:hint="eastAsia" w:ascii="宋体" w:hAnsi="宋体" w:eastAsia="宋体" w:cs="宋体"/>
          <w:b/>
          <w:color w:val="000000" w:themeColor="text1"/>
          <w:sz w:val="24"/>
          <w:highlight w:val="none"/>
          <w14:textFill>
            <w14:solidFill>
              <w14:schemeClr w14:val="tx1"/>
            </w14:solidFill>
          </w14:textFill>
        </w:rPr>
        <w:t>.3.2项目评审工作</w:t>
      </w:r>
    </w:p>
    <w:p>
      <w:pPr>
        <w:ind w:firstLine="482"/>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项目评审的内容主要包括：</w:t>
      </w:r>
    </w:p>
    <w:p>
      <w:pPr>
        <w:ind w:firstLine="482"/>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1）技术文档是否齐全，是否符合国家或有关部门的技术要求；</w:t>
      </w:r>
    </w:p>
    <w:p>
      <w:pPr>
        <w:ind w:firstLine="482"/>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2）根据技术标准、建设规范，检查各项技术指标是否达到要求；</w:t>
      </w:r>
    </w:p>
    <w:p>
      <w:pPr>
        <w:ind w:firstLine="482"/>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3）建设项目的设计、施工是否符合国家或有关部门的标准和规范；</w:t>
      </w:r>
    </w:p>
    <w:p>
      <w:pPr>
        <w:ind w:firstLine="482"/>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4）运行管理人员和操作使用人员的技术培训是否达到熟练操作的程度；</w:t>
      </w:r>
    </w:p>
    <w:p>
      <w:pPr>
        <w:ind w:firstLine="482"/>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5）相关管理规章制度是否建立和健全。</w:t>
      </w:r>
    </w:p>
    <w:p>
      <w:pPr>
        <w:ind w:firstLine="482"/>
        <w:rPr>
          <w:rFonts w:hint="eastAsia" w:ascii="宋体" w:hAnsi="宋体" w:eastAsia="宋体" w:cs="宋体"/>
          <w:color w:val="000000" w:themeColor="text1"/>
          <w:highlight w:val="none"/>
          <w:lang w:eastAsia="zh-CN"/>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5</w:t>
      </w:r>
      <w:r>
        <w:rPr>
          <w:rFonts w:hint="eastAsia" w:ascii="宋体" w:hAnsi="宋体" w:eastAsia="宋体" w:cs="宋体"/>
          <w:b/>
          <w:color w:val="000000" w:themeColor="text1"/>
          <w:sz w:val="26"/>
          <w:highlight w:val="none"/>
          <w14:textFill>
            <w14:solidFill>
              <w14:schemeClr w14:val="tx1"/>
            </w14:solidFill>
          </w14:textFill>
        </w:rPr>
        <w:t>.4验收结论与处理</w:t>
      </w:r>
    </w:p>
    <w:p>
      <w:pPr>
        <w:ind w:firstLine="420" w:firstLineChars="200"/>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验收结论分为：验收合格和验收不合格。</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w:t>
      </w:r>
      <w:r>
        <w:rPr>
          <w:rFonts w:hint="eastAsia" w:ascii="宋体" w:hAnsi="宋体" w:eastAsia="宋体" w:cs="宋体"/>
          <w:b/>
          <w:color w:val="000000" w:themeColor="text1"/>
          <w:sz w:val="24"/>
          <w:highlight w:val="none"/>
          <w:lang w:val="en-US" w:eastAsia="zh-CN"/>
          <w14:textFill>
            <w14:solidFill>
              <w14:schemeClr w14:val="tx1"/>
            </w14:solidFill>
          </w14:textFill>
        </w:rPr>
        <w:t>5</w:t>
      </w:r>
      <w:r>
        <w:rPr>
          <w:rFonts w:hint="eastAsia" w:ascii="宋体" w:hAnsi="宋体" w:eastAsia="宋体" w:cs="宋体"/>
          <w:b/>
          <w:color w:val="000000" w:themeColor="text1"/>
          <w:sz w:val="24"/>
          <w:highlight w:val="none"/>
          <w14:textFill>
            <w14:solidFill>
              <w14:schemeClr w14:val="tx1"/>
            </w14:solidFill>
          </w14:textFill>
        </w:rPr>
        <w:t>.4.1验收合格</w:t>
      </w:r>
    </w:p>
    <w:p>
      <w:pPr>
        <w:rPr>
          <w:rFonts w:hint="eastAsia" w:ascii="宋体" w:hAnsi="宋体" w:eastAsia="宋体" w:cs="宋体"/>
          <w:bCs/>
          <w:color w:val="000000" w:themeColor="text1"/>
          <w:highlight w:val="none"/>
          <w:lang w:eastAsia="zh-CN"/>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 xml:space="preserve">  </w:t>
      </w:r>
      <w:r>
        <w:rPr>
          <w:rFonts w:hint="eastAsia" w:ascii="宋体" w:hAnsi="宋体" w:eastAsia="宋体" w:cs="宋体"/>
          <w:bCs/>
          <w:color w:val="000000" w:themeColor="text1"/>
          <w:highlight w:val="none"/>
          <w14:textFill>
            <w14:solidFill>
              <w14:schemeClr w14:val="tx1"/>
            </w14:solidFill>
          </w14:textFill>
        </w:rPr>
        <w:t xml:space="preserve"> </w:t>
      </w:r>
      <w:r>
        <w:rPr>
          <w:rFonts w:hint="eastAsia" w:ascii="宋体" w:hAnsi="宋体" w:eastAsia="宋体" w:cs="宋体"/>
          <w:bCs/>
          <w:color w:val="000000" w:themeColor="text1"/>
          <w:highlight w:val="none"/>
          <w:lang w:val="en-US" w:eastAsia="zh-CN"/>
          <w14:textFill>
            <w14:solidFill>
              <w14:schemeClr w14:val="tx1"/>
            </w14:solidFill>
          </w14:textFill>
        </w:rPr>
        <w:t xml:space="preserve"> </w:t>
      </w:r>
      <w:r>
        <w:rPr>
          <w:rFonts w:hint="eastAsia" w:ascii="宋体" w:hAnsi="宋体" w:eastAsia="宋体" w:cs="宋体"/>
          <w:bCs/>
          <w:color w:val="000000" w:themeColor="text1"/>
          <w:highlight w:val="none"/>
          <w14:textFill>
            <w14:solidFill>
              <w14:schemeClr w14:val="tx1"/>
            </w14:solidFill>
          </w14:textFill>
        </w:rPr>
        <w:t>满足以下所有条件，为验收合格：</w:t>
      </w:r>
    </w:p>
    <w:p>
      <w:pPr>
        <w:ind w:firstLine="420" w:firstLineChars="200"/>
        <w:rPr>
          <w:rFonts w:hint="eastAsia" w:ascii="宋体" w:hAnsi="宋体" w:eastAsia="宋体" w:cs="宋体"/>
          <w:bCs/>
          <w:color w:val="000000" w:themeColor="text1"/>
          <w:highlight w:val="none"/>
          <w:lang w:eastAsia="zh-CN"/>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1) 项目设计和合同约定的各项内容都已实现；</w:t>
      </w:r>
    </w:p>
    <w:p>
      <w:pPr>
        <w:ind w:firstLine="420" w:firstLineChars="200"/>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2) 验收文档资料齐全、正确；</w:t>
      </w:r>
    </w:p>
    <w:p>
      <w:pPr>
        <w:outlineLvl w:val="4"/>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w:t>
      </w:r>
      <w:r>
        <w:rPr>
          <w:rFonts w:hint="eastAsia" w:ascii="宋体" w:hAnsi="宋体" w:eastAsia="宋体" w:cs="宋体"/>
          <w:b/>
          <w:color w:val="000000" w:themeColor="text1"/>
          <w:sz w:val="24"/>
          <w:highlight w:val="none"/>
          <w:lang w:val="en-US" w:eastAsia="zh-CN"/>
          <w14:textFill>
            <w14:solidFill>
              <w14:schemeClr w14:val="tx1"/>
            </w14:solidFill>
          </w14:textFill>
        </w:rPr>
        <w:t>5</w:t>
      </w:r>
      <w:r>
        <w:rPr>
          <w:rFonts w:hint="eastAsia" w:ascii="宋体" w:hAnsi="宋体" w:eastAsia="宋体" w:cs="宋体"/>
          <w:b/>
          <w:color w:val="000000" w:themeColor="text1"/>
          <w:sz w:val="24"/>
          <w:highlight w:val="none"/>
          <w14:textFill>
            <w14:solidFill>
              <w14:schemeClr w14:val="tx1"/>
            </w14:solidFill>
          </w14:textFill>
        </w:rPr>
        <w:t>.4.2验收不合格</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项目凡具有下列情况之一的，按验收不合格处理：</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 项目立项审批文件不齐全或项目变更未经审核；</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 经费使用不合理；</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 未按项目考核指标或合同要求达到所预定的主要技术指标的；</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 所提供的验收材料不真实的；</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 项目的内容、目标或技术路线等已进行了较大调整，但未曾得到建设单位认可的；</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6) 实施过程中出现重大问题，尚未解决和作出说明，或项目实施过程及结果等存在纠纷尚未解决的；</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7) 经测评机构测评，测评结果不合格的；</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8) 违反主管部门和财政部门对项目建设的统一要求的其他行为。</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w:t>
      </w:r>
      <w:r>
        <w:rPr>
          <w:rFonts w:hint="eastAsia" w:ascii="宋体" w:hAnsi="宋体" w:eastAsia="宋体" w:cs="宋体"/>
          <w:b/>
          <w:color w:val="000000" w:themeColor="text1"/>
          <w:sz w:val="24"/>
          <w:highlight w:val="none"/>
          <w:lang w:val="en-US" w:eastAsia="zh-CN"/>
          <w14:textFill>
            <w14:solidFill>
              <w14:schemeClr w14:val="tx1"/>
            </w14:solidFill>
          </w14:textFill>
        </w:rPr>
        <w:t>5</w:t>
      </w:r>
      <w:r>
        <w:rPr>
          <w:rFonts w:hint="eastAsia" w:ascii="宋体" w:hAnsi="宋体" w:eastAsia="宋体" w:cs="宋体"/>
          <w:b/>
          <w:color w:val="000000" w:themeColor="text1"/>
          <w:sz w:val="24"/>
          <w:highlight w:val="none"/>
          <w14:textFill>
            <w14:solidFill>
              <w14:schemeClr w14:val="tx1"/>
            </w14:solidFill>
          </w14:textFill>
        </w:rPr>
        <w:t>.4.3项目验收结论的处理</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验收结论为验收合格的，进行资料交接和项目交接。采购人单位凭该证明及其它有关材料办理支付项目相关进度款。</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项目验收结论为验收不合格的，以书面形式通知</w:t>
      </w:r>
      <w:r>
        <w:rPr>
          <w:rFonts w:hint="eastAsia" w:ascii="宋体" w:hAnsi="宋体" w:eastAsia="宋体" w:cs="宋体"/>
          <w:color w:val="000000" w:themeColor="text1"/>
          <w:highlight w:val="none"/>
          <w:lang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单位，限期整改，整改后</w:t>
      </w:r>
      <w:r>
        <w:rPr>
          <w:rFonts w:hint="eastAsia" w:ascii="宋体" w:hAnsi="宋体" w:eastAsia="宋体" w:cs="宋体"/>
          <w:color w:val="000000" w:themeColor="text1"/>
          <w:highlight w:val="none"/>
          <w:lang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单位重新申请验收。</w:t>
      </w:r>
    </w:p>
    <w:p>
      <w:pPr>
        <w:outlineLvl w:val="2"/>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b/>
          <w:color w:val="000000" w:themeColor="text1"/>
          <w:sz w:val="28"/>
          <w:highlight w:val="none"/>
          <w14:textFill>
            <w14:solidFill>
              <w14:schemeClr w14:val="tx1"/>
            </w14:solidFill>
          </w14:textFill>
        </w:rPr>
        <w:t>3.</w:t>
      </w:r>
      <w:r>
        <w:rPr>
          <w:rFonts w:hint="eastAsia" w:ascii="宋体" w:hAnsi="宋体" w:eastAsia="宋体" w:cs="宋体"/>
          <w:b/>
          <w:color w:val="000000" w:themeColor="text1"/>
          <w:sz w:val="28"/>
          <w:highlight w:val="none"/>
          <w:lang w:val="en-US" w:eastAsia="zh-CN"/>
          <w14:textFill>
            <w14:solidFill>
              <w14:schemeClr w14:val="tx1"/>
            </w14:solidFill>
          </w14:textFill>
        </w:rPr>
        <w:t>6</w:t>
      </w:r>
      <w:r>
        <w:rPr>
          <w:rFonts w:hint="eastAsia" w:ascii="宋体" w:hAnsi="宋体" w:eastAsia="宋体" w:cs="宋体"/>
          <w:b/>
          <w:color w:val="000000" w:themeColor="text1"/>
          <w:sz w:val="28"/>
          <w:highlight w:val="none"/>
          <w14:textFill>
            <w14:solidFill>
              <w14:schemeClr w14:val="tx1"/>
            </w14:solidFill>
          </w14:textFill>
        </w:rPr>
        <w:t>项目运行维护</w:t>
      </w:r>
      <w:r>
        <w:rPr>
          <w:rFonts w:hint="eastAsia" w:ascii="宋体" w:hAnsi="宋体" w:eastAsia="宋体" w:cs="宋体"/>
          <w:b/>
          <w:color w:val="000000" w:themeColor="text1"/>
          <w:sz w:val="28"/>
          <w:highlight w:val="none"/>
          <w:lang w:val="en-US" w:eastAsia="zh-CN"/>
          <w14:textFill>
            <w14:solidFill>
              <w14:schemeClr w14:val="tx1"/>
            </w14:solidFill>
          </w14:textFill>
        </w:rPr>
        <w:t>方案</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在项目建设过程中承建单位需配备足够的人员技术力量及售后服务队伍。</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6</w:t>
      </w:r>
      <w:r>
        <w:rPr>
          <w:rFonts w:hint="eastAsia" w:ascii="宋体" w:hAnsi="宋体" w:eastAsia="宋体" w:cs="宋体"/>
          <w:b/>
          <w:color w:val="000000" w:themeColor="text1"/>
          <w:sz w:val="26"/>
          <w:highlight w:val="none"/>
          <w14:textFill>
            <w14:solidFill>
              <w14:schemeClr w14:val="tx1"/>
            </w14:solidFill>
          </w14:textFill>
        </w:rPr>
        <w:t>.1运维目标</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1）通过采取主动的系统运维方案，确保系统的安全、稳定运行，尽量减少运行故障；</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2）在系统故障无法避免及突发故障的情况下，也可以保证系统能够得到最快的响应和最及时的恢复；</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3）适时地对硬件系统、软件系统进行必要的修改和更新，以保证系统能更好的满足用户的业务需求。</w:t>
      </w:r>
    </w:p>
    <w:p>
      <w:pPr>
        <w:outlineLvl w:val="3"/>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6"/>
          <w:highlight w:val="none"/>
          <w14:textFill>
            <w14:solidFill>
              <w14:schemeClr w14:val="tx1"/>
            </w14:solidFill>
          </w14:textFill>
        </w:rPr>
        <w:t>3.</w:t>
      </w:r>
      <w:r>
        <w:rPr>
          <w:rFonts w:hint="eastAsia" w:ascii="宋体" w:hAnsi="宋体" w:eastAsia="宋体" w:cs="宋体"/>
          <w:b/>
          <w:color w:val="000000" w:themeColor="text1"/>
          <w:sz w:val="26"/>
          <w:highlight w:val="none"/>
          <w:lang w:val="en-US" w:eastAsia="zh-CN"/>
          <w14:textFill>
            <w14:solidFill>
              <w14:schemeClr w14:val="tx1"/>
            </w14:solidFill>
          </w14:textFill>
        </w:rPr>
        <w:t>6</w:t>
      </w:r>
      <w:r>
        <w:rPr>
          <w:rFonts w:hint="eastAsia" w:ascii="宋体" w:hAnsi="宋体" w:eastAsia="宋体" w:cs="宋体"/>
          <w:b/>
          <w:color w:val="000000" w:themeColor="text1"/>
          <w:sz w:val="26"/>
          <w:highlight w:val="none"/>
          <w14:textFill>
            <w14:solidFill>
              <w14:schemeClr w14:val="tx1"/>
            </w14:solidFill>
          </w14:textFill>
        </w:rPr>
        <w:t>.2运维工作</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项目质保期内的运维工作：</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甲方应安排相应人员与</w:t>
      </w:r>
      <w:r>
        <w:rPr>
          <w:rFonts w:hint="eastAsia" w:ascii="宋体" w:hAnsi="宋体" w:eastAsia="宋体" w:cs="宋体"/>
          <w:color w:val="000000" w:themeColor="text1"/>
          <w:highlight w:val="none"/>
          <w:lang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单位一起工作，为今后顺利接手系统运行维护做好必要的人员和技术准备。</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在系统正式验收前，</w:t>
      </w:r>
      <w:r>
        <w:rPr>
          <w:rFonts w:hint="eastAsia" w:ascii="宋体" w:hAnsi="宋体" w:eastAsia="宋体" w:cs="宋体"/>
          <w:color w:val="000000" w:themeColor="text1"/>
          <w:highlight w:val="none"/>
          <w:lang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单位需为用户提供最及时、最专业的系统运行维护服务。</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w:t>
      </w:r>
      <w:r>
        <w:rPr>
          <w:rFonts w:hint="eastAsia" w:ascii="宋体" w:hAnsi="宋体" w:eastAsia="宋体" w:cs="宋体"/>
          <w:b/>
          <w:color w:val="000000" w:themeColor="text1"/>
          <w:sz w:val="24"/>
          <w:highlight w:val="none"/>
          <w:lang w:val="en-US" w:eastAsia="zh-CN"/>
          <w14:textFill>
            <w14:solidFill>
              <w14:schemeClr w14:val="tx1"/>
            </w14:solidFill>
          </w14:textFill>
        </w:rPr>
        <w:t>6</w:t>
      </w:r>
      <w:r>
        <w:rPr>
          <w:rFonts w:hint="eastAsia" w:ascii="宋体" w:hAnsi="宋体" w:eastAsia="宋体" w:cs="宋体"/>
          <w:b/>
          <w:color w:val="000000" w:themeColor="text1"/>
          <w:sz w:val="24"/>
          <w:highlight w:val="none"/>
          <w14:textFill>
            <w14:solidFill>
              <w14:schemeClr w14:val="tx1"/>
            </w14:solidFill>
          </w14:textFill>
        </w:rPr>
        <w:t>.2.1运维服务时间</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w:t>
      </w:r>
      <w:r>
        <w:rPr>
          <w:rFonts w:hint="eastAsia" w:ascii="宋体" w:hAnsi="宋体" w:eastAsia="宋体" w:cs="宋体"/>
          <w:color w:val="000000" w:themeColor="text1"/>
          <w:highlight w:val="none"/>
          <w:lang w:val="en-US" w:eastAsia="zh-CN"/>
          <w14:textFill>
            <w14:solidFill>
              <w14:schemeClr w14:val="tx1"/>
            </w14:solidFill>
          </w14:textFill>
        </w:rPr>
        <w:t>项目</w:t>
      </w:r>
      <w:r>
        <w:rPr>
          <w:rFonts w:hint="eastAsia" w:ascii="宋体" w:hAnsi="宋体" w:eastAsia="宋体" w:cs="宋体"/>
          <w:color w:val="000000" w:themeColor="text1"/>
          <w:highlight w:val="none"/>
          <w14:textFill>
            <w14:solidFill>
              <w14:schemeClr w14:val="tx1"/>
            </w14:solidFill>
          </w14:textFill>
        </w:rPr>
        <w:t>的质量保证期（简称“质保期”）为自验收合格签字之日起</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年，并提供</w:t>
      </w:r>
      <w:r>
        <w:rPr>
          <w:rFonts w:hint="eastAsia" w:ascii="宋体" w:hAnsi="宋体" w:eastAsia="宋体" w:cs="宋体"/>
          <w:color w:val="000000" w:themeColor="text1"/>
          <w:highlight w:val="none"/>
          <w:lang w:val="en-US" w:eastAsia="zh-CN"/>
          <w14:textFill>
            <w14:solidFill>
              <w14:schemeClr w14:val="tx1"/>
            </w14:solidFill>
          </w14:textFill>
        </w:rPr>
        <w:t>原厂3</w:t>
      </w:r>
      <w:r>
        <w:rPr>
          <w:rFonts w:hint="eastAsia" w:ascii="宋体" w:hAnsi="宋体" w:eastAsia="宋体" w:cs="宋体"/>
          <w:color w:val="000000" w:themeColor="text1"/>
          <w:highlight w:val="none"/>
          <w14:textFill>
            <w14:solidFill>
              <w14:schemeClr w14:val="tx1"/>
            </w14:solidFill>
          </w14:textFill>
        </w:rPr>
        <w:t>年的维保</w:t>
      </w:r>
      <w:r>
        <w:rPr>
          <w:rFonts w:hint="eastAsia" w:ascii="宋体" w:hAnsi="宋体" w:eastAsia="宋体" w:cs="宋体"/>
          <w:color w:val="000000" w:themeColor="text1"/>
          <w:highlight w:val="none"/>
          <w:lang w:val="en-US" w:eastAsia="zh-CN"/>
          <w14:textFill>
            <w14:solidFill>
              <w14:schemeClr w14:val="tx1"/>
            </w14:solidFill>
          </w14:textFill>
        </w:rPr>
        <w:t>和运维服务</w:t>
      </w:r>
      <w:r>
        <w:rPr>
          <w:rFonts w:hint="eastAsia" w:ascii="宋体" w:hAnsi="宋体" w:eastAsia="宋体" w:cs="宋体"/>
          <w:color w:val="000000" w:themeColor="text1"/>
          <w:highlight w:val="none"/>
          <w14:textFill>
            <w14:solidFill>
              <w14:schemeClr w14:val="tx1"/>
            </w14:solidFill>
          </w14:textFill>
        </w:rPr>
        <w:t>。质保期内</w:t>
      </w:r>
      <w:r>
        <w:rPr>
          <w:rFonts w:hint="eastAsia" w:ascii="宋体" w:hAnsi="宋体" w:eastAsia="宋体" w:cs="宋体"/>
          <w:color w:val="000000" w:themeColor="text1"/>
          <w:highlight w:val="none"/>
          <w:lang w:val="en-US" w:eastAsia="zh-CN"/>
          <w14:textFill>
            <w14:solidFill>
              <w14:schemeClr w14:val="tx1"/>
            </w14:solidFill>
          </w14:textFill>
        </w:rPr>
        <w:t>成交供应商</w:t>
      </w:r>
      <w:r>
        <w:rPr>
          <w:rFonts w:hint="eastAsia" w:ascii="宋体" w:hAnsi="宋体" w:eastAsia="宋体" w:cs="宋体"/>
          <w:color w:val="000000" w:themeColor="text1"/>
          <w:highlight w:val="none"/>
          <w14:textFill>
            <w14:solidFill>
              <w14:schemeClr w14:val="tx1"/>
            </w14:solidFill>
          </w14:textFill>
        </w:rPr>
        <w:t>对所供货物实行包修、包换、包退及合同约定的其它事项。</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w:t>
      </w:r>
      <w:r>
        <w:rPr>
          <w:rFonts w:hint="eastAsia" w:ascii="宋体" w:hAnsi="宋体" w:eastAsia="宋体" w:cs="宋体"/>
          <w:b/>
          <w:color w:val="000000" w:themeColor="text1"/>
          <w:sz w:val="24"/>
          <w:highlight w:val="none"/>
          <w:lang w:val="en-US" w:eastAsia="zh-CN"/>
          <w14:textFill>
            <w14:solidFill>
              <w14:schemeClr w14:val="tx1"/>
            </w14:solidFill>
          </w14:textFill>
        </w:rPr>
        <w:t>6</w:t>
      </w:r>
      <w:r>
        <w:rPr>
          <w:rFonts w:hint="eastAsia" w:ascii="宋体" w:hAnsi="宋体" w:eastAsia="宋体" w:cs="宋体"/>
          <w:b/>
          <w:color w:val="000000" w:themeColor="text1"/>
          <w:sz w:val="24"/>
          <w:highlight w:val="none"/>
          <w14:textFill>
            <w14:solidFill>
              <w14:schemeClr w14:val="tx1"/>
            </w14:solidFill>
          </w14:textFill>
        </w:rPr>
        <w:t>.2.2运维服务范围</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不超过项目建设已开发的应用软件和提供的硬件设备的范围。维护内容只对原建设项目签订的合同内涉及的软、硬件有效。非合同范围内的设备，</w:t>
      </w:r>
      <w:r>
        <w:rPr>
          <w:rFonts w:hint="eastAsia" w:ascii="宋体" w:hAnsi="宋体" w:eastAsia="宋体" w:cs="宋体"/>
          <w:color w:val="000000" w:themeColor="text1"/>
          <w:highlight w:val="none"/>
          <w:lang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单位完成部分检查和报障工作，但不承担其风险及责任。</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质保期内，如设备或零部件因质量原因出现故障而造成短期停用时，则质保期相应顺延。</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w:t>
      </w:r>
      <w:r>
        <w:rPr>
          <w:rFonts w:hint="eastAsia" w:ascii="宋体" w:hAnsi="宋体" w:eastAsia="宋体" w:cs="宋体"/>
          <w:b/>
          <w:color w:val="000000" w:themeColor="text1"/>
          <w:sz w:val="24"/>
          <w:highlight w:val="none"/>
          <w:lang w:val="en-US" w:eastAsia="zh-CN"/>
          <w14:textFill>
            <w14:solidFill>
              <w14:schemeClr w14:val="tx1"/>
            </w14:solidFill>
          </w14:textFill>
        </w:rPr>
        <w:t>6</w:t>
      </w:r>
      <w:r>
        <w:rPr>
          <w:rFonts w:hint="eastAsia" w:ascii="宋体" w:hAnsi="宋体" w:eastAsia="宋体" w:cs="宋体"/>
          <w:b/>
          <w:color w:val="000000" w:themeColor="text1"/>
          <w:sz w:val="24"/>
          <w:highlight w:val="none"/>
          <w14:textFill>
            <w14:solidFill>
              <w14:schemeClr w14:val="tx1"/>
            </w14:solidFill>
          </w14:textFill>
        </w:rPr>
        <w:t>.2.3运维内容和方式</w:t>
      </w:r>
    </w:p>
    <w:p>
      <w:pPr>
        <w:pStyle w:val="10"/>
        <w:numPr>
          <w:ilvl w:val="0"/>
          <w:numId w:val="16"/>
        </w:numPr>
        <w:ind w:left="442" w:hanging="442"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常规功能运维：提供包括系统维护、功能完善、性能提升、故障检测等服务，保证系统正常运行；</w:t>
      </w:r>
    </w:p>
    <w:p>
      <w:pPr>
        <w:pStyle w:val="10"/>
        <w:numPr>
          <w:ilvl w:val="0"/>
          <w:numId w:val="16"/>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提供远程维护的服务方式；</w:t>
      </w:r>
    </w:p>
    <w:p>
      <w:pPr>
        <w:pStyle w:val="10"/>
        <w:numPr>
          <w:ilvl w:val="0"/>
          <w:numId w:val="16"/>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提供日常技术维护，对系统进行3个月一次的例行巡检、维护工作；</w:t>
      </w:r>
    </w:p>
    <w:p>
      <w:pPr>
        <w:pStyle w:val="10"/>
        <w:numPr>
          <w:ilvl w:val="0"/>
          <w:numId w:val="16"/>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提供适应性维护，包括对在应用过程中发现的故障、缺陷进行修复，以及业主方提出的适应性专项维护，例如部署调整、系统迁移等；</w:t>
      </w:r>
    </w:p>
    <w:p>
      <w:pPr>
        <w:pStyle w:val="10"/>
        <w:numPr>
          <w:ilvl w:val="0"/>
          <w:numId w:val="16"/>
        </w:numPr>
        <w:ind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全天候24小时服务响应，接到业主的维修维护请求后即时响应，对于重大问题，即时组织技术小组2小时内到现场处理故障，并及时做出故障原因报告并提出有效措施加以解决。</w:t>
      </w:r>
    </w:p>
    <w:p>
      <w:pPr>
        <w:outlineLvl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3.</w:t>
      </w:r>
      <w:r>
        <w:rPr>
          <w:rFonts w:hint="eastAsia" w:ascii="宋体" w:hAnsi="宋体" w:eastAsia="宋体" w:cs="宋体"/>
          <w:b/>
          <w:color w:val="000000" w:themeColor="text1"/>
          <w:sz w:val="24"/>
          <w:highlight w:val="none"/>
          <w:lang w:val="en-US" w:eastAsia="zh-CN"/>
          <w14:textFill>
            <w14:solidFill>
              <w14:schemeClr w14:val="tx1"/>
            </w14:solidFill>
          </w14:textFill>
        </w:rPr>
        <w:t>6</w:t>
      </w:r>
      <w:r>
        <w:rPr>
          <w:rFonts w:hint="eastAsia" w:ascii="宋体" w:hAnsi="宋体" w:eastAsia="宋体" w:cs="宋体"/>
          <w:b/>
          <w:color w:val="000000" w:themeColor="text1"/>
          <w:sz w:val="24"/>
          <w:highlight w:val="none"/>
          <w14:textFill>
            <w14:solidFill>
              <w14:schemeClr w14:val="tx1"/>
            </w14:solidFill>
          </w14:textFill>
        </w:rPr>
        <w:t>.2.4响应时间</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质保期内，</w:t>
      </w:r>
      <w:r>
        <w:rPr>
          <w:rFonts w:hint="eastAsia" w:ascii="宋体" w:hAnsi="宋体" w:eastAsia="宋体" w:cs="宋体"/>
          <w:color w:val="000000" w:themeColor="text1"/>
          <w:highlight w:val="none"/>
          <w:lang w:eastAsia="zh-CN"/>
          <w14:textFill>
            <w14:solidFill>
              <w14:schemeClr w14:val="tx1"/>
            </w14:solidFill>
          </w14:textFill>
        </w:rPr>
        <w:t>成交</w:t>
      </w:r>
      <w:r>
        <w:rPr>
          <w:rFonts w:hint="eastAsia" w:ascii="宋体" w:hAnsi="宋体" w:eastAsia="宋体" w:cs="宋体"/>
          <w:color w:val="000000" w:themeColor="text1"/>
          <w:highlight w:val="none"/>
          <w14:textFill>
            <w14:solidFill>
              <w14:schemeClr w14:val="tx1"/>
            </w14:solidFill>
          </w14:textFill>
        </w:rPr>
        <w:t>单位提供7*24小时的服务热线，</w:t>
      </w:r>
      <w:r>
        <w:rPr>
          <w:rFonts w:hint="eastAsia" w:ascii="宋体" w:hAnsi="宋体" w:eastAsia="宋体" w:cs="宋体"/>
          <w:color w:val="000000" w:themeColor="text1"/>
          <w:highlight w:val="none"/>
          <w:lang w:val="en-US" w:eastAsia="zh-CN"/>
          <w14:textFill>
            <w14:solidFill>
              <w14:schemeClr w14:val="tx1"/>
            </w14:solidFill>
          </w14:textFill>
        </w:rPr>
        <w:t>并</w:t>
      </w:r>
      <w:r>
        <w:rPr>
          <w:rFonts w:hint="eastAsia" w:ascii="宋体" w:hAnsi="宋体" w:eastAsia="宋体" w:cs="宋体"/>
          <w:color w:val="000000" w:themeColor="text1"/>
          <w:highlight w:val="none"/>
          <w14:textFill>
            <w14:solidFill>
              <w14:schemeClr w14:val="tx1"/>
            </w14:solidFill>
          </w14:textFill>
        </w:rPr>
        <w:t>对使用人提出的质量问题和维修要求，在接到用户通知后30分钟内作出响应，并于1个小时内到达现场并进行处理，3小时内排除故障，若故障无法排除，承建单位需在</w:t>
      </w:r>
      <w:r>
        <w:rPr>
          <w:rFonts w:hint="eastAsia" w:ascii="宋体" w:hAnsi="宋体" w:eastAsia="宋体" w:cs="宋体"/>
          <w:color w:val="000000" w:themeColor="text1"/>
          <w:highlight w:val="none"/>
          <w:lang w:val="en-US" w:eastAsia="zh-CN"/>
          <w14:textFill>
            <w14:solidFill>
              <w14:schemeClr w14:val="tx1"/>
            </w14:solidFill>
          </w14:textFill>
        </w:rPr>
        <w:t>24</w:t>
      </w:r>
      <w:r>
        <w:rPr>
          <w:rFonts w:hint="eastAsia" w:ascii="宋体" w:hAnsi="宋体" w:eastAsia="宋体" w:cs="宋体"/>
          <w:color w:val="000000" w:themeColor="text1"/>
          <w:highlight w:val="none"/>
          <w14:textFill>
            <w14:solidFill>
              <w14:schemeClr w14:val="tx1"/>
            </w14:solidFill>
          </w14:textFill>
        </w:rPr>
        <w:t>小时内提供备机，保障系统正常运行。</w:t>
      </w:r>
    </w:p>
    <w:p>
      <w:pPr>
        <w:ind w:firstLine="480"/>
        <w:rPr>
          <w:rFonts w:hint="eastAsia" w:ascii="宋体" w:hAnsi="宋体" w:eastAsia="宋体" w:cs="宋体"/>
          <w:color w:val="000000" w:themeColor="text1"/>
          <w:highlight w:val="none"/>
          <w14:textFill>
            <w14:solidFill>
              <w14:schemeClr w14:val="tx1"/>
            </w14:solidFill>
          </w14:textFill>
        </w:rPr>
      </w:pPr>
    </w:p>
    <w:p>
      <w:pPr>
        <w:ind w:firstLine="480"/>
        <w:rPr>
          <w:rFonts w:hint="eastAsia" w:ascii="宋体" w:hAnsi="宋体" w:eastAsia="宋体" w:cs="宋体"/>
          <w:color w:val="000000" w:themeColor="text1"/>
          <w:highlight w:val="none"/>
          <w14:textFill>
            <w14:solidFill>
              <w14:schemeClr w14:val="tx1"/>
            </w14:solidFill>
          </w14:textFill>
        </w:rPr>
      </w:pPr>
    </w:p>
    <w:p>
      <w:pPr>
        <w:outlineLvl w:val="2"/>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b/>
          <w:color w:val="000000" w:themeColor="text1"/>
          <w:sz w:val="28"/>
          <w:highlight w:val="none"/>
          <w14:textFill>
            <w14:solidFill>
              <w14:schemeClr w14:val="tx1"/>
            </w14:solidFill>
          </w14:textFill>
        </w:rPr>
        <w:t>3.</w:t>
      </w:r>
      <w:r>
        <w:rPr>
          <w:rFonts w:hint="eastAsia" w:ascii="宋体" w:hAnsi="宋体" w:eastAsia="宋体" w:cs="宋体"/>
          <w:b/>
          <w:color w:val="000000" w:themeColor="text1"/>
          <w:sz w:val="28"/>
          <w:highlight w:val="none"/>
          <w:lang w:val="en-US" w:eastAsia="zh-CN"/>
          <w14:textFill>
            <w14:solidFill>
              <w14:schemeClr w14:val="tx1"/>
            </w14:solidFill>
          </w14:textFill>
        </w:rPr>
        <w:t>7付款方式</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1期：支付比例</w:t>
      </w:r>
      <w:r>
        <w:rPr>
          <w:rFonts w:hint="eastAsia" w:ascii="宋体" w:hAnsi="宋体" w:eastAsia="宋体" w:cs="宋体"/>
          <w:color w:val="000000" w:themeColor="text1"/>
          <w:highlight w:val="none"/>
          <w:lang w:val="en-US" w:eastAsia="zh-CN"/>
          <w14:textFill>
            <w14:solidFill>
              <w14:schemeClr w14:val="tx1"/>
            </w14:solidFill>
          </w14:textFill>
        </w:rPr>
        <w:t>35</w:t>
      </w:r>
      <w:r>
        <w:rPr>
          <w:rFonts w:hint="eastAsia" w:ascii="宋体" w:hAnsi="宋体" w:eastAsia="宋体" w:cs="宋体"/>
          <w:color w:val="000000" w:themeColor="text1"/>
          <w:highlight w:val="none"/>
          <w14:textFill>
            <w14:solidFill>
              <w14:schemeClr w14:val="tx1"/>
            </w14:solidFill>
          </w14:textFill>
        </w:rPr>
        <w:t>%,合同签订和收到发票后</w:t>
      </w: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个工作日内；</w:t>
      </w:r>
    </w:p>
    <w:p>
      <w:pPr>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2期：支付比例</w:t>
      </w:r>
      <w:r>
        <w:rPr>
          <w:rFonts w:hint="eastAsia" w:ascii="宋体" w:hAnsi="宋体" w:eastAsia="宋体" w:cs="宋体"/>
          <w:color w:val="000000" w:themeColor="text1"/>
          <w:highlight w:val="none"/>
          <w:lang w:val="en-US" w:eastAsia="zh-CN"/>
          <w14:textFill>
            <w14:solidFill>
              <w14:schemeClr w14:val="tx1"/>
            </w14:solidFill>
          </w14:textFill>
        </w:rPr>
        <w:t>65</w:t>
      </w:r>
      <w:r>
        <w:rPr>
          <w:rFonts w:hint="eastAsia" w:ascii="宋体" w:hAnsi="宋体" w:eastAsia="宋体" w:cs="宋体"/>
          <w:color w:val="000000" w:themeColor="text1"/>
          <w:highlight w:val="none"/>
          <w14:textFill>
            <w14:solidFill>
              <w14:schemeClr w14:val="tx1"/>
            </w14:solidFill>
          </w14:textFill>
        </w:rPr>
        <w:t>%,（一）验收合格后15天内，采购人向</w:t>
      </w:r>
      <w:r>
        <w:rPr>
          <w:rFonts w:hint="eastAsia" w:ascii="宋体" w:hAnsi="宋体" w:eastAsia="宋体" w:cs="宋体"/>
          <w:color w:val="000000" w:themeColor="text1"/>
          <w:highlight w:val="none"/>
          <w:lang w:val="en-US" w:eastAsia="zh-CN"/>
          <w14:textFill>
            <w14:solidFill>
              <w14:schemeClr w14:val="tx1"/>
            </w14:solidFill>
          </w14:textFill>
        </w:rPr>
        <w:t>成交供应商</w:t>
      </w:r>
      <w:r>
        <w:rPr>
          <w:rFonts w:hint="eastAsia" w:ascii="宋体" w:hAnsi="宋体" w:eastAsia="宋体" w:cs="宋体"/>
          <w:color w:val="000000" w:themeColor="text1"/>
          <w:highlight w:val="none"/>
          <w14:textFill>
            <w14:solidFill>
              <w14:schemeClr w14:val="tx1"/>
            </w14:solidFill>
          </w14:textFill>
        </w:rPr>
        <w:t>付清全部合同款项。 （二）</w:t>
      </w:r>
      <w:r>
        <w:rPr>
          <w:rFonts w:hint="eastAsia"/>
          <w:color w:val="000000" w:themeColor="text1"/>
          <w:highlight w:val="none"/>
          <w:lang w:val="en-US"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需同时向采购人提供以下单据：（1）合同；（2）</w:t>
      </w:r>
      <w:r>
        <w:rPr>
          <w:rFonts w:hint="eastAsia" w:ascii="宋体" w:hAnsi="宋体" w:eastAsia="宋体" w:cs="宋体"/>
          <w:color w:val="000000" w:themeColor="text1"/>
          <w:highlight w:val="none"/>
          <w:lang w:val="en-US" w:eastAsia="zh-CN"/>
          <w14:textFill>
            <w14:solidFill>
              <w14:schemeClr w14:val="tx1"/>
            </w14:solidFill>
          </w14:textFill>
        </w:rPr>
        <w:t>成交供应商</w:t>
      </w:r>
      <w:r>
        <w:rPr>
          <w:rFonts w:hint="eastAsia" w:ascii="宋体" w:hAnsi="宋体" w:eastAsia="宋体" w:cs="宋体"/>
          <w:color w:val="000000" w:themeColor="text1"/>
          <w:highlight w:val="none"/>
          <w14:textFill>
            <w14:solidFill>
              <w14:schemeClr w14:val="tx1"/>
            </w14:solidFill>
          </w14:textFill>
        </w:rPr>
        <w:t>开具相应金额的正式发票；（3）验收合格报告(加盖采购人或采购人指定设备接收单位公章)；（4）中标通知书。</w:t>
      </w:r>
    </w:p>
    <w:p>
      <w:pPr>
        <w:ind w:firstLine="480"/>
        <w:rPr>
          <w:rFonts w:hint="eastAsia" w:ascii="宋体" w:hAnsi="宋体" w:eastAsia="宋体" w:cs="宋体"/>
          <w:color w:val="000000" w:themeColor="text1"/>
          <w:highlight w:val="none"/>
          <w14:textFill>
            <w14:solidFill>
              <w14:schemeClr w14:val="tx1"/>
            </w14:solidFill>
          </w14:textFill>
        </w:rPr>
      </w:pPr>
    </w:p>
    <w:p>
      <w:pPr>
        <w:outlineLvl w:val="9"/>
        <w:rPr>
          <w:rFonts w:hint="eastAsia" w:ascii="宋体" w:hAnsi="宋体" w:eastAsia="宋体" w:cs="宋体"/>
          <w:b/>
          <w:color w:val="000000" w:themeColor="text1"/>
          <w:sz w:val="32"/>
          <w:highlight w:val="none"/>
          <w14:textFill>
            <w14:solidFill>
              <w14:schemeClr w14:val="tx1"/>
            </w14:solidFill>
          </w14:textFill>
        </w:rPr>
      </w:pPr>
      <w:r>
        <w:rPr>
          <w:rFonts w:hint="eastAsia" w:ascii="宋体" w:hAnsi="宋体" w:eastAsia="宋体" w:cs="宋体"/>
          <w:b/>
          <w:color w:val="000000" w:themeColor="text1"/>
          <w:sz w:val="32"/>
          <w:highlight w:val="none"/>
          <w14:textFill>
            <w14:solidFill>
              <w14:schemeClr w14:val="tx1"/>
            </w14:solidFill>
          </w14:textFill>
        </w:rPr>
        <w:br w:type="page"/>
      </w:r>
    </w:p>
    <w:p>
      <w:pPr>
        <w:outlineLvl w:val="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32"/>
          <w:highlight w:val="none"/>
          <w14:textFill>
            <w14:solidFill>
              <w14:schemeClr w14:val="tx1"/>
            </w14:solidFill>
          </w14:textFill>
        </w:rPr>
        <w:t>四、主要软硬件配置清单</w:t>
      </w:r>
    </w:p>
    <w:tbl>
      <w:tblPr>
        <w:tblStyle w:val="5"/>
        <w:tblW w:w="9000" w:type="dxa"/>
        <w:tblInd w:w="-282" w:type="dxa"/>
        <w:tblLayout w:type="fixed"/>
        <w:tblCellMar>
          <w:top w:w="0" w:type="dxa"/>
          <w:left w:w="108" w:type="dxa"/>
          <w:bottom w:w="0" w:type="dxa"/>
          <w:right w:w="108" w:type="dxa"/>
        </w:tblCellMar>
      </w:tblPr>
      <w:tblGrid>
        <w:gridCol w:w="479"/>
        <w:gridCol w:w="841"/>
        <w:gridCol w:w="6855"/>
        <w:gridCol w:w="450"/>
        <w:gridCol w:w="375"/>
      </w:tblGrid>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序号</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产品名称</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产品规格</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数量</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单位</w:t>
            </w:r>
          </w:p>
        </w:tc>
      </w:tr>
      <w:tr>
        <w:tblPrEx>
          <w:tblCellMar>
            <w:top w:w="0" w:type="dxa"/>
            <w:left w:w="108" w:type="dxa"/>
            <w:bottom w:w="0" w:type="dxa"/>
            <w:right w:w="108" w:type="dxa"/>
          </w:tblCellMar>
        </w:tblPrEx>
        <w:trPr>
          <w:trHeight w:val="439"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1.显示系统</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1.1 屏体部分</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LED</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显示</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屏</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top"/>
          </w:tcPr>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★显示系统中的LED显示屏像素间距：≤1.538mm；显示屏净尺寸≥6.4m*3.36m，面积≥21.504㎡；屏体分辨率≥4096*2160，需提供技术证明资料（检测报告扫描件或产品官方彩页或产品说明书扫描件）。</w:t>
            </w:r>
            <w:r>
              <w:rPr>
                <w:rFonts w:hint="eastAsia" w:ascii="宋体" w:hAnsi="宋体" w:eastAsia="宋体" w:cs="宋体"/>
                <w:snapToGrid w:val="0"/>
                <w:color w:val="000000" w:themeColor="text1"/>
                <w:sz w:val="20"/>
                <w:szCs w:val="20"/>
                <w:highlight w:val="none"/>
                <w:lang w:bidi="ar"/>
                <w14:textFill>
                  <w14:solidFill>
                    <w14:schemeClr w14:val="tx1"/>
                  </w14:solidFill>
                </w14:textFill>
              </w:rPr>
              <w:tab/>
            </w:r>
          </w:p>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像素结构</w:t>
            </w:r>
            <w:r>
              <w:rPr>
                <w:rFonts w:hint="eastAsia" w:ascii="宋体" w:hAnsi="宋体" w:eastAsia="宋体" w:cs="宋体"/>
                <w:snapToGrid w:val="0"/>
                <w:color w:val="000000" w:themeColor="text1"/>
                <w:sz w:val="20"/>
                <w:szCs w:val="20"/>
                <w:highlight w:val="none"/>
                <w:lang w:bidi="ar"/>
                <w14:textFill>
                  <w14:solidFill>
                    <w14:schemeClr w14:val="tx1"/>
                  </w14:solidFill>
                </w14:textFill>
              </w:rPr>
              <w:tab/>
            </w:r>
            <w:r>
              <w:rPr>
                <w:rFonts w:hint="eastAsia" w:ascii="宋体" w:hAnsi="宋体" w:eastAsia="宋体" w:cs="宋体"/>
                <w:snapToGrid w:val="0"/>
                <w:color w:val="000000" w:themeColor="text1"/>
                <w:sz w:val="20"/>
                <w:szCs w:val="20"/>
                <w:highlight w:val="none"/>
                <w:lang w:bidi="ar"/>
                <w14:textFill>
                  <w14:solidFill>
                    <w14:schemeClr w14:val="tx1"/>
                  </w14:solidFill>
                </w14:textFill>
              </w:rPr>
              <w:t>SMD1212三合一LED</w:t>
            </w:r>
          </w:p>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模组分辨率（W×H）208×104=21632</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模组尺寸（mm）320×160×14.7</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模组重量（kg）0.42</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模组输入电压（V）4.5±0.1</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模组最大电流（A）≤4.5</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模组最大功耗（W）≤20.25</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白平衡亮度（nits）</w:t>
            </w:r>
            <w:r>
              <w:rPr>
                <w:rFonts w:hint="eastAsia" w:ascii="宋体" w:hAnsi="宋体" w:eastAsia="宋体" w:cs="宋体"/>
                <w:snapToGrid w:val="0"/>
                <w:color w:val="000000" w:themeColor="text1"/>
                <w:sz w:val="20"/>
                <w:szCs w:val="20"/>
                <w:highlight w:val="none"/>
                <w:lang w:bidi="ar"/>
                <w14:textFill>
                  <w14:solidFill>
                    <w14:schemeClr w14:val="tx1"/>
                  </w14:solidFill>
                </w14:textFill>
              </w:rPr>
              <w:tab/>
            </w: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500。</w:t>
            </w:r>
          </w:p>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水平视角≥140°,垂直视角≥120°</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 </w:t>
            </w:r>
          </w:p>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供电要求</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200-240V～50/60Hz</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换帧频率（Hz）</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50&amp;60</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8.</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驱动方式</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恒流驱动，52扫</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9.</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刷新率（Hz）</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3840Hz</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10.</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颜色处理位数14bit</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★显示系统中的LED显示屏显示单元所采用的LED灯珠内部必须采用金线或铜线连接，需提供技术证明资料（检测报告扫描件或产品官方彩页或产品说明书扫描件）。</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▲亮度衰减：（中央亮度=100cd/m2白场），水平视角80°时亮度衰减率≤10%，垂直视角60°时亮度衰减率≤10（</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提供第三方检测机构出具具备CMA或CNAS标志的检测报告扫描件</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▲亮度均匀性≥99%，色度均匀性≤±0.001Cx，Cy（</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提供第三方检测机构出具具备CMA标志的检测报告扫描件</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灰度等级：16bit，支持不同亮度下8-16bit任意设置；</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最高对比度：≥10000：1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16.</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▲色温：800K-11000K可调，色温为6500K时，100%。75%，50%，25%四档电平白场调节色温误差≤200K（</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提供第三方检测机构出具具备CMA标志的检测报告扫描件</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17.</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峰值功耗≤505W/㎡，平均功耗≤200W/㎡</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18.</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▲电压性能：电源端子及电信端口传导共模（非对称）骚扰电压符合GB/T 9254.1-2021 CLASS A限值要求（</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提供第三方检测机构出具具备CMA或CNAS标志的检测报告扫描件</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19.</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▲辐射骚扰：30MHz-1000MHz符合GB/T 9254.1-2021 CLASS A限值要求（</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提供第三方检测机构出具具备CMA标志的检测报告扫描件</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20.</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抗盐雾：LED屏在35℃/5%浓度环境下，连续48H表面无锈蚀</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▲高低温测试：工作温度：-20℃-60℃，存储温度：-25℃-65℃；工作湿度10%-85%无凝露，存储湿度10%-85%无凝露（</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提供第三方检测机构出具具备CMA标志的检测报告扫描件</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衰减率：工作3年衰减率≤3%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▲屏体采用完全静音设计，屏体无风扇自然散热</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▲正常工作状态下，支持消除毛毛虫.鬼影功能；支持消除摩尔纹功能；支持消除开路十字架功能；支持暗线隐亮消除功能（</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提供第三方检测机构出具具备CMA标志的检测报告扫描件</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支持单点检测逐点校正功能，单点亮度校正，单点颜色校正</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单点色温可调</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26.</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保护功能：屏体具有防静电</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抗震动</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防电磁干扰</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抗雷击等功能，具有电源过压</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过流</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断电保护</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分布上电措施</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p>
          <w:p>
            <w:pPr>
              <w:numPr>
                <w:ilvl w:val="-1"/>
                <w:numId w:val="0"/>
              </w:numPr>
              <w:ind w:left="0" w:firstLine="0"/>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27.</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▲使用寿命：平均失效间隔时间≥100000</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小时</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numPr>
                <w:ilvl w:val="-1"/>
                <w:numId w:val="0"/>
              </w:numPr>
              <w:ind w:left="0" w:firstLine="0"/>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28.连续工作时间：7*24小时无间断工作。</w:t>
            </w:r>
          </w:p>
          <w:p>
            <w:pPr>
              <w:numPr>
                <w:ilvl w:val="-1"/>
                <w:numId w:val="0"/>
              </w:numPr>
              <w:ind w:left="0" w:firstLine="0"/>
              <w:rPr>
                <w:rFonts w:hint="eastAsia" w:ascii="宋体" w:hAnsi="宋体" w:eastAsia="宋体" w:cs="宋体"/>
                <w:color w:val="000000" w:themeColor="text1"/>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29.</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平均无故障工作时间：≥100000小时</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21.504 </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平方米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发送盒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1.支持HDMI 和DVI视频信号输入及HDMI信号LOOP输出，标准60Hz，并可以自动适应帧率</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2.输入分辨率：≥1920*1200点，支持分辨率任意设置</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3.单卡带载面积：≥230万像素，最宽可达≥4096点，或最高可达≥2560点；</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4.具有≥4个千兆网口输出，支持上下、左右及混合型任意拼接</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5.双USB2.0高速通讯接口，用于电脑调试和卡间级联</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6.支持多发送器任意拼接级联，严格同步</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9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显示屏控制设备嵌入式软件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1.▲B/S架构，用户无需安装客户端程序，直接WEB访问，避免操作电脑瘫痪后无法控制大屏幕</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提供承诺函，格式自拟。</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2.▲可实现与图像控制器相接的RGB和Video矩阵的联动控制，自动完成相应的矩阵与图像控制系统输入端口的切换</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提供承诺函，格式自拟。</w:t>
            </w:r>
          </w:p>
          <w:p>
            <w:pPr>
              <w:textAlignment w:val="auto"/>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3.支持画面整屏.全屏.跨屏.缩放.漫游等功能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4.▲报警功能：具备报警联动功能，能对视频丢失.遮挡.移动侦测等异常现象做出警报，弹出报警窗口</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提供承诺函，格式自拟。</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5.云台控制：具备网络视频信号预览功能，可对球机的变倍.变焦等进行操作</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6.具备单窗口多路信号源的轮巡功能，可以自定义间隔时间以实现信号的轮巡</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7.具备画面分割功能，能轻松实现单屏4画面.16画面分割</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8.▲具备自定义开窗功能，常用1.4.9.16开窗模式，布局灵活多样，支持画面整屏.全屏.跨屏.缩放.漫游等功能</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提供承诺函，格式自拟</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1.2 控制设备以及配套设备</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台式电脑</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相当于或优于</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第十</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二</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代英特尔酷睿i</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，台式电脑整机（</w:t>
            </w:r>
            <w:r>
              <w:rPr>
                <w:rFonts w:hint="eastAsia" w:ascii="宋体" w:hAnsi="宋体" w:eastAsia="宋体" w:cs="宋体"/>
                <w:color w:val="000000" w:themeColor="text1"/>
                <w:highlight w:val="none"/>
                <w:lang w:val="en-US" w:eastAsia="zh-CN"/>
                <w14:textFill>
                  <w14:solidFill>
                    <w14:schemeClr w14:val="tx1"/>
                  </w14:solidFill>
                </w14:textFill>
              </w:rPr>
              <w:t>相当于或优于</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I7-12700 </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内存≥16</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G </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硬盘≥</w:t>
            </w:r>
            <w:r>
              <w:rPr>
                <w:rFonts w:hint="eastAsia" w:ascii="宋体" w:hAnsi="宋体" w:eastAsia="宋体" w:cs="宋体"/>
                <w:snapToGrid w:val="0"/>
                <w:color w:val="000000" w:themeColor="text1"/>
                <w:sz w:val="20"/>
                <w:szCs w:val="20"/>
                <w:highlight w:val="none"/>
                <w:lang w:bidi="ar"/>
                <w14:textFill>
                  <w14:solidFill>
                    <w14:schemeClr w14:val="tx1"/>
                  </w14:solidFill>
                </w14:textFill>
              </w:rPr>
              <w:t>1T Win1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 ）</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显示器尺寸≥</w:t>
            </w: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英寸 </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视频处理器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tbl>
            <w:tblPr>
              <w:tblStyle w:val="5"/>
              <w:tblpPr w:leftFromText="180" w:rightFromText="180" w:vertAnchor="text" w:horzAnchor="page" w:tblpX="1793" w:tblpY="-6708"/>
              <w:tblOverlap w:val="never"/>
              <w:tblW w:w="68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6861" w:type="dxa"/>
                  <w:tcBorders>
                    <w:top w:val="nil"/>
                    <w:left w:val="nil"/>
                    <w:bottom w:val="single" w:color="000000" w:sz="4"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1.主箱≥14U,支持输入24槽，输出9槽</w:t>
                  </w:r>
                  <w:r>
                    <w:rPr>
                      <w:rFonts w:hint="eastAsia" w:ascii="宋体" w:hAnsi="宋体" w:eastAsia="宋体" w:cs="宋体"/>
                      <w:color w:val="000000" w:themeColor="text1"/>
                      <w:highlight w:val="none"/>
                      <w:lang w:val="en-US" w:eastAsia="zh-CN"/>
                      <w14:textFill>
                        <w14:solidFill>
                          <w14:schemeClr w14:val="tx1"/>
                        </w14:solidFill>
                      </w14:textFill>
                    </w:rPr>
                    <w:t>。</w:t>
                  </w:r>
                </w:p>
                <w:p>
                  <w:pPr>
                    <w:keepNext w:val="0"/>
                    <w:keepLines w:val="0"/>
                    <w:widowControl/>
                    <w:suppressLineNumbers w:val="0"/>
                    <w:jc w:val="both"/>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2.▲输入输出板卡可热插拔，输入板卡热插拔恢复时间＜2s，输出板卡热插拔恢复时间＜8s。（提供第三方检测机构出具具备CMA或CNAS标志的检测报告扫描件）</w:t>
                  </w:r>
                </w:p>
                <w:p>
                  <w:pPr>
                    <w:keepNext w:val="0"/>
                    <w:keepLines w:val="0"/>
                    <w:widowControl/>
                    <w:suppressLineNumbers w:val="0"/>
                    <w:jc w:val="both"/>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3.▲平均故障时间间隔（MTBF）不小于96000小时，保证设备能够稳定运行。（需提供MTBF评估报告）；全硬件架构，系统采用嵌入式处理方式，不受操作系统影响，信号与桌面分别独立处理；最大单机背板信号处理带宽不小于720Gbps。（提供第三方检测机构出具具备CMA或CNAS标志的检测报告扫描件）</w:t>
                  </w:r>
                </w:p>
                <w:p>
                  <w:pPr>
                    <w:keepNext w:val="0"/>
                    <w:keepLines w:val="0"/>
                    <w:widowControl/>
                    <w:suppressLineNumbers w:val="0"/>
                    <w:shd w:val="clear" w:fill="FFFFFF" w:themeFill="background1"/>
                    <w:jc w:val="both"/>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4.对各个输入通道采用纯硬件处理技术，采用独享带宽方式为每个输入通道分配带宽，切换过程中对其他信号无影响，实现了对输入通道的实时处理功能。（提供第三方检测机构出具具备CMA或CNAS标志的检测报告扫描件）</w:t>
                  </w:r>
                </w:p>
                <w:p>
                  <w:pPr>
                    <w:keepNext w:val="0"/>
                    <w:keepLines w:val="0"/>
                    <w:widowControl/>
                    <w:suppressLineNumbers w:val="0"/>
                    <w:shd w:val="clear" w:fill="FFFFFF" w:themeFill="background1"/>
                    <w:jc w:val="both"/>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 xml:space="preserve">5.▲支持DVI、HDBaseT、HDMI、SDI、光纤、CVBS、Ypbpr等常2K信号输出，Dual-link DVI、HDMI 1.4等4K信号输出。支持MPO接口光纤信号输出，信号最大支持1920x1200@60Hz，最大传输距离300米。（提供第三方检测机构出具具备CMA或CNAS标志的检测报告扫描件） </w:t>
                  </w:r>
                </w:p>
                <w:p>
                  <w:pPr>
                    <w:keepNext w:val="0"/>
                    <w:keepLines w:val="0"/>
                    <w:widowControl/>
                    <w:numPr>
                      <w:ilvl w:val="-1"/>
                      <w:numId w:val="0"/>
                    </w:numPr>
                    <w:suppressLineNumbers w:val="0"/>
                    <w:shd w:val="clear" w:fill="FFFFFF" w:themeFill="background1"/>
                    <w:ind w:left="0" w:firstLine="0"/>
                    <w:jc w:val="both"/>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6.▲支持DVI、HDBaseT、HDMI、SDI、光纤、CVBS、Ypbpr等常见的2K信号输出，Dual-link DVI、HDMI 1.4等4K信号输入。</w:t>
                  </w:r>
                </w:p>
                <w:p>
                  <w:pPr>
                    <w:keepNext w:val="0"/>
                    <w:keepLines w:val="0"/>
                    <w:widowControl/>
                    <w:numPr>
                      <w:ilvl w:val="-1"/>
                      <w:numId w:val="0"/>
                    </w:numPr>
                    <w:suppressLineNumbers w:val="0"/>
                    <w:shd w:val="clear" w:fill="FFFFFF" w:themeFill="background1"/>
                    <w:ind w:left="0" w:firstLine="0"/>
                    <w:jc w:val="both"/>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7.图像开窗响应速度＜15ms，场景调取响应速度＜20ms。（提供第三方检测机构出具具备CMA或CNAS标志的检测报告扫描件）</w:t>
                  </w:r>
                </w:p>
                <w:p>
                  <w:pPr>
                    <w:keepNext w:val="0"/>
                    <w:keepLines w:val="0"/>
                    <w:widowControl/>
                    <w:suppressLineNumbers w:val="0"/>
                    <w:jc w:val="both"/>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8.设备在不增加外部信号源的情况下，可以对输出通道进行测试，可以输出7种测试颜色及网格图像来检验输出通道是否可以正常输出信号。支持大屏图像回显，可显示整面拼接墙的显示图像。（提供第三方检测机构出具具备CMA或CNAS标志的检测报告扫描件）</w:t>
                  </w:r>
                </w:p>
                <w:p>
                  <w:pPr>
                    <w:keepNext w:val="0"/>
                    <w:keepLines w:val="0"/>
                    <w:widowControl/>
                    <w:suppressLineNumbers w:val="0"/>
                    <w:jc w:val="both"/>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9.支持图像截取功能，可以实现图像重点区域的放大显示或者裁掉信号源的黑边。支持故障检测功能，支持输入信号丢失检测，使用灰色标示。输出显示帧率不受开窗大小及输入路数的限制</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（提供第三方检测机构出具具备CMA或CNAS标志的检测报告扫描件）</w:t>
                  </w:r>
                </w:p>
                <w:p>
                  <w:pPr>
                    <w:keepNext w:val="0"/>
                    <w:keepLines w:val="0"/>
                    <w:widowControl/>
                    <w:suppressLineNumbers w:val="0"/>
                    <w:jc w:val="both"/>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10.▲支持RRTA分辨率实时全兼容技术，单台设备应支持同时控制4组不同分辨率的大屏幕显示。设备具备静态底图功能，设备支持超大分辨率底图显示，横纵分辨率最大65535像素。（提供第三方检测机构出具具备CMA或CNAS标志的检测报告扫描件）</w:t>
                  </w:r>
                </w:p>
                <w:p>
                  <w:pPr>
                    <w:keepNext w:val="0"/>
                    <w:keepLines w:val="0"/>
                    <w:widowControl/>
                    <w:suppressLineNumbers w:val="0"/>
                    <w:jc w:val="both"/>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11.▲前面板可显示设备IP地址，设备型号等基础信息内容。支持设置拼接屏的拼缝补偿，可精确到1个像素。支持整面多行拼接屏的画面同步功能，针对快速变化的画面不会出现撕裂、错位的现象。支持视频网络运维管理协议，实时监测设备运行状态。对设备异常情况进行报警。（提供第三方检测机构出具具备CMA或CNAS标志的检测报告扫描件）</w:t>
                  </w:r>
                </w:p>
                <w:p>
                  <w:pPr>
                    <w:keepNext w:val="0"/>
                    <w:keepLines w:val="0"/>
                    <w:widowControl/>
                    <w:suppressLineNumbers w:val="0"/>
                    <w:jc w:val="both"/>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12.前面板可显示设备IP地址，设备型号等基础信息内容。支持设置拼接屏的拼缝补偿，可精确到1个像素。支持视频网络运维管理协议，实时监测设备运行状态。对设备异常情况进行报警。（提供第三方检测机构出具具备CMA或CNAS标志的检测报告扫描件）</w:t>
                  </w:r>
                </w:p>
                <w:p>
                  <w:pPr>
                    <w:keepNext w:val="0"/>
                    <w:keepLines w:val="0"/>
                    <w:widowControl/>
                    <w:suppressLineNumbers w:val="0"/>
                    <w:jc w:val="both"/>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13.▲支持输入信号热备份：当输入信号丢失时，可自动切换至指定备份信号。设备具备静态底图功能，设备支持超大分辨率底图显示，横纵分辨率最大65535像素。（提供第三方检测机构出具具备CMA或CNAS标志的检测报告扫描件）</w:t>
                  </w:r>
                </w:p>
                <w:p>
                  <w:pPr>
                    <w:keepNext w:val="0"/>
                    <w:keepLines w:val="0"/>
                    <w:widowControl/>
                    <w:suppressLineNumbers w:val="0"/>
                    <w:jc w:val="both"/>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14.图像信号无压缩、无失真实时传输，保证图像质量无损耗。支持整面多行拼接屏的画面同步功能，针对快速变化的画面不会出现撕裂、错位的现象。（提供第三方检测机构出具具备CMA或CNAS标志的检测报告扫描件）</w:t>
                  </w:r>
                </w:p>
                <w:p>
                  <w:pPr>
                    <w:keepNext w:val="0"/>
                    <w:keepLines w:val="0"/>
                    <w:widowControl/>
                    <w:suppressLineNumbers w:val="0"/>
                    <w:jc w:val="both"/>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15.信号显示帧率不受开窗大小及输入路数的限制，保证信号显示的流畅性。具备7x24 小时长时间连续开机工作的能力。（提供第三方检测机构出具具备CMA或CNAS标志的检测报告扫描件）</w:t>
                  </w:r>
                </w:p>
                <w:p>
                  <w:pPr>
                    <w:keepNext w:val="0"/>
                    <w:keepLines w:val="0"/>
                    <w:widowControl/>
                    <w:suppressLineNumbers w:val="0"/>
                    <w:jc w:val="both"/>
                    <w:textAlignment w:val="center"/>
                    <w:rPr>
                      <w:rFonts w:hint="eastAsia" w:ascii="宋体" w:hAnsi="宋体" w:eastAsia="宋体" w:cs="宋体"/>
                      <w:i w:val="0"/>
                      <w:iCs w:val="0"/>
                      <w:color w:val="000000" w:themeColor="text1"/>
                      <w:sz w:val="20"/>
                      <w:szCs w:val="20"/>
                      <w:highlight w:val="none"/>
                      <w:u w:val="none"/>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16.▲软件支持Windows操作系统和麒麟操作系统。（</w:t>
                  </w:r>
                  <w:r>
                    <w:rPr>
                      <w:rFonts w:hint="eastAsia" w:ascii="宋体" w:hAnsi="宋体" w:eastAsia="宋体" w:cs="宋体"/>
                      <w:color w:val="000000" w:themeColor="text1"/>
                      <w:kern w:val="0"/>
                      <w:sz w:val="20"/>
                      <w:szCs w:val="20"/>
                      <w:highlight w:val="none"/>
                      <w:u w:val="none"/>
                      <w:lang w:bidi="ar"/>
                      <w14:textFill>
                        <w14:solidFill>
                          <w14:schemeClr w14:val="tx1"/>
                        </w14:solidFill>
                      </w14:textFill>
                    </w:rPr>
                    <w:t>提供承诺函，格式自拟</w:t>
                  </w: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w:t>
                  </w:r>
                </w:p>
              </w:tc>
            </w:tr>
          </w:tbl>
          <w:p>
            <w:pPr>
              <w:textAlignment w:val="center"/>
              <w:rPr>
                <w:rFonts w:hint="eastAsia" w:ascii="宋体" w:hAnsi="宋体" w:eastAsia="宋体" w:cs="宋体"/>
                <w:color w:val="000000" w:themeColor="text1"/>
                <w:sz w:val="20"/>
                <w:szCs w:val="20"/>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拼接矩阵主机内嵌软件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1.拼接矩阵主机内嵌软件可实现对拼接显示系统的模式管理、窗口显示、场景调用、屏幕远程控制等功能。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2.具有输入信号通道预监功能，可预监视视频信号内容。</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3.支持大屏幕回显功能，当前屏幕画面实时回显监视。</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4.支持调用场景、场景轮巡等定时任务设置，根据设置时间自动执行任务，无需人工操作。</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拼矩Windows客户端管理软件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1.拼接矩阵Windows端软件是用于可视化调度的客户端软件，搭配拼接矩阵系统使用。</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2.支持对系统进行可视化管理、信号切换、画面叠加、画中画、画面拼接、画面漫游、画面放大/缩小、画面移动/关闭等操作，支持对显示控制区域实时监控；支持多用户多平台同步操作。</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3.支持三种开窗模式，包括固化模式、自由模式、两点模式。</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4.支持大屏显示场景保存、预览、调用、编辑、顺序调整等，当前调用场景提示，场景自定义时间间隔自动切换显示。</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5.支持台标设置，支持图像画面叠加文字台标显示；支持底图设置，支持大屏底图显示，支持高清图片上传显示；支持字幕显示，支持自定义字幕内容，可根据用户需求设置静态或动态显示。</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6.支持一键锁定大屏窗口，防止误触，同时不影响信号源及其他模块操作</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支持锁屏功能，锁定后需账户密码进入操作界面，保证数据安全；支持一键清空大屏信号。</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7.内置客户端操作指引视频教程。</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8.支持窗口信号音频开关和音频映射功能，支持一键开关所有窗口音源。</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回显卡</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1.最大支持64路输出图像回显功能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2.接口：≥4*HDMI</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3.指示灯：≥4*LED指示灯。</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音视频回显卡内嵌软件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1.软件内嵌于拼接矩阵板卡设备，实现信号的处理功能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2.支持大屏幕回显功能，当前屏幕画面实时回显监视。</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输入卡</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1.接口类型：SDI</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2.接口数量：≥4</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3.输入信号：SDI</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4.最高分辨率：优于或等于1920×1080@60Hz</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音视频输入卡内嵌软件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1.插卡式输入卡搭配集中式主机使用，实现图像输入功能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2.支持台标功能，文字背景、位置可调</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3.支持在线完成固件升级，固件版本智能向前兼容。</w:t>
            </w:r>
          </w:p>
          <w:p>
            <w:pPr>
              <w:pStyle w:val="2"/>
              <w:rPr>
                <w:rFonts w:hint="default" w:eastAsia="宋体" w:asciiTheme="majorHAnsi" w:hAnsiTheme="majorHAnsi" w:cstheme="majorBidi"/>
                <w:color w:val="000000" w:themeColor="text1"/>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4.与接口类型为SDI的输入卡相匹配</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输出卡</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1.接口类型：SDI</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2.接口数量：≥4</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3.输出信号：SDI</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4.最高分辨率：优于或等于1920×1080@60Hz</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音视频输出卡内嵌软件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1.插卡式输出卡搭配集中式主机使用，实现图像输出功能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2.支持高清底图功能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3.支持在线完成固件升级，固件版本智能向前兼容。</w:t>
            </w:r>
          </w:p>
          <w:p>
            <w:pPr>
              <w:pStyle w:val="2"/>
              <w:rPr>
                <w:rFonts w:hint="eastAsia" w:asciiTheme="majorHAnsi" w:hAnsiTheme="majorHAnsi" w:eastAsiaTheme="majorEastAsia" w:cstheme="majorBidi"/>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4.与接口类型为SDI的输出卡相匹配</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输入卡</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1.接口类型：HDMI1.4</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2.接口数量：≥4</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3.输入信号：HDMI</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4.最高分辨率：优于或等于4096*2160@30Hz</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音视频输入卡内嵌软件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1.插卡式输入卡搭配集中式主机使用，实现图像输入功能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2.支持台标功能，文字背景、位置可调</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3.支持在线完成固件升级，固件版本智能向前兼容。</w:t>
            </w:r>
          </w:p>
          <w:p>
            <w:pPr>
              <w:pStyle w:val="2"/>
              <w:rPr>
                <w:rFonts w:hint="default" w:eastAsia="宋体" w:asciiTheme="majorHAnsi" w:hAnsiTheme="majorHAnsi" w:cstheme="majorBidi"/>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4.与接口类型为</w:t>
            </w:r>
            <w:r>
              <w:rPr>
                <w:rFonts w:hint="eastAsia" w:ascii="宋体" w:hAnsi="宋体" w:eastAsia="宋体" w:cs="宋体"/>
                <w:snapToGrid w:val="0"/>
                <w:color w:val="000000" w:themeColor="text1"/>
                <w:sz w:val="20"/>
                <w:szCs w:val="20"/>
                <w:highlight w:val="none"/>
                <w:lang w:bidi="ar"/>
                <w14:textFill>
                  <w14:solidFill>
                    <w14:schemeClr w14:val="tx1"/>
                  </w14:solidFill>
                </w14:textFill>
              </w:rPr>
              <w:t>HDMI1.4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的输入卡相匹配</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输出卡</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1.接口类型：HDMI1.4</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2.接口数量：≥4</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3.输出信号：HDMI</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4.最高分辨率：优于或等于4096*2160@30Hz</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音视频输出卡内嵌软件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1.插卡式输出卡搭配集中式主机使用，实现图像输出功能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2.支持高清底图功能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3.支持在线完成固件升级，固件版本智能向前兼容。</w:t>
            </w:r>
          </w:p>
          <w:p>
            <w:pPr>
              <w:pStyle w:val="2"/>
              <w:rPr>
                <w:rFonts w:hint="eastAsia" w:asciiTheme="majorHAnsi" w:hAnsiTheme="majorHAnsi" w:eastAsiaTheme="majorEastAsia" w:cstheme="majorBidi"/>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4.与接口类型为</w:t>
            </w:r>
            <w:r>
              <w:rPr>
                <w:rFonts w:hint="eastAsia" w:ascii="宋体" w:hAnsi="宋体" w:eastAsia="宋体" w:cs="宋体"/>
                <w:snapToGrid w:val="0"/>
                <w:color w:val="000000" w:themeColor="text1"/>
                <w:sz w:val="20"/>
                <w:szCs w:val="20"/>
                <w:highlight w:val="none"/>
                <w:lang w:bidi="ar"/>
                <w14:textFill>
                  <w14:solidFill>
                    <w14:schemeClr w14:val="tx1"/>
                  </w14:solidFill>
                </w14:textFill>
              </w:rPr>
              <w:t>HDMI1.4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的输出卡相匹配</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输出卡</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1.接口类型：DVI-D</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2.接口数量：≥4</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3.输出信号：DVI</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4.最高分辨率：优于或等于1920*1200@60Hz</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音视频输出卡内嵌软件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1.插卡式输出卡搭配集中式主机使用，实现图像输出功能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2.支持高清底图功能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3.支持在线完成固件升级，固件版本智能向前兼容。</w:t>
            </w:r>
          </w:p>
          <w:p>
            <w:pPr>
              <w:pStyle w:val="2"/>
              <w:rPr>
                <w:rFonts w:hint="eastAsia" w:asciiTheme="majorHAnsi" w:hAnsiTheme="majorHAnsi" w:eastAsiaTheme="majorEastAsia" w:cstheme="majorBidi"/>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4.与接口类型为</w:t>
            </w:r>
            <w:r>
              <w:rPr>
                <w:rFonts w:hint="eastAsia" w:ascii="宋体" w:hAnsi="宋体" w:eastAsia="宋体" w:cs="宋体"/>
                <w:snapToGrid w:val="0"/>
                <w:color w:val="000000" w:themeColor="text1"/>
                <w:sz w:val="20"/>
                <w:szCs w:val="20"/>
                <w:highlight w:val="none"/>
                <w:lang w:bidi="ar"/>
                <w14:textFill>
                  <w14:solidFill>
                    <w14:schemeClr w14:val="tx1"/>
                  </w14:solidFill>
                </w14:textFill>
              </w:rPr>
              <w:t>DVI-D</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的输出卡相匹配</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17</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配电柜</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1.额定功率：20KW，输出路数：≥6路</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2.输入电压：三相五线制AC380V±10％，频率50Hz±5％，具有高温断电、浪涌、短路、过流、过载等保护功能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3.内置避雷器，具有避雷防雷功能。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4.配电柜含多功能卡控制，具有远程控制功能、RS232串口或千兆网口通信。</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5.通过LED显示屏智慧控制系统软件搭配多功能卡实现电源监视、温度监控、亮度调节（需搭配光探头）等操作。</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1.4 返看电视</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返看</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显示屏</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1.55英寸</w:t>
            </w:r>
            <w:r>
              <w:rPr>
                <w:rFonts w:hint="eastAsia" w:ascii="宋体" w:hAnsi="宋体" w:eastAsia="宋体" w:cs="宋体"/>
                <w:color w:val="000000" w:themeColor="text1"/>
                <w:szCs w:val="21"/>
                <w:highlight w:val="none"/>
                <w:lang w:val="en-US" w:eastAsia="zh-CN"/>
                <w14:textFill>
                  <w14:solidFill>
                    <w14:schemeClr w14:val="tx1"/>
                  </w14:solidFill>
                </w14:textFill>
              </w:rPr>
              <w:t>相当于或优于</w:t>
            </w:r>
            <w:r>
              <w:rPr>
                <w:rFonts w:hint="eastAsia" w:ascii="宋体" w:hAnsi="宋体" w:eastAsia="宋体" w:cs="宋体"/>
                <w:snapToGrid w:val="0"/>
                <w:color w:val="000000" w:themeColor="text1"/>
                <w:sz w:val="20"/>
                <w:szCs w:val="20"/>
                <w:highlight w:val="none"/>
                <w:lang w:bidi="ar"/>
                <w14:textFill>
                  <w14:solidFill>
                    <w14:schemeClr w14:val="tx1"/>
                  </w14:solidFill>
                </w14:textFill>
              </w:rPr>
              <w:t>4K超高清全面屏</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2.屏幕刷新率120hz</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3.配备蓝牙5.0</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4.10.7亿色彩显示</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5.内存容量：2+32GB</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支架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标配卧式支架</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、会议录播（主要用于会场录制和直播）</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录播主机</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 8路视频输入，其中6路3G-SDI输入，2路组合混合视频HDMI+VGA+YPBPR输入，最高支持4K@30Hz分辨率；2路HDMI输出，1路VGA输出，最高支持4K@30Hz分辨率</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▲支持8路MIC输入，带48V幻象供电；支持3路立体声输入；支持2路平衡输出，1路立体声输出，1路3.5mm监听输出</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 8路RS232/RS485/RS422串行控制接口；支持2路红外IR输出，1路红外学习窗口，2路I/O接口；支持 4 路 USB 接口，其中2路USB3.0用于接入鼠标键盘或 U盘文件导入导出</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▲设备具备1路RJ45 100/1000M自适应网络接口</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系统采用嵌入式 Linux 系统，设备内置可视化集控操作界面，操作界面可以切换到任意一路输出中去，同步提供 B/S、C/S、本地 GUI 导控等可视化集控界面</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主机支持音视频文件的录制、直播、点播、存储、导播管理、无缝切换等功能；支持对录制文件的 U 盘拷贝、下载、FTP 上传；最大支持10路录制，支持在设备端录制及回放，支持远程点播、直播，支持单个视频文件查看、下载、与删除等功能。支持一键公网直播应用</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 10路音视频编码、3 路音视频解码，视频编码分辨率可调节，支持1080P/1280X1024/720P/576P/480P/CIF/QCIF/4CIF 等；视频支持 H.265/H.264编码算法，视频编码帧率 5~60 可调，视频编码码率32K~16M 可调；音频编码支持 AAC/G.711，音频采样支持 8KHz–48KHz 可配置,音频码率支持 48Kbps–320Kbps 可配置</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内置 4 点 MCU，设备之间可独立实现 4 方互动组会，支持SIP、H.323协议实现四方视频会议；通过 SIP 直接拨号实现互动，支持群呼和一键挂断；</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串行控制接口，支持接收外部设备的控制指令，能对外发送指令，例如控制摄像机等设备，设备支持TCP/UDP 的第三方控制；具备云台控制模块可预览云台摄像机画面并实现云台控制</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前面板 1.5 寸液晶显示屏，可以预览视频</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 2 路画面合成能力（本地合成+远端合成），提供23种合成模式选择，支持画中化、画外画多种组合。支持12种切换特效，包括覆盖、淡进淡出等主流特效</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支持历史录制文件在GUI界面及WEB界面查看，也支持将录制文件通过视频输出接口输出</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▲存储容量标配2T硬盘，支持扩展扩容到6T，支持网络存储及 FTP 数据存储</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支持添加字幕、马赛克、片头片尾、LOGO等；可设置无视频输入时底图</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可设置定时开启或结束录制，也可每周、每日或自定义定时录制</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16</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可设置多个用户名及密码，支持多用户同时登录</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17</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支持RTSP/ RTMP/ONVIF/H.323/SIP/TS/RTP/HTTP协议</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18</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具备视频矩阵功能，支持将任意一路输入，输出给任意一个视频输出接口</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19</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支持视频文件修复功能。录制过程中，由断电导致损坏的视频文件可进行修复。</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20.支持一键复位功能，避免出现文件损坏、ip地址丢失以及管理员密码丢失的情况导致系统不能使用。</w:t>
            </w:r>
          </w:p>
          <w:p>
            <w:pPr>
              <w:textAlignment w:val="center"/>
              <w:rPr>
                <w:rFonts w:hint="eastAsia" w:ascii="宋体" w:hAnsi="宋体" w:eastAsia="宋体" w:cs="宋体"/>
                <w:snapToGrid w:val="0"/>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21.支持保密级音视频加密录制，具备用户密码加密和U盾加密两种加密方式。支持对未加密的录制视频进行加密操作。具备RecPlayer专用解密播放器，对加密视频进行解密播放。</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自动录制控制内嵌软件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1.软件内嵌录播主机，运行在Linux操作系统环境，支持B/S管理。</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2.软件支持添加录制片头、添加字幕、添加logo以及预约录制等功能。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3.软件支持对课堂或培训课堂录制的控制和管理，具有录制资源模式、录制电影模式、录制暂停、选择录制格式等功能。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4.软件支持多画面模式等，支持自定义布局。</w:t>
            </w:r>
          </w:p>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5.软件支持通过导播台、导播键盘、导播软件等方式进行控制和管理录播主机。</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摄像机</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前置</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▲采用高品质传感器，像素</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85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0</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万，输出帧率60帧/秒</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▲视频输出格式：HDMI输出支持3840*2160P60/50/25/59.94/29.94、 1080P60/50/30/25/59.94/29.97、1080I60/50/59.94、720P60/50/59.94；SDI输出支持1080P60/50/30/25/59.94/29.97、1080I60/50/59.94、720P60/50/59.94；USB输出支持3840*2160/1920*1080/1280*720/1024*768/1024*576/800*600/720*576/720*480/704*576/640*480 /640*360 /352*288/320*240P30多种分辨率</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视频输出接口支持HDMI、3G-SDI、USB、LAN接口。</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支持音频3.5mm线性输入，并将音频同步编码至网络流传输，音频输入支持8000、16000、32000、44100、48000采样频率，支持AAC、G.711A音频编码。</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▲具有12倍光学变焦镜头，镜头视角为7.59°-80.4°，同时支持10倍数字变倍</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控制接口包括RS232-IN、RS232-OUT、RS422（兼容RS422），RS232支持级联控制。</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控制协议支持VISCA/Pelco-D/Pelco-P，波特率支持115200/9600/4800/2400，支持自动识别协议。</w:t>
            </w:r>
          </w:p>
          <w:p>
            <w:pPr>
              <w:textAlignment w:val="center"/>
              <w:rPr>
                <w:rFonts w:hint="eastAsia" w:ascii="宋体" w:hAnsi="宋体" w:eastAsia="宋体" w:cs="宋体"/>
                <w:snapToGrid w:val="0"/>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摄像机云台的转动范围是云台水平转动±110°，俯仰转动±30°水平控制速度0.1 -100°/秒，俯仰控制速度水平0.1 -70°/秒。</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高清视频会议专用摄像头内嵌软件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1.软件内嵌于高清视频会议专用摄像头，实现高清视频拍摄采集处理功能。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2.支持对高清视频信号的处理、传输；支持H.264视频编解码技术能力。</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3.支持光学变焦处理能力，支持通过串口实现远程控制。</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4.支持2D、3D降噪技术。</w:t>
            </w:r>
          </w:p>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5.支持预置位设定及调用功能。</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摄像机</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后置</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▲采用高品质传感器，像素</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85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0</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万，输出帧率60帧/秒。</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视频输出格式：HDMI输出支持3840*2160P60/50/25/59.94/29.94、 1080P60/50/30/25/59.94/29.97、1080I60/50/59.94、720P60/50/59.94；SDI输出支持1080P60/50/30/25/59.94/29.97、1080I60/50/59.94、720P60/50/59.94；USB输出支持3840*2160/1920*1080/1280*720/1024*768/1024*576/800*600/720*576/720*480/704*576/640*480 /640*360 /352*288/320*240P30多种分辨率。</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视频输出接口支持HDMI、3G-SDI、USB、LAN接口。</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支持音频3.5mm线性输入，并将音频同步编码至网络流传输，音频输入支持8000、16000、32000、44100、48000采样频率，支持AAC、G.711A音频编码。</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▲具有25倍光学变焦镜头，镜头视角为2.5°-59.2°，同时支持10倍数字变倍。</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控制接口包括RS232-IN、RS232-OUT、RS422（兼容RS422），RS232支持级联控制。</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控制协议支持VISCA/Pelco-D/Pelco-P，波特率支持115200/9600/4800/2400，支持自动识别协议。</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▲摄像机云台的转动范围是云台水平转动±110°，俯仰转动±30°水平控制速度0.1 -100°/秒，俯仰控制速度水平0.1 -70°/秒。</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p>
          <w:p>
            <w:pPr>
              <w:textAlignment w:val="auto"/>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为保证摄像机视频的清晰度，设备支持2D﹠3D数字降噪，信噪比不低于50dB</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auto"/>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设备网口接口使用10M/100M/1000M自适应以太网口，支持POE供电，支持音视频输出</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auto"/>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USB通讯协议视频支持UVC，音频支持UAC</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auto"/>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支持255个可设置预置位，遥控器可设置调用不少于10个预置位。</w:t>
            </w:r>
          </w:p>
          <w:p>
            <w:pPr>
              <w:textAlignment w:val="auto"/>
              <w:rPr>
                <w:rFonts w:hint="eastAsia" w:ascii="宋体" w:hAnsi="宋体" w:eastAsia="宋体" w:cs="宋体"/>
                <w:snapToGrid w:val="0"/>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采用先进的 ISP 处理技术和算法，提供自动白平衡（AWB）、自动曝光（AE)、自动聚焦（AF)功能，完全自动适应环境，实现最佳的图像效果，达到完美三位一体图像自动调节。</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LED摄影柔光灯</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色温范围5500-6500K</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灯珠数量126颗</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其他光照性能</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 xml:space="preserve"> </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亮度：＞2200Lux（0.5米）</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调光方式：无极调光</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色片：可换色片</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电源性能：功率</w:t>
            </w:r>
            <w:r>
              <w:rPr>
                <w:rFonts w:hint="eastAsia" w:ascii="宋体" w:hAnsi="宋体" w:eastAsia="宋体" w:cs="宋体"/>
                <w:snapToGrid w:val="0"/>
                <w:color w:val="000000" w:themeColor="text1"/>
                <w:sz w:val="20"/>
                <w:szCs w:val="20"/>
                <w:highlight w:val="none"/>
                <w:lang w:bidi="ar"/>
                <w14:textFill>
                  <w14:solidFill>
                    <w14:schemeClr w14:val="tx1"/>
                  </w14:solidFill>
                </w14:textFill>
              </w:rPr>
              <w:tab/>
            </w:r>
            <w:r>
              <w:rPr>
                <w:rFonts w:hint="eastAsia" w:ascii="宋体" w:hAnsi="宋体" w:eastAsia="宋体" w:cs="宋体"/>
                <w:snapToGrid w:val="0"/>
                <w:color w:val="000000" w:themeColor="text1"/>
                <w:sz w:val="20"/>
                <w:szCs w:val="20"/>
                <w:highlight w:val="none"/>
                <w:lang w:bidi="ar"/>
                <w14:textFill>
                  <w14:solidFill>
                    <w14:schemeClr w14:val="tx1"/>
                  </w14:solidFill>
                </w14:textFill>
              </w:rPr>
              <w:t>7.5W</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供电方式6×AA电池，DC6-9V电源，锂电池</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kern w:val="2"/>
                <w:sz w:val="20"/>
                <w:szCs w:val="20"/>
                <w:highlight w:val="none"/>
                <w:lang w:val="en-US" w:eastAsia="zh-CN" w:bidi="ar"/>
                <w14:textFill>
                  <w14:solidFill>
                    <w14:schemeClr w14:val="tx1"/>
                  </w14:solidFill>
                </w14:textFill>
              </w:rPr>
              <w:t>8.含移动脚架</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高清视频会议专用摄像头内嵌软件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1.软件内嵌于高清视频会议专用摄像头，实现高清视频拍摄采集处理功能。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2.支持对高清视频信号的处理、传输；支持H.264视频编解码技术能力。</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3.支持光学变焦处理能力，支持通过串口实现远程控制。</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4.支持2D、3D降噪技术。</w:t>
            </w:r>
          </w:p>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5.支持预置位设定及调用功能。</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8</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bookmarkStart w:id="4" w:name="OLE_LINK1"/>
            <w:r>
              <w:rPr>
                <w:rFonts w:hint="eastAsia" w:ascii="宋体" w:hAnsi="宋体" w:eastAsia="宋体" w:cs="宋体"/>
                <w:snapToGrid w:val="0"/>
                <w:color w:val="000000" w:themeColor="text1"/>
                <w:sz w:val="20"/>
                <w:szCs w:val="20"/>
                <w:highlight w:val="none"/>
                <w:lang w:bidi="ar"/>
                <w14:textFill>
                  <w14:solidFill>
                    <w14:schemeClr w14:val="tx1"/>
                  </w14:solidFill>
                </w14:textFill>
              </w:rPr>
              <w:t>视频监控器</w:t>
            </w:r>
            <w:bookmarkEnd w:id="4"/>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1"/>
                <w:numId w:val="0"/>
              </w:num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标准H.264视频压缩格式，支持多码流选择，录像分辨率达到720P（1280*960）以上。</w:t>
            </w:r>
          </w:p>
          <w:p>
            <w:pPr>
              <w:numPr>
                <w:ilvl w:val="-1"/>
                <w:numId w:val="0"/>
              </w:num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采用G723.1/6.3kbps压缩算法，支持双向音频，清晰度可以达到720TVL的广播级图像画质。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9</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bookmarkStart w:id="5" w:name="OLE_LINK2"/>
            <w:r>
              <w:rPr>
                <w:rFonts w:hint="eastAsia" w:ascii="宋体" w:hAnsi="宋体" w:eastAsia="宋体" w:cs="宋体"/>
                <w:snapToGrid w:val="0"/>
                <w:color w:val="000000" w:themeColor="text1"/>
                <w:sz w:val="20"/>
                <w:szCs w:val="20"/>
                <w:highlight w:val="none"/>
                <w:lang w:bidi="ar"/>
                <w14:textFill>
                  <w14:solidFill>
                    <w14:schemeClr w14:val="tx1"/>
                  </w14:solidFill>
                </w14:textFill>
              </w:rPr>
              <w:t>蓝光DVD播放机</w:t>
            </w:r>
            <w:bookmarkEnd w:id="5"/>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D/A 转换器</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24 位，192 千赫</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频率响应</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(20kHz) ±0.5dB（最高/最低，2 声道，DVD）赫兹</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声音系统</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DTS-HD Master Audio</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杜比 True HD</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杜比数字 Plus</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DTS</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杜比数字音效</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动态范围（1 千赫）</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92分贝</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信噪比</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105 分贝</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 xml:space="preserve">台 </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10</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bookmarkStart w:id="6" w:name="OLE_LINK3"/>
            <w:r>
              <w:rPr>
                <w:rFonts w:hint="eastAsia" w:ascii="宋体" w:hAnsi="宋体" w:eastAsia="宋体" w:cs="宋体"/>
                <w:snapToGrid w:val="0"/>
                <w:color w:val="000000" w:themeColor="text1"/>
                <w:sz w:val="20"/>
                <w:szCs w:val="20"/>
                <w:highlight w:val="none"/>
                <w:lang w:bidi="ar"/>
                <w14:textFill>
                  <w14:solidFill>
                    <w14:schemeClr w14:val="tx1"/>
                  </w14:solidFill>
                </w14:textFill>
              </w:rPr>
              <w:t>4k媒体播放机</w:t>
            </w:r>
            <w:bookmarkEnd w:id="6"/>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处理器</w:t>
            </w:r>
            <w:r>
              <w:rPr>
                <w:rFonts w:hint="eastAsia" w:ascii="宋体" w:hAnsi="宋体" w:eastAsia="宋体" w:cs="宋体"/>
                <w:snapToGrid w:val="0"/>
                <w:color w:val="000000" w:themeColor="text1"/>
                <w:sz w:val="20"/>
                <w:szCs w:val="20"/>
                <w:highlight w:val="none"/>
                <w:lang w:bidi="ar"/>
                <w14:textFill>
                  <w14:solidFill>
                    <w14:schemeClr w14:val="tx1"/>
                  </w14:solidFill>
                </w14:textFill>
              </w:rPr>
              <w:tab/>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相当于或优于</w:t>
            </w:r>
            <w:r>
              <w:rPr>
                <w:rFonts w:hint="eastAsia" w:ascii="宋体" w:hAnsi="宋体" w:eastAsia="宋体" w:cs="宋体"/>
                <w:snapToGrid w:val="0"/>
                <w:color w:val="000000" w:themeColor="text1"/>
                <w:sz w:val="20"/>
                <w:szCs w:val="20"/>
                <w:highlight w:val="none"/>
                <w:lang w:bidi="ar"/>
                <w14:textFill>
                  <w14:solidFill>
                    <w14:schemeClr w14:val="tx1"/>
                  </w14:solidFill>
                </w14:textFill>
              </w:rPr>
              <w:t>ARM Cortex-A9四核芯片</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内存</w:t>
            </w:r>
            <w:r>
              <w:rPr>
                <w:rFonts w:hint="eastAsia" w:ascii="宋体" w:hAnsi="宋体" w:eastAsia="宋体" w:cs="宋体"/>
                <w:snapToGrid w:val="0"/>
                <w:color w:val="000000" w:themeColor="text1"/>
                <w:sz w:val="20"/>
                <w:szCs w:val="20"/>
                <w:highlight w:val="none"/>
                <w:lang w:bidi="ar"/>
                <w14:textFill>
                  <w14:solidFill>
                    <w14:schemeClr w14:val="tx1"/>
                  </w14:solidFill>
                </w14:textFill>
              </w:rPr>
              <w:tab/>
            </w:r>
            <w:r>
              <w:rPr>
                <w:rFonts w:hint="eastAsia" w:ascii="宋体" w:hAnsi="宋体" w:eastAsia="宋体" w:cs="宋体"/>
                <w:snapToGrid w:val="0"/>
                <w:color w:val="000000" w:themeColor="text1"/>
                <w:sz w:val="20"/>
                <w:szCs w:val="20"/>
                <w:highlight w:val="none"/>
                <w:lang w:bidi="ar"/>
                <w14:textFill>
                  <w14:solidFill>
                    <w14:schemeClr w14:val="tx1"/>
                  </w14:solidFill>
                </w14:textFill>
              </w:rPr>
              <w:t>≥1GB DDR3</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闪存</w:t>
            </w:r>
            <w:r>
              <w:rPr>
                <w:rFonts w:hint="eastAsia" w:ascii="宋体" w:hAnsi="宋体" w:eastAsia="宋体" w:cs="宋体"/>
                <w:snapToGrid w:val="0"/>
                <w:color w:val="000000" w:themeColor="text1"/>
                <w:sz w:val="20"/>
                <w:szCs w:val="20"/>
                <w:highlight w:val="none"/>
                <w:lang w:bidi="ar"/>
                <w14:textFill>
                  <w14:solidFill>
                    <w14:schemeClr w14:val="tx1"/>
                  </w14:solidFill>
                </w14:textFill>
              </w:rPr>
              <w:tab/>
            </w:r>
            <w:r>
              <w:rPr>
                <w:rFonts w:hint="eastAsia" w:ascii="宋体" w:hAnsi="宋体" w:eastAsia="宋体" w:cs="宋体"/>
                <w:snapToGrid w:val="0"/>
                <w:color w:val="000000" w:themeColor="text1"/>
                <w:sz w:val="20"/>
                <w:szCs w:val="20"/>
                <w:highlight w:val="none"/>
                <w:lang w:bidi="ar"/>
                <w14:textFill>
                  <w14:solidFill>
                    <w14:schemeClr w14:val="tx1"/>
                  </w14:solidFill>
                </w14:textFill>
              </w:rPr>
              <w:t>≥8GB Flash</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存储介质</w:t>
            </w:r>
            <w:r>
              <w:rPr>
                <w:rFonts w:hint="eastAsia" w:ascii="宋体" w:hAnsi="宋体" w:eastAsia="宋体" w:cs="宋体"/>
                <w:snapToGrid w:val="0"/>
                <w:color w:val="000000" w:themeColor="text1"/>
                <w:sz w:val="20"/>
                <w:szCs w:val="20"/>
                <w:highlight w:val="none"/>
                <w:lang w:bidi="ar"/>
                <w14:textFill>
                  <w14:solidFill>
                    <w14:schemeClr w14:val="tx1"/>
                  </w14:solidFill>
                </w14:textFill>
              </w:rPr>
              <w:tab/>
            </w:r>
            <w:r>
              <w:rPr>
                <w:rFonts w:hint="eastAsia" w:ascii="宋体" w:hAnsi="宋体" w:eastAsia="宋体" w:cs="宋体"/>
                <w:snapToGrid w:val="0"/>
                <w:color w:val="000000" w:themeColor="text1"/>
                <w:sz w:val="20"/>
                <w:szCs w:val="20"/>
                <w:highlight w:val="none"/>
                <w:lang w:bidi="ar"/>
                <w14:textFill>
                  <w14:solidFill>
                    <w14:schemeClr w14:val="tx1"/>
                  </w14:solidFill>
                </w14:textFill>
              </w:rPr>
              <w:t>可外接USB存储设备</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操作系统</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相当于</w:t>
            </w:r>
            <w:r>
              <w:rPr>
                <w:rFonts w:hint="eastAsia" w:ascii="宋体" w:hAnsi="宋体" w:eastAsia="宋体" w:cs="宋体"/>
                <w:snapToGrid w:val="0"/>
                <w:color w:val="000000" w:themeColor="text1"/>
                <w:sz w:val="20"/>
                <w:szCs w:val="20"/>
                <w:highlight w:val="none"/>
                <w:lang w:bidi="ar"/>
                <w14:textFill>
                  <w14:solidFill>
                    <w14:schemeClr w14:val="tx1"/>
                  </w14:solidFill>
                </w14:textFill>
              </w:rPr>
              <w:t>Android</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含30万音乐曲库，含3年免费更新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、视频会议系统</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视频会议主机</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1.采用硬件分体式结构，支持标准机架式安装。</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2.支持主流视频编解码协议，如H.264、SVC等。</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3.支持主流音频编解码协议，如opus、G.722.1、AMR-WB等。</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4.▲视频输入接口支持不少于4个高清接口，接口类型包括SDI、HDMI等接口，视频输出接口支持不少于3个高清接口，接口类型包括HDMI等，满足多样化视频设备的兼容对接。（提供实物接口照片证明材料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5.音频输入接口支持不少于2路，接口类型包括RCA双莲花、6.35mm，音频输出接口支持不少于2路，接口类型包括RCA、6.35mm，满足多样化音频设备的兼容对接。</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6.▲具备不少于4个USB接口，可用于连接会议全向麦克风、采集卡、U盘、键盘鼠标等外设。（提供实物背板接口照片证明材料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7.▲支持调节视频分辨率，最高支持1080P高清视频画面，并可以向下兼容并向下兼容 720P、480P等分辨率。支持视频美颜、虚拟背景等图像处理功能。（提供产品功能界面证明材料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8.▲支持1、2、4、6、9、10、12、13、14、16、画中画等多种布局方式，支持最高显示4K分辨率。（提供产品功能界面证明材料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9.支持采集音量自动调节、回音消除、音频降噪等功能。</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10.采用唇音同频技术，使每个用户的音频、视频在播放时能保持同步；</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11.▲支持同时共享5个以上的文档和电子白板，可随意切换不同文档，支持参会方实时进行多方批注审阅。（提供产品功能界面证明材料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12.▲支持通过政务外网、互联网同步参会，支持系统自动选择或用户手动选择网络链路。（提供产品功能界面证明材料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13.支持在会中布局设置自动同步和手动同步，两种画面布局控制模式。</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14.▲支持会中进行实时文字讨论功能，参会人可进行文字群聊讨论和文字私聊讨论，并且可设置文字讨论消息提醒；管理员可对会议讨论群聊和私聊权限进行开启关闭权限控制。（提供产品功能界面证明材料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15.支持会议管控功能，如广播音视频、全场静音、关闭会议室等；</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16.支持会中统计性能信息，包括系统资源占用信息，音视频的码率、分辨率、帧率、延时、抖动、丢包率等网络信息。</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17.支持语音激励功能，打开音视频时，在会中同时进行发言，声音大的一方，视频会占据第一个窗口位置。</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18.支持会场字幕，相当于横幅功能，具有屏幕公告栏显示效果，可自定义公告内容、字体大小颜色，设置静止或滚动循环显示。</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19.▲支持会议录制功能，可以录制会议纯音频或视频，录制生成的音视频文件支持以标准的格式保存本地。（提供产品功能界面证明材料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20.支持参会人自定义排序，可以选择对参会方排名顺序进行调整，方便快速查找。</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21.支持终端加入会议自动记录入会时长，方便统计参会时间。</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22.▲支持终端使用广东省统一认证账户登录，可以同步看到参会列表信息。（提供产品功能界面证明材料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23.支持最低带宽128K，可保证视频流畅。支持最低带宽512K，1080P视频通话流畅。</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24.支持传输加密技术保障会议安全。</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25.支持过期会议邀请码/会议号码立即失效，不能再登录会议室。</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26.▲支持会议室锁定功能，管理员可进行会议室的锁定，防止其他与会议无关人员加入会议，可设置锁定后的入会申请通知提示，可显示入会申请人列表。（提供产品功能界面证明材料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27.▲支持界面水印功能，保护会议数据隐私安全。（提供产品功能界面证明材料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28.▲支持用户使用“粤政易”创建会议，通过终端设备与Android、iOS、Windows实现硬件终端、PC电脑、移动手机等客户端加入同一个会议。（提供产品界面证明材料</w:t>
            </w:r>
            <w:r>
              <w:rPr>
                <w:rFonts w:hint="eastAsia" w:ascii="宋体" w:hAnsi="宋体" w:eastAsia="宋体" w:cs="宋体"/>
                <w:color w:val="000000" w:themeColor="text1"/>
                <w:sz w:val="20"/>
                <w:szCs w:val="20"/>
                <w:highlight w:val="none"/>
                <w:lang w:val="en-US" w:eastAsia="zh-CN"/>
                <w14:textFill>
                  <w14:solidFill>
                    <w14:schemeClr w14:val="tx1"/>
                  </w14:solidFill>
                </w14:textFill>
              </w:rPr>
              <w:t>或</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提供承诺函，格式自拟</w:t>
            </w:r>
            <w:r>
              <w:rPr>
                <w:rFonts w:hint="eastAsia" w:ascii="宋体" w:hAnsi="宋体" w:eastAsia="宋体" w:cs="宋体"/>
                <w:color w:val="000000" w:themeColor="text1"/>
                <w:sz w:val="20"/>
                <w:szCs w:val="20"/>
                <w:highlight w:val="none"/>
                <w14:textFill>
                  <w14:solidFill>
                    <w14:schemeClr w14:val="tx1"/>
                  </w14:solidFill>
                </w14:textFill>
              </w:rPr>
              <w:t>）</w:t>
            </w:r>
          </w:p>
          <w:p>
            <w:pPr>
              <w:pStyle w:val="2"/>
              <w:rPr>
                <w:rFonts w:hint="eastAsia" w:eastAsia="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14:textFill>
                  <w14:solidFill>
                    <w14:schemeClr w14:val="tx1"/>
                  </w14:solidFill>
                </w14:textFill>
              </w:rPr>
              <w:t>29.包含1台</w:t>
            </w:r>
            <w:r>
              <w:rPr>
                <w:rFonts w:hint="eastAsia" w:ascii="宋体" w:hAnsi="宋体" w:eastAsia="宋体" w:cs="宋体"/>
                <w:color w:val="000000" w:themeColor="text1"/>
                <w:kern w:val="2"/>
                <w:sz w:val="20"/>
                <w:szCs w:val="20"/>
                <w:highlight w:val="none"/>
                <w14:textFill>
                  <w14:solidFill>
                    <w14:schemeClr w14:val="tx1"/>
                  </w14:solidFill>
                </w14:textFill>
              </w:rPr>
              <w:t>视频会议终端</w:t>
            </w:r>
            <w:r>
              <w:rPr>
                <w:rFonts w:hint="eastAsia" w:ascii="宋体" w:hAnsi="宋体" w:eastAsia="宋体" w:cs="宋体"/>
                <w:color w:val="000000" w:themeColor="text1"/>
                <w:kern w:val="2"/>
                <w:sz w:val="20"/>
                <w:szCs w:val="20"/>
                <w:highlight w:val="none"/>
                <w:lang w:eastAsia="zh-CN"/>
                <w14:textFill>
                  <w14:solidFill>
                    <w14:schemeClr w14:val="tx1"/>
                  </w14:solidFill>
                </w14:textFill>
              </w:rPr>
              <w:t>，</w:t>
            </w:r>
            <w:r>
              <w:rPr>
                <w:rFonts w:hint="eastAsia" w:ascii="宋体" w:hAnsi="宋体" w:eastAsia="宋体" w:cs="宋体"/>
                <w:color w:val="000000" w:themeColor="text1"/>
                <w:kern w:val="2"/>
                <w:sz w:val="20"/>
                <w:szCs w:val="20"/>
                <w:highlight w:val="none"/>
                <w14:textFill>
                  <w14:solidFill>
                    <w14:schemeClr w14:val="tx1"/>
                  </w14:solidFill>
                </w14:textFill>
              </w:rPr>
              <w:t>支持包括但不限于H.264、H264HP、H264SVC、H.265视频标准协议</w:t>
            </w:r>
            <w:r>
              <w:rPr>
                <w:rFonts w:hint="eastAsia" w:ascii="宋体" w:hAnsi="宋体" w:eastAsia="宋体" w:cs="宋体"/>
                <w:color w:val="000000" w:themeColor="text1"/>
                <w:kern w:val="2"/>
                <w:sz w:val="20"/>
                <w:szCs w:val="20"/>
                <w:highlight w:val="none"/>
                <w:lang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录像机</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1"/>
                <w:numId w:val="0"/>
              </w:num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r>
              <w:rPr>
                <w:rFonts w:hint="eastAsia" w:ascii="宋体" w:hAnsi="宋体" w:eastAsia="宋体" w:cs="宋体"/>
                <w:color w:val="000000" w:themeColor="text1"/>
                <w:sz w:val="20"/>
                <w:szCs w:val="20"/>
                <w:highlight w:val="none"/>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专业4K画质视频摄像。</w:t>
            </w:r>
          </w:p>
          <w:p>
            <w:pPr>
              <w:numPr>
                <w:ilvl w:val="-1"/>
                <w:numId w:val="0"/>
              </w:num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2.图像传感器尺寸大于等于1英吋。</w:t>
            </w:r>
          </w:p>
          <w:p>
            <w:pPr>
              <w:numPr>
                <w:ilvl w:val="-1"/>
                <w:numId w:val="0"/>
              </w:num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3.大于等于20倍光学变焦。</w:t>
            </w:r>
          </w:p>
          <w:p>
            <w:pPr>
              <w:numPr>
                <w:ilvl w:val="-1"/>
                <w:numId w:val="0"/>
              </w:num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4.最大广角镜头35mm等效焦距小于25mm。</w:t>
            </w:r>
          </w:p>
          <w:p>
            <w:pPr>
              <w:numPr>
                <w:ilvl w:val="-1"/>
                <w:numId w:val="0"/>
              </w:num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5.5轴机身防抖功能。</w:t>
            </w:r>
          </w:p>
          <w:p>
            <w:pPr>
              <w:numPr>
                <w:ilvl w:val="-1"/>
                <w:numId w:val="0"/>
              </w:num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6.WIFI连接。</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高清视频会议MCU嵌入软件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1.多点控制单元（MCU）嵌入式软件，内嵌于设备，实现设备各项基本功能的运行。</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2.支持通过Web方式实现设备管理、用户管理、会议管理，支持Telnet、ssh等远程维护方式，根据用户特性、区域特性进行分区管理。</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3.支持混速、混视频格式、混协议会议。</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4.支持多画面，常见多种多画面布局，支持自动分屏。</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5.支持多级网络视频管理，也支持扁平化的网络管理。</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6.支持视频通信协议H.323，支持H.264HP等视频编解码技术、G7.11.G.722等音频编解码技术。</w:t>
            </w:r>
          </w:p>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7.支持“主流+辅流”双流方式</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高清视频会议终端嵌入软件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1.远程视频会议终端嵌入式软件，内嵌于设备，实现设备各项基本功能的运行。</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2.支持国际电联ITU-H.323标准通信协议，兼容SIP协议。</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3.支持H.264HP等视频编解码技术、G7.11、G.722等音频编解码技术。</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4.支持“主流+辅流”双流方式传输视频会议画面。</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5.支持高清1080P/60帧视频处理能力。</w:t>
            </w:r>
          </w:p>
          <w:p>
            <w:pP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6.支持WEB管理，符合不同用户的使用习惯。</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.舞台灯光系统</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.1 灯具</w:t>
            </w:r>
          </w:p>
        </w:tc>
      </w:tr>
      <w:tr>
        <w:tblPrEx>
          <w:tblCellMar>
            <w:top w:w="0" w:type="dxa"/>
            <w:left w:w="108" w:type="dxa"/>
            <w:bottom w:w="0" w:type="dxa"/>
            <w:right w:w="108" w:type="dxa"/>
          </w:tblCellMar>
        </w:tblPrEx>
        <w:trPr>
          <w:trHeight w:val="1887"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LED摇头染色帕灯</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输入电压/频率：AC100-240V，50/60Hz</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电源功率：120W</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红色12 PCS 绿色14 PCS 蓝色14 PCS 白光14 PCS</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投光角度：8°、15°、25°、45°、60°可选</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光源寿命：约80000小时</w:t>
            </w:r>
          </w:p>
          <w:p>
            <w:pPr>
              <w:pStyle w:val="4"/>
              <w:ind w:firstLine="0" w:firstLineChars="0"/>
              <w:rPr>
                <w:rFonts w:hint="eastAsia" w:ascii="宋体" w:hAnsi="宋体" w:eastAsia="宋体" w:cs="宋体"/>
                <w:color w:val="000000" w:themeColor="text1"/>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控制方式：DMX512</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8</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3753" w:hRule="atLeast"/>
        </w:trPr>
        <w:tc>
          <w:tcPr>
            <w:tcW w:w="479" w:type="dxa"/>
            <w:tcBorders>
              <w:top w:val="single" w:color="000000" w:sz="4" w:space="0"/>
              <w:left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平板会议灯</w:t>
            </w:r>
          </w:p>
        </w:tc>
        <w:tc>
          <w:tcPr>
            <w:tcW w:w="6855" w:type="dxa"/>
            <w:tcBorders>
              <w:top w:val="single" w:color="000000" w:sz="4" w:space="0"/>
              <w:left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1.▲额定功率：≥300W提供承诺函，格式自拟。</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2.▲LED光源：大于等于672颗2800K和672颗6500K（提供具有CMA认可的检测机构出具的检测报告扫描件）</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3.光源寿命：约5000-10000小时</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4.▲色温：2800K-6500K（提供具有CMA认可的检测机构出具的检测报告扫描件）</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5.▲超温保护：内置NTC温度控测功能，当温度超过设置的温度后，LED停止工作。</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6.通道模式：8通道模式</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7.投光角度：35-180°</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8.▲显示屏：采用TFT真彩显示屏，正反向显示，中英文菜单，触摸和转轮双模，提供承诺函，格式自拟。</w:t>
            </w:r>
          </w:p>
        </w:tc>
        <w:tc>
          <w:tcPr>
            <w:tcW w:w="450" w:type="dxa"/>
            <w:tcBorders>
              <w:top w:val="single" w:color="000000" w:sz="4" w:space="0"/>
              <w:left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4</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智能摇头光束灯</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r>
              <w:rPr>
                <w:rFonts w:hint="eastAsia" w:ascii="宋体" w:hAnsi="宋体" w:eastAsia="宋体" w:cs="宋体"/>
                <w:color w:val="000000" w:themeColor="text1"/>
                <w:sz w:val="20"/>
                <w:szCs w:val="20"/>
                <w:highlight w:val="none"/>
                <w14:textFill>
                  <w14:solidFill>
                    <w14:schemeClr w14:val="tx1"/>
                  </w14:solidFill>
                </w14:textFill>
              </w:rPr>
              <w:t>输入电压/频率：AC100-240V，50/60Hz；</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光源：MSD 350W</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3</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色温：7800K</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4</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电子变焦范围：≥2.5-33°</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5.</w:t>
            </w:r>
            <w:r>
              <w:rPr>
                <w:rFonts w:hint="eastAsia" w:ascii="宋体" w:hAnsi="宋体" w:eastAsia="宋体" w:cs="宋体"/>
                <w:color w:val="000000" w:themeColor="text1"/>
                <w:sz w:val="20"/>
                <w:szCs w:val="20"/>
                <w:highlight w:val="none"/>
                <w14:textFill>
                  <w14:solidFill>
                    <w14:schemeClr w14:val="tx1"/>
                  </w14:solidFill>
                </w14:textFill>
              </w:rPr>
              <w:t>顔色盘：由13种基本色+白光组成顔色轮，散发出柔美的色彩效果.</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彩虹效果、半色功能"</w:t>
            </w:r>
          </w:p>
          <w:p>
            <w:pPr>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6</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图案盘：一个可拔插性旋转图案盘（9个旋转图案+白光），一个固定图案盘（14种图案+白光），带流水效果</w:t>
            </w:r>
            <w:r>
              <w:rPr>
                <w:rFonts w:hint="eastAsia" w:ascii="宋体" w:hAnsi="宋体" w:eastAsia="宋体" w:cs="宋体"/>
                <w:color w:val="000000" w:themeColor="text1"/>
                <w:sz w:val="20"/>
                <w:szCs w:val="20"/>
                <w:highlight w:val="none"/>
                <w:lang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7</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棱镜盘：由两个棱镜盘组成的独立系统，可棱镜重叠、带正反旋转及角度调整功能，可变幻出更多更梦幻的光束</w:t>
            </w:r>
            <w:r>
              <w:rPr>
                <w:rFonts w:hint="eastAsia" w:ascii="宋体" w:hAnsi="宋体" w:eastAsia="宋体" w:cs="宋体"/>
                <w:color w:val="000000" w:themeColor="text1"/>
                <w:sz w:val="20"/>
                <w:szCs w:val="20"/>
                <w:highlight w:val="none"/>
                <w:lang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8</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通道模式：18/24G两种通道模式</w:t>
            </w:r>
            <w:r>
              <w:rPr>
                <w:rFonts w:hint="eastAsia" w:ascii="宋体" w:hAnsi="宋体" w:eastAsia="宋体" w:cs="宋体"/>
                <w:color w:val="000000" w:themeColor="text1"/>
                <w:sz w:val="20"/>
                <w:szCs w:val="20"/>
                <w:highlight w:val="none"/>
                <w:lang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嵌入面光灯</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电源功率：250W</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光源：LED高亮度灯珠900颗</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光源寿命：50000小时</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光 通 量：(3200K标准光通量19.6Im / 5600K标准光通量21Im)</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光效：(3200K标准光效105Im/W / 5600 K标准光效110 Im/W)；</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显色指数：Rａ≥90</w:t>
            </w:r>
          </w:p>
          <w:p>
            <w:pPr>
              <w:textAlignment w:val="center"/>
              <w:rPr>
                <w:rFonts w:hint="eastAsia" w:ascii="宋体" w:hAnsi="宋体" w:eastAsia="宋体" w:cs="宋体"/>
                <w:color w:val="000000" w:themeColor="text1"/>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控制方式：2CH/4CH通道</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8</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.2 外围设备及控制系统</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控台</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1.具备大于等于1024个DMX512 通道数</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2.具备96台电脑灯的配接数量</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3.支持电脑灯重新配接地址码，支持灯具水平垂直交换，支持灯具通道反相输出</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4.支持灯具通道滑步模式切换，支持40主通道+40微调通道控制，支持R20灯库</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5.具备大于等于60个可保存的场景，具备10个可同时运行的场景，具备600步场景的总步数</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6.具备淡入、淡出、LTP滑步场景时间控制</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7.支持推杆启动场景并进行调光，支持互锁场景，支持点控场景</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8.具备图形生成器，每个场景可存储5个图形</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9.具备10个可同时运行图形数量</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10.具备全局、重演、灯具主控推杆</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11.支持立即黑场</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Style w:val="8"/>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12.支持转盘调整通道数值，支持推杆调整通道数值，支持推杆调光</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13.支持U盘读取</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直通箱</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1.具备过载与短路双重保护高分断空气开关。</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2.具备12路×4kW功率输出</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3.支持A.B.C三相工作指示灯。</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4.支持两脚和三脚万能用插座。</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信号放大器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1.支持DMX512公母接口输入。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2.支持输入输出光电隔离。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3.支持8路独立放大驱动输出。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4.具备信号放大整形功能，延长信号传输距离。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5.具备增强数据总线接入设备数量的能力。                                                                                                               </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6.具备独立的LED信号指示。</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.4 舞台幕布</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拉幕机</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1.具备≥150rpm额定转速；减速比1:10</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2.具备≥46.5NM额定扭矩</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3.具备≥1.2m/s对开速度</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4.具备≤50dB(A)运行噪音</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5.具备电动同步带驱动方式</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6.具备行程限位、机械限位保护装置</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轨道</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1.具备铝合金双轨道</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控制箱</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1.具备≥2路PLC控制对开幕电机输出，每路电机控制含上下限位及过热过载保护输入信号，对开大幕二幕电机可单独实现调速功能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2.具备≥2*750W功率输出；</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3.具备≥1个DMX512输入；≥1个DMX512输出；≥1个以太网网络接口端口（备用）</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4.具备单片机控制方式</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5.具备≥1个DC24V电机限位线接口</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6.具备≥100米内无障碍控制遥控范围</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7.具备≥10/100 Mbit/s数据传输速率</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8.具备≥2路变频控制输出路数</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16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电动对开吸音窗帘</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额定功率：40W，额定扭矩：1.2Nm，最大载重：50kg，额定电压：AC100v~240v，保护等级：IP20</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手拉启动功能：通电状态下，用手往一方向轻轻拉动窗帘10cm左右，窗帘自动打开或关闭</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停电手拉功能：断电情况下，可以像普通窗帘一样轻松手动打开或关闭窗帘</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中间位置设置：窗帘打开或关闭位置的中间点，设置后一个停止点，实现室内合适的采光效果</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自动设定记忆行程：断电后，电机每次上电，都可自行寻找打开和关闭的行程点，无需手动设置</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多种控制方式：根据需要，可选择无线遥控、有线开关、智能遥控多种控制方式</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轨道自由拼接：DIY设计，轨道自由拼接，各种尺寸皆可组合</w:t>
            </w:r>
            <w:r>
              <w:rPr>
                <w:rFonts w:hint="eastAsia" w:ascii="宋体" w:hAnsi="宋体" w:eastAsia="宋体" w:cs="宋体"/>
                <w:color w:val="000000" w:themeColor="text1"/>
                <w:highlight w:val="none"/>
                <w:lang w:val="en-US" w:eastAsia="zh-CN"/>
                <w14:textFill>
                  <w14:solidFill>
                    <w14:schemeClr w14:val="tx1"/>
                  </w14:solidFill>
                </w14:textFill>
              </w:rPr>
              <w:t>。</w:t>
            </w:r>
          </w:p>
          <w:p>
            <w:pPr>
              <w:pStyle w:val="2"/>
              <w:rPr>
                <w:rFonts w:hint="default" w:eastAsia="宋体" w:asciiTheme="majorHAnsi" w:hAnsiTheme="majorHAnsi" w:cstheme="majorBidi"/>
                <w:color w:val="000000" w:themeColor="text1"/>
                <w:sz w:val="24"/>
                <w:szCs w:val="24"/>
                <w:highlight w:val="none"/>
                <w:lang w:val="en-US"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8.吸音窗帘：</w:t>
            </w:r>
            <w:r>
              <w:rPr>
                <w:rFonts w:hint="eastAsia" w:ascii="宋体" w:hAnsi="宋体" w:eastAsia="宋体" w:cs="宋体"/>
                <w:snapToGrid w:val="0"/>
                <w:color w:val="000000" w:themeColor="text1"/>
                <w:sz w:val="20"/>
                <w:szCs w:val="20"/>
                <w:highlight w:val="none"/>
                <w:lang w:bidi="ar"/>
                <w14:textFill>
                  <w14:solidFill>
                    <w14:schemeClr w14:val="tx1"/>
                  </w14:solidFill>
                </w14:textFill>
              </w:rPr>
              <w:t>B1级阻燃处理，金丝绒250g/㎡</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每幅窗帘面积10㎡。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幅</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幕布</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(长×高×折比3×块)B1级阻燃处理，金丝绒250g/㎡</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257.6</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平方米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吊杆</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可升降吊杆 称重20KG</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电源线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RVV4*2.5</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50</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8</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信号线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RVVP3*0.75</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50</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5</w:t>
            </w: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、扩声系统</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主扩</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音箱</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1.通过路由器DHCP自动分配IP地址</w:t>
            </w:r>
            <w:r>
              <w:rPr>
                <w:rFonts w:hint="eastAsia" w:ascii="宋体" w:hAnsi="宋体" w:eastAsia="宋体" w:cs="宋体"/>
                <w:color w:val="000000" w:themeColor="text1"/>
                <w:highlight w:val="none"/>
                <w:lang w:val="en-US" w:eastAsia="zh-CN"/>
                <w14:textFill>
                  <w14:solidFill>
                    <w14:schemeClr w14:val="tx1"/>
                  </w14:solidFill>
                </w14:textFill>
              </w:rPr>
              <w:t>。</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2.可独立控制每个接收通道，可应用在局域网任何的位置。</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▲3.具有备份模拟输入接口及Dante网络接口，传输双备份；（为佐证投标参数真实性及核心接口功能完整性，投标时提供针对音箱依据 GB 4943.1 安全要求</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检验报告扫描件，报告需带有CMA标志</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▲4.具有链路输出接口，可以模拟音频和数字音频双重手拉手连接；（为佐证投标参数真实性及核心接口功能完整性，投标时提供针对音箱依据 GB 4943.1 安全要求</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检验报告扫描件，报告需带有CMA标志。</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p>
          <w:p>
            <w:pPr>
              <w:jc w:val="left"/>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5.集网络传输、纯数字功放一体的全频音箱</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jc w:val="left"/>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6.具有高效率高声能输出、出色的音质、完善的保护功能和良好的电磁兼容特性</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7.内置强大的DSP全功能模块和大功率数字功放模块,彩色LCD显示屏显示运行信息。                                                                                                            ▲8.具有完善的保护功能（短路保护、过流保护、过欠保护、直流保护、功率压限、温度压限、长期输出功率限制、削波限幅器）。（为佐证投标参数真实性及核心接口功能完整性，投标时提供针对音箱依据GB 4943.1 安全要求</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检验报告扫描件，报告需带有CMA标志。</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9.频响范围≥140Hz-19KHz(±3dB)</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10.覆盖角度≥110°*60°</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11.额定功率≥400W,                                                                                                                                                                12.最大声压级≥116dB</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13.驱动单元≥低频12寸，高频1寸</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14.有源功放模块D类功放≥400W,8欧</w:t>
            </w:r>
          </w:p>
          <w:p>
            <w:pPr>
              <w:jc w:val="left"/>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15.灵敏度≥0.77v-1.5v                                                                                                                                                                                                16.失真度≤3％(8ohms and 4ohms )</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只</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专业功放</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1.采用D类数字功放设计方案。</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2.标准XLR输入接口，和LINK输出口。</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3.电源采用开关电源技术，效率高，有效的抑制电源谐波。</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4.内置智能削峰限幅器，支持开机软启动，防止开机时向电网吸收大电流，干扰其它用电设备。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5.具有：过压保护，欠压保护，过流保护，直流保护，输出短路保护，温控风扇等功能。</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6.输出功率：立体声@8Ω：≥700W×2；立体声@4Ω：≥1000W×2；桥接@16Ω：≥1400W；桥接@8Ω：≥2000W</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支架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音箱支架</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只</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补声环绕音箱</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1.通过路由器DHCP自动分配IP地址</w:t>
            </w:r>
            <w:r>
              <w:rPr>
                <w:rFonts w:hint="eastAsia" w:ascii="宋体" w:hAnsi="宋体" w:eastAsia="宋体" w:cs="宋体"/>
                <w:color w:val="000000" w:themeColor="text1"/>
                <w:sz w:val="20"/>
                <w:szCs w:val="20"/>
                <w:highlight w:val="none"/>
                <w:lang w:eastAsia="zh-CN"/>
                <w14:textFill>
                  <w14:solidFill>
                    <w14:schemeClr w14:val="tx1"/>
                  </w14:solidFill>
                </w14:textFill>
              </w:rPr>
              <w:t>。</w:t>
            </w:r>
          </w:p>
          <w:p>
            <w:pPr>
              <w:jc w:val="left"/>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2.可独立控制每个接收通道，可应用在局域网任何的位置。</w:t>
            </w:r>
          </w:p>
          <w:p>
            <w:pPr>
              <w:jc w:val="left"/>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▲3.具有备份模拟输入接口及Dante网络接口，传输双备份；（为佐证投标参数真实性及核心接口功能完整性，投标时提供针对音箱依据 GB 4943.1 安全要求</w:t>
            </w:r>
            <w:r>
              <w:rPr>
                <w:rFonts w:hint="eastAsia" w:ascii="宋体" w:hAnsi="宋体" w:eastAsia="宋体" w:cs="宋体"/>
                <w:color w:val="000000" w:themeColor="text1"/>
                <w:sz w:val="20"/>
                <w:szCs w:val="20"/>
                <w:highlight w:val="none"/>
                <w:lang w:eastAsia="zh-CN"/>
                <w14:textFill>
                  <w14:solidFill>
                    <w14:schemeClr w14:val="tx1"/>
                  </w14:solidFill>
                </w14:textFill>
              </w:rPr>
              <w:t>检验报告扫描件，报告需带有CMA标志。</w:t>
            </w:r>
            <w:r>
              <w:rPr>
                <w:rFonts w:hint="eastAsia" w:ascii="宋体" w:hAnsi="宋体" w:eastAsia="宋体" w:cs="宋体"/>
                <w:color w:val="000000" w:themeColor="text1"/>
                <w:sz w:val="20"/>
                <w:szCs w:val="20"/>
                <w:highlight w:val="none"/>
                <w14:textFill>
                  <w14:solidFill>
                    <w14:schemeClr w14:val="tx1"/>
                  </w14:solidFill>
                </w14:textFill>
              </w:rPr>
              <w:t>）</w:t>
            </w:r>
          </w:p>
          <w:p>
            <w:pPr>
              <w:jc w:val="left"/>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▲4.具有链路输出接口，可以模拟音频和数字音频双重手拉手连接</w:t>
            </w:r>
            <w:r>
              <w:rPr>
                <w:rFonts w:hint="eastAsia" w:ascii="宋体" w:hAnsi="宋体" w:eastAsia="宋体" w:cs="宋体"/>
                <w:color w:val="000000" w:themeColor="text1"/>
                <w:sz w:val="20"/>
                <w:szCs w:val="20"/>
                <w:highlight w:val="none"/>
                <w:lang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（为佐证投标参数真实性及核心接口功能完整性，投标时提供针对音箱依据 GB 4943.1 安全要求</w:t>
            </w:r>
            <w:r>
              <w:rPr>
                <w:rFonts w:hint="eastAsia" w:ascii="宋体" w:hAnsi="宋体" w:eastAsia="宋体" w:cs="宋体"/>
                <w:color w:val="000000" w:themeColor="text1"/>
                <w:sz w:val="20"/>
                <w:szCs w:val="20"/>
                <w:highlight w:val="none"/>
                <w:lang w:eastAsia="zh-CN"/>
                <w14:textFill>
                  <w14:solidFill>
                    <w14:schemeClr w14:val="tx1"/>
                  </w14:solidFill>
                </w14:textFill>
              </w:rPr>
              <w:t>检验报告扫描件，报告需带有CMA标志</w:t>
            </w:r>
            <w:r>
              <w:rPr>
                <w:rFonts w:hint="eastAsia" w:ascii="宋体" w:hAnsi="宋体" w:eastAsia="宋体" w:cs="宋体"/>
                <w:color w:val="000000" w:themeColor="text1"/>
                <w:sz w:val="20"/>
                <w:szCs w:val="20"/>
                <w:highlight w:val="none"/>
                <w14:textFill>
                  <w14:solidFill>
                    <w14:schemeClr w14:val="tx1"/>
                  </w14:solidFill>
                </w14:textFill>
              </w:rPr>
              <w:t>。）</w:t>
            </w:r>
          </w:p>
          <w:p>
            <w:pPr>
              <w:jc w:val="left"/>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5.集网络传输、纯数字功放一体的全频音箱</w:t>
            </w:r>
            <w:r>
              <w:rPr>
                <w:rFonts w:hint="eastAsia" w:ascii="宋体" w:hAnsi="宋体" w:eastAsia="宋体" w:cs="宋体"/>
                <w:color w:val="000000" w:themeColor="text1"/>
                <w:sz w:val="20"/>
                <w:szCs w:val="20"/>
                <w:highlight w:val="none"/>
                <w:lang w:eastAsia="zh-CN"/>
                <w14:textFill>
                  <w14:solidFill>
                    <w14:schemeClr w14:val="tx1"/>
                  </w14:solidFill>
                </w14:textFill>
              </w:rPr>
              <w:t>。</w:t>
            </w:r>
          </w:p>
          <w:p>
            <w:pPr>
              <w:jc w:val="left"/>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6.具有高效率高声能输出、出色的音质、完善的保护功能和良好的电磁兼容特性</w:t>
            </w:r>
            <w:r>
              <w:rPr>
                <w:rFonts w:hint="eastAsia" w:ascii="宋体" w:hAnsi="宋体" w:eastAsia="宋体" w:cs="宋体"/>
                <w:color w:val="000000" w:themeColor="text1"/>
                <w:sz w:val="20"/>
                <w:szCs w:val="20"/>
                <w:highlight w:val="none"/>
                <w:lang w:eastAsia="zh-CN"/>
                <w14:textFill>
                  <w14:solidFill>
                    <w14:schemeClr w14:val="tx1"/>
                  </w14:solidFill>
                </w14:textFill>
              </w:rPr>
              <w:t>。</w:t>
            </w:r>
          </w:p>
          <w:p>
            <w:pPr>
              <w:jc w:val="left"/>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7.内置强大的DSP全功能模块和大功率数字功放模块,彩色LCD显示屏显示运行信息。                                                                                                           ▲8.具有完善的保护功能（短路保护、过流保护、过欠保护、直流保护、功率压限、温度压限、长期输出功率限制、削波限幅器）。（为佐证投标参数真实性及核心接口功能完整性，投标时提供针对音箱依据 GB 4943.1 安全要求</w:t>
            </w:r>
            <w:r>
              <w:rPr>
                <w:rFonts w:hint="eastAsia" w:ascii="宋体" w:hAnsi="宋体" w:eastAsia="宋体" w:cs="宋体"/>
                <w:color w:val="000000" w:themeColor="text1"/>
                <w:sz w:val="20"/>
                <w:szCs w:val="20"/>
                <w:highlight w:val="none"/>
                <w:lang w:eastAsia="zh-CN"/>
                <w14:textFill>
                  <w14:solidFill>
                    <w14:schemeClr w14:val="tx1"/>
                  </w14:solidFill>
                </w14:textFill>
              </w:rPr>
              <w:t>检验报告扫描件，报告需带有CMA标志。</w:t>
            </w:r>
            <w:r>
              <w:rPr>
                <w:rFonts w:hint="eastAsia" w:ascii="宋体" w:hAnsi="宋体" w:eastAsia="宋体" w:cs="宋体"/>
                <w:color w:val="000000" w:themeColor="text1"/>
                <w:sz w:val="20"/>
                <w:szCs w:val="20"/>
                <w:highlight w:val="none"/>
                <w14:textFill>
                  <w14:solidFill>
                    <w14:schemeClr w14:val="tx1"/>
                  </w14:solidFill>
                </w14:textFill>
              </w:rPr>
              <w:t>）</w:t>
            </w:r>
          </w:p>
          <w:p>
            <w:pPr>
              <w:jc w:val="left"/>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9.频响范围≥140Hz-19KHz(±3dB)</w:t>
            </w:r>
          </w:p>
          <w:p>
            <w:pPr>
              <w:jc w:val="left"/>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10.额定功率≥</w:t>
            </w:r>
            <w:r>
              <w:rPr>
                <w:rFonts w:hint="eastAsia" w:ascii="宋体" w:hAnsi="宋体" w:eastAsia="宋体" w:cs="宋体"/>
                <w:color w:val="000000" w:themeColor="text1"/>
                <w:sz w:val="20"/>
                <w:szCs w:val="20"/>
                <w:highlight w:val="none"/>
                <w:lang w:val="en-US" w:eastAsia="zh-CN"/>
                <w14:textFill>
                  <w14:solidFill>
                    <w14:schemeClr w14:val="tx1"/>
                  </w14:solidFill>
                </w14:textFill>
              </w:rPr>
              <w:t>350</w:t>
            </w:r>
            <w:r>
              <w:rPr>
                <w:rFonts w:hint="eastAsia" w:ascii="宋体" w:hAnsi="宋体" w:eastAsia="宋体" w:cs="宋体"/>
                <w:color w:val="000000" w:themeColor="text1"/>
                <w:sz w:val="20"/>
                <w:szCs w:val="20"/>
                <w:highlight w:val="none"/>
                <w14:textFill>
                  <w14:solidFill>
                    <w14:schemeClr w14:val="tx1"/>
                  </w14:solidFill>
                </w14:textFill>
              </w:rPr>
              <w:t>W,峰值功率：</w:t>
            </w:r>
            <w:r>
              <w:rPr>
                <w:rFonts w:hint="eastAsia" w:ascii="宋体" w:hAnsi="宋体" w:eastAsia="宋体" w:cs="宋体"/>
                <w:color w:val="000000" w:themeColor="text1"/>
                <w:sz w:val="20"/>
                <w:szCs w:val="20"/>
                <w:highlight w:val="none"/>
                <w:lang w:val="en-US" w:eastAsia="zh-CN"/>
                <w14:textFill>
                  <w14:solidFill>
                    <w14:schemeClr w14:val="tx1"/>
                  </w14:solidFill>
                </w14:textFill>
              </w:rPr>
              <w:t>500</w:t>
            </w:r>
            <w:r>
              <w:rPr>
                <w:rFonts w:hint="eastAsia" w:ascii="宋体" w:hAnsi="宋体" w:eastAsia="宋体" w:cs="宋体"/>
                <w:color w:val="000000" w:themeColor="text1"/>
                <w:sz w:val="20"/>
                <w:szCs w:val="20"/>
                <w:highlight w:val="none"/>
                <w14:textFill>
                  <w14:solidFill>
                    <w14:schemeClr w14:val="tx1"/>
                  </w14:solidFill>
                </w14:textFill>
              </w:rPr>
              <w:t>W                                                                                                                                                                                       11.最大声压级≥114dB</w:t>
            </w:r>
          </w:p>
          <w:p>
            <w:pPr>
              <w:jc w:val="left"/>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12.驱动单元≥低频10寸，高频1寸</w:t>
            </w:r>
          </w:p>
          <w:p>
            <w:pPr>
              <w:jc w:val="left"/>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13.有源功放模块D类功放≥300W,8欧</w:t>
            </w:r>
          </w:p>
          <w:p>
            <w:pPr>
              <w:jc w:val="left"/>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14.灵敏度≥0.77v-1.5v                                                                                                                                                                                                 15.失真度≤3％(8ohms and 4ohms )</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只</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专业功放</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1.采用D类数字功放设计方案。</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2.标准XLR输入接口，和LINK输出口。</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3.电源采用开关电源技术，效率高，有效的抑制电源谐波。</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4.内置智能削峰限幅器，支持开机软启动，防止开机时向电网吸收大电流，干扰其它用电设备。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5.具有：过压保护，欠压保护，过流保护，直流保护，输出短路保护，温控风扇等功能。</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6.输出功率：立体声@8Ω：≥200W×2；立体声@4Ω：≥400W×2。</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支架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音箱支架</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只</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返听中置音箱</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1.内置DSP模块，可直接进行增益、均衡、延时、分频、限幅等音频信号处理</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2.输入输出8段EQ调节均有频率、带宽、增益设置</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3.专业PC端控制软件简单易用，以太网TCP/IP联机管理，可同时管理系统中的每台设备</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4.DANTE网络音频技术，低延时无干扰，无损顺畅饱满的音质</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5.网络双备份，可多台设备手拉手连接</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6.自动或手动网络IP配置，可自主命名便于在网络中识别</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7.传输双备份，模拟和网络可选，6.35非平或卡侬平衡音频输入或RJ45数字输入。</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8.单元：LF:1*12”，HF:1*1.4”</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9.额定功率≥</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400</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10.频率范围：65Hz-20KHz</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11.最大声压級≥120dB</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12.灵敏度≥95db</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只</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专业功放</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1.1U机箱设计，采用D类数字功放设计方案。</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2.标准XLR输入接口，和LINK输出口。</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3.电源采用开关电源技术，效率高，有效的抑制电源谐波。</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4.内置智能削峰限幅器，支持开机软启动，防止开机时向电网吸收大电流，干扰其它用电设备。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5.具有：过压保护，欠压保护，过流保护，直流保护，输出短路保护，温控风扇等功能。</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6.输出功率：立体声@8Ω：≥700W×2；立体声@4Ω：≥1000W×2；桥接@16Ω：≥1400W；桥接@8Ω：≥2000W</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超低</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音箱</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1.具有Dante网络音频信号接收功能，内置备份模拟输入接口及Dante网络接口，传输双备份                                                                                                2.低音单元≥18寸低音×1    </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3.频率响应≥25Hz-400Hz(±3dB)1watt@1m  </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4.灵敏度≥118dB /W(lm)  </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5.最大声压级≥146dB MAX  </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6.阻抗≥8Ω  </w:t>
            </w:r>
          </w:p>
          <w:p>
            <w:pPr>
              <w:jc w:val="left"/>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7.额定功率≥800W Nominal  </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只</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专业功放</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1.双通道大功率专业数字功放；</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2.功放有直流、短路、过载、过热保护；</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3.采用可变震荡调制技术、多重反馈调控技术以及输出功率控制技术；</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4.支持灵敏度≥1V/2V可选择切换，XLR平衡式输入/XLR 平衡式LINK输出；SPEAKON音响插座输出；</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5.输出功率（1KHz/THD≤1％）：连续功率：立体声8Ω×2：≥2*1000W；立体声4Ω×2：≥2*1700W；立体声2Ω×2：≥2*2900W；桥接16Ω：≥2000W；桥接8Ω：≥3400W；桥接4Ω：≥5800W；</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6.电压增益 (@1KHz)：≥39dB</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7.频率响应(@1W功率下）等同或优于20Hz-20KHz/±1dB</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8.THD+N(@1/8功率下）：≤0.01％</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9.信噪比 (A计权)：≥105dB</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高保真一拖二无线手持话筒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▲1.真正分集接收，采用四天线、双接收线路；（投标时提供针对真分集无线麦克风设备依据 GB 4943.1-2022《音视频、信息技术和通信技术设备 第 1 部分：安全要求》检验报告</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扫描件</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，报告需带有</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CMA</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标志。）</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▲2.一键自动搜频接收机，手持电量监控，（投标时提供针对真分集无线麦克风设备依据 GB 4943.1-2022《音视频、信息技术和通信技术设备 第 1 部分：安全要求》检验报告</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扫描件</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，报告需带有</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CMA</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标志。）</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▲3.均匀的心形指向模式能够有效地增强主声源，同时最大限度地抑制背景噪音。（投标时提供针对真分集无线麦克风设备依据 GB 4943.1-2022《音视频、信息技术和通信技术设备 第 1 部分：安全要求》检验报告</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扫描件</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，报告需带有</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CMA</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标志。）</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4.频率范围≥520-950MHz</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5.可调范围≥50MHz</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6.信道间隔≥250KHz</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7.频率稳定度≥±0.005%</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8.动态范围≥100dB</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9.音频响应≥ 80Hz-18KHz(±3dB)</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10.综合信噪比≥105 dB</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11.综合失真≤0.5%</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12.灵敏度≥12dBμV（80DbS/N）</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13.灵敏度调节范围≥12-32 dBμV</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14.杂散抑制≥75dB</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15.最大输出电平≥+10Dbv</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话筒呼叫控制嵌入软件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1.软件内嵌于无线话筒系统设备，话筒呼叫控制功能。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2.支持自动选讯接收方式。</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3.支持信道选择、频率可调、可设置主机与话筒配对。</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一拖二无线手持话筒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1.具有≥1台接收主机、≥双手持发射机；频率范围等同或优于540MHz-590MHz、640MHz-690MHz。</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2.接收机具有≥2路平衡输出、≥1路非平衡混音输出。</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3.具有自动频率扫描功能，可快速地给麦克风找到清晰的频率。</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4.支持混响调节功能，比例调节、延时调节、电平调节≥25个档位。</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5.支持麦克风均衡器调节功能，≥高、中、低音三种调节档位。（提供软件界面截图证明）</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6.接收机具有显示屏，用户可通过显示屏查看设备发射功率强度、音频加密状态、电池电量、频率数值、智能静音状态、静音标志。</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7.具有自动静音功能，麦克风跌落、抛掷时，毫秒级响应自动静音，避免冲击声；产品静置5秒自动静音。</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8.麦克风具有长时间静置自动关机功能，设备自动检测工作状态（使用状态、静置状态），静置时间≥8分钟后，设备自动关机。</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9.</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采用UHF超高频段双真分集接收，并采用PLL锁相环多信道频率合成技术。</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话筒呼叫控制嵌入软件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1.软件内嵌于无线话筒系统设备，话筒呼叫控制功能。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.支持自动选讯接收方式。</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.支持信道选择、频率可调、可设置主机与话筒配对。</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一拖二无线挂耳式话筒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1.频率指标等同或优于530-580MHz，640-690MHz，调制方式：宽带FM，频道数目：≥200个频道。</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2.配套有≥一台主机+≥双头戴无线话筒。</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 采用UHF超高频段双真分集接收，并采用PLL锁相环多信道频率合成技术。</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4.接收机指标：采用自动选讯接收方式，灵敏度:≥12dB μV（80dBS/N)，频率响应等同或优于50Hz-16.5kHz。</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5.发射机指标：腰挂发射器采用1/4波长鞭状天线。</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6.输出功率:≥30mW。</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话筒呼叫控制嵌入软件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1.软件内嵌于无线话筒系统设备，话筒呼叫控制功能。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.支持自动选讯接收方式。</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.支持信道选择、频率可调、可设置主机与话筒配对。</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17</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天线分配器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1.提供≥2进≥8出的天线信号分配器设备。</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2.简化天线装配工程，提升接收距离及效能。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3.两路天线信号接收到分配器的天线输入端。</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4.两路信号输出到下一台分配器的天线输入端进行级联。</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18</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分线盒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1.通过内部补偿电路可以减少接线线损。</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2.在放大器系统中，通过此分线盒方便转接和安装。</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3.分线盒与强波器串连在线路中，方便连接。</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4.分线盒在线路中有隔离杂讯的功能，防止自激。</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19</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放大器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1.频率范围等同或优于500MHZ-1GHZ</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2.端子：TNC</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3.噪声≤3dB                                           </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4.增益≥15db</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20</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话筒天线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1.射频频率范围等同或优于450-950MHz</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2.驻波比：≤2.0</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3.输入阻抗：≤50Ω</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4.放大器底噪：＜3.6dB</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5.增益：≥18db(典型)</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6.极化方式：垂直</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7.前后比：≥25dB</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8.指向性：≥180度指向</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有线远距离</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话筒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1.专业演讲合唱麦克风采用独特的电路设计，输出阻抗（欧姆）：平衡 ≥75Ω。</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2.心型指向、双电容式，</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3.供电电压：幻象≥48V</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4.可调节高度：≥0.1米~1.65米</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有线近距离</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话筒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1.采用柱极式电容麦克风设计，具有良好的束状特性。</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2.接口：平衡式XLR接口；方向特性：束状</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3.支持单只麦克风或多只麦克风同</w:t>
            </w:r>
            <w:bookmarkStart w:id="7" w:name="_GoBack"/>
            <w:bookmarkEnd w:id="7"/>
            <w:r>
              <w:rPr>
                <w:rFonts w:hint="eastAsia" w:ascii="宋体" w:hAnsi="宋体" w:eastAsia="宋体" w:cs="宋体"/>
                <w:snapToGrid w:val="0"/>
                <w:color w:val="000000" w:themeColor="text1"/>
                <w:sz w:val="20"/>
                <w:szCs w:val="20"/>
                <w:highlight w:val="none"/>
                <w:lang w:bidi="ar"/>
                <w14:textFill>
                  <w14:solidFill>
                    <w14:schemeClr w14:val="tx1"/>
                  </w14:solidFill>
                </w14:textFill>
              </w:rPr>
              <w:t>时使用。</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4.幻象供电：≥+48V</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支架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高度：等同或优于980-1680mm</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斜杠：等同或优于550-900mm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数字调音台</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▲1.真正分集接收，采用四天线、双接收线路；（投标时提供针对真分集无线麦克风设备依据 GB 4943.1-2022《音视频、信息技术和通信技术设备 第 1 部分：安全要求》</w:t>
            </w:r>
            <w:r>
              <w:rPr>
                <w:rFonts w:hint="eastAsia" w:ascii="宋体" w:hAnsi="宋体" w:eastAsia="宋体" w:cs="宋体"/>
                <w:color w:val="000000" w:themeColor="text1"/>
                <w:sz w:val="20"/>
                <w:szCs w:val="22"/>
                <w:highlight w:val="none"/>
                <w:lang w:eastAsia="zh-CN"/>
                <w14:textFill>
                  <w14:solidFill>
                    <w14:schemeClr w14:val="tx1"/>
                  </w14:solidFill>
                </w14:textFill>
              </w:rPr>
              <w:t>检验报告扫描件，报告需带有CMA标志。</w:t>
            </w:r>
            <w:r>
              <w:rPr>
                <w:rFonts w:hint="eastAsia" w:ascii="宋体" w:hAnsi="宋体" w:eastAsia="宋体" w:cs="宋体"/>
                <w:color w:val="000000" w:themeColor="text1"/>
                <w:sz w:val="20"/>
                <w:szCs w:val="22"/>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▲2.一键自动搜频接收机，手持电量监控，（投标时提供针对真分集无线麦克风设备依据 GB 4943.1-2022《音视频、信息技术和通信技术设备 第 1 部分：安全要求》</w:t>
            </w:r>
            <w:r>
              <w:rPr>
                <w:rFonts w:hint="eastAsia" w:ascii="宋体" w:hAnsi="宋体" w:eastAsia="宋体" w:cs="宋体"/>
                <w:color w:val="000000" w:themeColor="text1"/>
                <w:sz w:val="20"/>
                <w:szCs w:val="22"/>
                <w:highlight w:val="none"/>
                <w:lang w:eastAsia="zh-CN"/>
                <w14:textFill>
                  <w14:solidFill>
                    <w14:schemeClr w14:val="tx1"/>
                  </w14:solidFill>
                </w14:textFill>
              </w:rPr>
              <w:t>检验报告扫描件，报告需带有CMA标志。</w:t>
            </w:r>
            <w:r>
              <w:rPr>
                <w:rFonts w:hint="eastAsia" w:ascii="宋体" w:hAnsi="宋体" w:eastAsia="宋体" w:cs="宋体"/>
                <w:color w:val="000000" w:themeColor="text1"/>
                <w:sz w:val="20"/>
                <w:szCs w:val="22"/>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▲3.均匀的心形指向模式能够有效地增强主声源，同时最大限度地抑制背景噪音。（投标时提供针对真分集无线麦克风设备依据 GB 4943.1-2022《音视频、信息技术和通信技术设备 第 1 部分：安全要求》</w:t>
            </w:r>
            <w:r>
              <w:rPr>
                <w:rFonts w:hint="eastAsia" w:ascii="宋体" w:hAnsi="宋体" w:eastAsia="宋体" w:cs="宋体"/>
                <w:color w:val="000000" w:themeColor="text1"/>
                <w:sz w:val="20"/>
                <w:szCs w:val="22"/>
                <w:highlight w:val="none"/>
                <w:lang w:eastAsia="zh-CN"/>
                <w14:textFill>
                  <w14:solidFill>
                    <w14:schemeClr w14:val="tx1"/>
                  </w14:solidFill>
                </w14:textFill>
              </w:rPr>
              <w:t>检验报告扫描件，报告需带有CMA标志。</w:t>
            </w:r>
            <w:r>
              <w:rPr>
                <w:rFonts w:hint="eastAsia" w:ascii="宋体" w:hAnsi="宋体" w:eastAsia="宋体" w:cs="宋体"/>
                <w:color w:val="000000" w:themeColor="text1"/>
                <w:sz w:val="20"/>
                <w:szCs w:val="22"/>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4.频率范围≥520-950MHz</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5.可调范围≥50MHz</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6.信道间隔≥250KHz</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7.频率稳定度≥±0.005%</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8.动态范围≥100dB</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9.音频响应≥ 80Hz-18KHz(±3dB)</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10.综合信噪比≥105 dB</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11.综合失真≤0.5%</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12.灵敏度≥12dBμV（80DbS/N）</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13.灵敏度调节范围≥12-32 dBμV</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14.杂散抑制≥75dB</w:t>
            </w:r>
          </w:p>
          <w:p>
            <w:pPr>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15.最大输出电平≥+10Dbv</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音频处理器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1.平衡式话筒\线路输入≥8路，平衡式音频输出≥8路，采用凤凰插接口；DANTE输入≥8路，DANTE输出≥8路，采用RJ45网络接口</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2.自定义操作软件，让配置变更加灵活，可控制不同规格的DSP</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3.内置USB声卡，连接电脑可实现音频信号的传输，支持录播和远程会议</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4.提供终端用户作界面，实现多台设备集中控制，可通过本机的UDP、RS232、RS485控制第三方设备</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5.拥有AFC(反馈抑制) AEC回声消除、ANS(噪声抑制)、AGC(自动増益)増益共享门限自动混音等处理模块</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6.每通道拥有独立的自适应反馈抑制，自动发现反馈点，并自动抑制</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7、具有≥20x 17矩阵</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8.全功能矩阵混音，输入混音电平可调节</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9.预设≥16组，每个预设独立工作</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10.可独立配置输入输出≥8个GPIO，配置输入时可用作独立ADC</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11.支持通道贝、LINK和分组功能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12.支持R232＆UDP中控，UDP端口可自由设定，可查看控制软件代码</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13.处理器芯片采用ADI 架构，不低于40bit DSP浮点运算引擎，提供自由配制软件架构</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14.消防联动功能</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15.多种控制方式，可通过网页、手机、平板、按键面板、触摸面板等方式管理。</w:t>
            </w:r>
          </w:p>
          <w:p>
            <w:pPr>
              <w:jc w:val="left"/>
              <w:textAlignment w:val="center"/>
              <w:rPr>
                <w:rFonts w:hint="eastAsia"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20"/>
                <w:szCs w:val="22"/>
                <w:highlight w:val="none"/>
                <w:lang w:val="en-US" w:eastAsia="zh-CN"/>
                <w14:textFill>
                  <w14:solidFill>
                    <w14:schemeClr w14:val="tx1"/>
                  </w14:solidFill>
                </w14:textFill>
              </w:rPr>
              <w:t>16.</w:t>
            </w:r>
            <w:r>
              <w:rPr>
                <w:rFonts w:hint="eastAsia" w:ascii="宋体" w:hAnsi="宋体" w:eastAsia="宋体" w:cs="宋体"/>
                <w:color w:val="000000" w:themeColor="text1"/>
                <w:sz w:val="20"/>
                <w:szCs w:val="22"/>
                <w:highlight w:val="none"/>
                <w14:textFill>
                  <w14:solidFill>
                    <w14:schemeClr w14:val="tx1"/>
                  </w14:solidFill>
                </w14:textFill>
              </w:rPr>
              <w:t>▲要求设备软件具备音频处理AFC自动抑制软件证书</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sz w:val="20"/>
                <w:szCs w:val="22"/>
                <w:highlight w:val="none"/>
                <w:lang w:val="en-US" w:eastAsia="zh-CN"/>
                <w14:textFill>
                  <w14:solidFill>
                    <w14:schemeClr w14:val="tx1"/>
                  </w14:solidFill>
                </w14:textFill>
              </w:rPr>
              <w:t>提供证书扫描件</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sz w:val="20"/>
                <w:szCs w:val="22"/>
                <w:highlight w:val="none"/>
                <w14:textFill>
                  <w14:solidFill>
                    <w14:schemeClr w14:val="tx1"/>
                  </w14:solidFill>
                </w14:textFill>
              </w:rPr>
              <w:t xml:space="preserve">                                                                                                                                               </w:t>
            </w:r>
            <w:r>
              <w:rPr>
                <w:rFonts w:hint="eastAsia" w:ascii="宋体" w:hAnsi="宋体" w:eastAsia="宋体" w:cs="宋体"/>
                <w:color w:val="000000" w:themeColor="text1"/>
                <w:sz w:val="20"/>
                <w:szCs w:val="22"/>
                <w:highlight w:val="none"/>
                <w:lang w:val="en-US" w:eastAsia="zh-CN"/>
                <w14:textFill>
                  <w14:solidFill>
                    <w14:schemeClr w14:val="tx1"/>
                  </w14:solidFill>
                </w14:textFill>
              </w:rPr>
              <w:t>17.</w:t>
            </w:r>
            <w:r>
              <w:rPr>
                <w:rFonts w:hint="eastAsia" w:ascii="宋体" w:hAnsi="宋体" w:eastAsia="宋体" w:cs="宋体"/>
                <w:color w:val="000000" w:themeColor="text1"/>
                <w:sz w:val="20"/>
                <w:szCs w:val="22"/>
                <w:highlight w:val="none"/>
                <w14:textFill>
                  <w14:solidFill>
                    <w14:schemeClr w14:val="tx1"/>
                  </w14:solidFill>
                </w14:textFill>
              </w:rPr>
              <w:t>▲要求设备软件具备音频处理AEC双通道总线回声消除系统软件证书</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sz w:val="20"/>
                <w:szCs w:val="22"/>
                <w:highlight w:val="none"/>
                <w:lang w:val="en-US" w:eastAsia="zh-CN"/>
                <w14:textFill>
                  <w14:solidFill>
                    <w14:schemeClr w14:val="tx1"/>
                  </w14:solidFill>
                </w14:textFill>
              </w:rPr>
              <w:t>提供证书扫描件</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sz w:val="20"/>
                <w:szCs w:val="22"/>
                <w:highlight w:val="none"/>
                <w14:textFill>
                  <w14:solidFill>
                    <w14:schemeClr w14:val="tx1"/>
                  </w14:solidFill>
                </w14:textFill>
              </w:rPr>
              <w:t xml:space="preserve">                                                                                                                                  </w:t>
            </w:r>
            <w:r>
              <w:rPr>
                <w:rFonts w:hint="eastAsia" w:ascii="宋体" w:hAnsi="宋体" w:eastAsia="宋体" w:cs="宋体"/>
                <w:color w:val="000000" w:themeColor="text1"/>
                <w:sz w:val="20"/>
                <w:szCs w:val="22"/>
                <w:highlight w:val="none"/>
                <w:lang w:val="en-US" w:eastAsia="zh-CN"/>
                <w14:textFill>
                  <w14:solidFill>
                    <w14:schemeClr w14:val="tx1"/>
                  </w14:solidFill>
                </w14:textFill>
              </w:rPr>
              <w:t>18.</w:t>
            </w:r>
            <w:r>
              <w:rPr>
                <w:rFonts w:hint="eastAsia" w:ascii="宋体" w:hAnsi="宋体" w:eastAsia="宋体" w:cs="宋体"/>
                <w:color w:val="000000" w:themeColor="text1"/>
                <w:sz w:val="20"/>
                <w:szCs w:val="22"/>
                <w:highlight w:val="none"/>
                <w14:textFill>
                  <w14:solidFill>
                    <w14:schemeClr w14:val="tx1"/>
                  </w14:solidFill>
                </w14:textFill>
              </w:rPr>
              <w:t>▲要求设备软件具备音频处理ANS噪声抑制处理系统软件证书</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sz w:val="20"/>
                <w:szCs w:val="22"/>
                <w:highlight w:val="none"/>
                <w:lang w:val="en-US" w:eastAsia="zh-CN"/>
                <w14:textFill>
                  <w14:solidFill>
                    <w14:schemeClr w14:val="tx1"/>
                  </w14:solidFill>
                </w14:textFill>
              </w:rPr>
              <w:t>提供证书扫描件</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sz w:val="20"/>
                <w:szCs w:val="22"/>
                <w:highlight w:val="none"/>
                <w14:textFill>
                  <w14:solidFill>
                    <w14:schemeClr w14:val="tx1"/>
                  </w14:solidFill>
                </w14:textFill>
              </w:rPr>
              <w:t xml:space="preserve">                                                                                                                                         </w:t>
            </w:r>
            <w:r>
              <w:rPr>
                <w:rFonts w:hint="eastAsia" w:ascii="宋体" w:hAnsi="宋体" w:eastAsia="宋体" w:cs="宋体"/>
                <w:color w:val="000000" w:themeColor="text1"/>
                <w:sz w:val="20"/>
                <w:szCs w:val="22"/>
                <w:highlight w:val="none"/>
                <w:lang w:val="en-US" w:eastAsia="zh-CN"/>
                <w14:textFill>
                  <w14:solidFill>
                    <w14:schemeClr w14:val="tx1"/>
                  </w14:solidFill>
                </w14:textFill>
              </w:rPr>
              <w:t>19.</w:t>
            </w:r>
            <w:r>
              <w:rPr>
                <w:rFonts w:hint="eastAsia" w:ascii="宋体" w:hAnsi="宋体" w:eastAsia="宋体" w:cs="宋体"/>
                <w:color w:val="000000" w:themeColor="text1"/>
                <w:sz w:val="20"/>
                <w:szCs w:val="22"/>
                <w:highlight w:val="none"/>
                <w14:textFill>
                  <w14:solidFill>
                    <w14:schemeClr w14:val="tx1"/>
                  </w14:solidFill>
                </w14:textFill>
              </w:rPr>
              <w:t>▲要求设备软件具备音频处理AGC自动增益系统软件证书</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sz w:val="20"/>
                <w:szCs w:val="22"/>
                <w:highlight w:val="none"/>
                <w:lang w:val="en-US" w:eastAsia="zh-CN"/>
                <w14:textFill>
                  <w14:solidFill>
                    <w14:schemeClr w14:val="tx1"/>
                  </w14:solidFill>
                </w14:textFill>
              </w:rPr>
              <w:t>提供证书扫描件</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sz w:val="20"/>
                <w:szCs w:val="22"/>
                <w:highlight w:val="none"/>
                <w14:textFill>
                  <w14:solidFill>
                    <w14:schemeClr w14:val="tx1"/>
                  </w14:solidFill>
                </w14:textFill>
              </w:rPr>
              <w:t xml:space="preserve">                                                                                                                                           </w:t>
            </w:r>
            <w:r>
              <w:rPr>
                <w:rFonts w:hint="eastAsia" w:ascii="宋体" w:hAnsi="宋体" w:eastAsia="宋体" w:cs="宋体"/>
                <w:color w:val="000000" w:themeColor="text1"/>
                <w:sz w:val="20"/>
                <w:szCs w:val="22"/>
                <w:highlight w:val="none"/>
                <w:lang w:val="en-US" w:eastAsia="zh-CN"/>
                <w14:textFill>
                  <w14:solidFill>
                    <w14:schemeClr w14:val="tx1"/>
                  </w14:solidFill>
                </w14:textFill>
              </w:rPr>
              <w:t>20.</w:t>
            </w:r>
            <w:r>
              <w:rPr>
                <w:rFonts w:hint="eastAsia" w:ascii="宋体" w:hAnsi="宋体" w:eastAsia="宋体" w:cs="宋体"/>
                <w:color w:val="000000" w:themeColor="text1"/>
                <w:sz w:val="20"/>
                <w:szCs w:val="22"/>
                <w:highlight w:val="none"/>
                <w14:textFill>
                  <w14:solidFill>
                    <w14:schemeClr w14:val="tx1"/>
                  </w14:solidFill>
                </w14:textFill>
              </w:rPr>
              <w:t>▲提供音频处理AMC增益共享自动混音系统软件证书</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sz w:val="20"/>
                <w:szCs w:val="22"/>
                <w:highlight w:val="none"/>
                <w:lang w:val="en-US" w:eastAsia="zh-CN"/>
                <w14:textFill>
                  <w14:solidFill>
                    <w14:schemeClr w14:val="tx1"/>
                  </w14:solidFill>
                </w14:textFill>
              </w:rPr>
              <w:t>提供证书扫描件</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sz w:val="20"/>
                <w:szCs w:val="22"/>
                <w:highlight w:val="none"/>
                <w14:textFill>
                  <w14:solidFill>
                    <w14:schemeClr w14:val="tx1"/>
                  </w14:solidFill>
                </w14:textFill>
              </w:rPr>
              <w:t xml:space="preserve">                                                                                                                                                                                                                        </w:t>
            </w:r>
            <w:r>
              <w:rPr>
                <w:rFonts w:hint="eastAsia" w:ascii="宋体" w:hAnsi="宋体" w:eastAsia="宋体" w:cs="宋体"/>
                <w:color w:val="000000" w:themeColor="text1"/>
                <w:sz w:val="20"/>
                <w:szCs w:val="22"/>
                <w:highlight w:val="none"/>
                <w:lang w:val="en-US" w:eastAsia="zh-CN"/>
                <w14:textFill>
                  <w14:solidFill>
                    <w14:schemeClr w14:val="tx1"/>
                  </w14:solidFill>
                </w14:textFill>
              </w:rPr>
              <w:t>21.</w:t>
            </w:r>
            <w:r>
              <w:rPr>
                <w:rFonts w:hint="eastAsia" w:ascii="宋体" w:hAnsi="宋体" w:eastAsia="宋体" w:cs="宋体"/>
                <w:color w:val="000000" w:themeColor="text1"/>
                <w:sz w:val="20"/>
                <w:szCs w:val="22"/>
                <w:highlight w:val="none"/>
                <w14:textFill>
                  <w14:solidFill>
                    <w14:schemeClr w14:val="tx1"/>
                  </w14:solidFill>
                </w14:textFill>
              </w:rPr>
              <w:t>▲投标时提供针对数字音频处理器依据GB 4943.1 安全要求</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sz w:val="20"/>
                <w:szCs w:val="22"/>
                <w:highlight w:val="none"/>
                <w:lang w:val="en-US" w:eastAsia="zh-CN"/>
                <w14:textFill>
                  <w14:solidFill>
                    <w14:schemeClr w14:val="tx1"/>
                  </w14:solidFill>
                </w14:textFill>
              </w:rPr>
              <w:t>提供</w:t>
            </w:r>
            <w:r>
              <w:rPr>
                <w:rFonts w:hint="eastAsia" w:ascii="宋体" w:hAnsi="宋体" w:eastAsia="宋体" w:cs="宋体"/>
                <w:color w:val="000000" w:themeColor="text1"/>
                <w:sz w:val="20"/>
                <w:szCs w:val="22"/>
                <w:highlight w:val="none"/>
                <w:lang w:eastAsia="zh-CN"/>
                <w14:textFill>
                  <w14:solidFill>
                    <w14:schemeClr w14:val="tx1"/>
                  </w14:solidFill>
                </w14:textFill>
              </w:rPr>
              <w:t>检验报告扫描件，报告需带有CMA</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或CNAS</w:t>
            </w:r>
            <w:r>
              <w:rPr>
                <w:rFonts w:hint="eastAsia" w:ascii="宋体" w:hAnsi="宋体" w:eastAsia="宋体" w:cs="宋体"/>
                <w:color w:val="000000" w:themeColor="text1"/>
                <w:sz w:val="20"/>
                <w:szCs w:val="22"/>
                <w:highlight w:val="none"/>
                <w:lang w:eastAsia="zh-CN"/>
                <w14:textFill>
                  <w14:solidFill>
                    <w14:schemeClr w14:val="tx1"/>
                  </w14:solidFill>
                </w14:textFill>
              </w:rPr>
              <w:t>标志。</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抑制器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Style w:val="8"/>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1.高性能DSP处理，≥40-bit DPS处理器（400兆主频），提供≥32-bit/48kHz的声音。</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 2.采用“陷波”+“移频”双方式进行反馈抑制。陷波器提供12固定点+12动态点。高精度移频，范围等同或优于-10Hz到10Hz。（提供功能界面截图佐证）</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 3.均衡器支持≥31段图示均衡器和8段参量均衡器。（提供功能界面截图佐证）</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4.支持巴特沃斯，贝塞尔，林克威治-瑞利三种类型及多种倍频程。</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5.具有自动增益功能，声音达到一定峰值自动衰减变小，声音较小则自动增益放大。</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6.具有一个IPS真彩显示屏。支持中英文切换显示。</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7.具有≥48个陷波器状态LED指示灯实时显示，每通道≥12个静态+≥12个动态陷波器。</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8.具有≥双通道直通，一键重置陷波点配置功能。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9.支持≥4个场景切换。</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10.支持设备定位功能、断电自动保护记忆功能。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11.输入通道及插座≥2路XLR与TRS多功能座模拟输入；输出通道及插座≥2路XLR公座+≥2路TRS公座模拟输出。</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12.支持通过后台管理软件对多台设备进行批量升级。</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27</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电源管理器</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1.支持≥8通道电源时序打开/关闭，支持远程控制（上电+24V直流信号）≥8通道电源时序打开/关闭—当电源开关锁处于off位置时有效。支持配置CH1和CH2通道为受控或不受控状态。</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2.当远程控制有效时同时控制后板ALARM（报警）端口导通以起到级联控制ALARM（报警）功能。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3.单个通道最大负载功率≥3500W，所有通道负载总功率达≥6000W，输入连接器：大功率线码式电源连接器。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4.输出连接器：≥2个16A，≥2个16A接线端子和≥4个10A电源插座。</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5.具有≥1路USB接口。</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28</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cs="宋体" w:eastAsiaTheme="minorEastAsia"/>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电源管理器</w:t>
            </w:r>
            <w:r>
              <w:rPr>
                <w:rFonts w:hint="eastAsia"/>
                <w:color w:val="000000" w:themeColor="text1"/>
                <w:highlight w:val="none"/>
                <w:lang w:val="en-US" w:eastAsia="zh-CN"/>
                <w14:textFill>
                  <w14:solidFill>
                    <w14:schemeClr w14:val="tx1"/>
                  </w14:solidFill>
                </w14:textFill>
              </w:rPr>
              <w:t>2</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1.支持≥8通道电源时序打开/关闭，每路动作延时时间：≤1秒，支持远程控制（上电+24V直流信号）8通道电源时序打开/关闭—当电源开关处于off位置时有效。支持配置CH1和CH2通道为受控或不受控状态。</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2.当远程控制有效时同时控制后板ALARM（报警）端口导通以起到级联控制ALARM（报警）功能。</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3.单个通道最大负载功率≥2200W，所有通道负载总功率≥6000W。</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输出连接器：多用途电源插座。</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.具有一路及以上USB输出接口。</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6</w:t>
            </w: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、无线会议发言系统</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会议话筒处理器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1.超快自动反馈抑制, 检测啸叫时间: ≤0.4s @ 1KHz</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 xml:space="preserve">2.双通道，每通道≥12个频率自动搜寻反馈抑制点 </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 xml:space="preserve">3.每个滤波器带有独立动态和静态滤波，可自动处理和锁定 </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4.准确地识别音乐和反馈信号</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 xml:space="preserve">5.LED灯指示输入信号强度 </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 xml:space="preserve">6.增加余量并降低本底噪音 </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7.即插即用，操作简单</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sz w:val="20"/>
                <w:szCs w:val="20"/>
                <w:highlight w:val="none"/>
                <w14:textFill>
                  <w14:solidFill>
                    <w14:schemeClr w14:val="tx1"/>
                  </w14:solidFill>
                </w14:textFill>
              </w:rPr>
              <w:t xml:space="preserve"> </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8.1/40倍频程带宽陷波器，最大限度确保声音保真度</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9.动态范围 ≥110dB(A)</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10.反馈抑制时间 ≤0.4s @ 1KHz</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11.最大输出电平 ≤14dBu</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12.失真度 ≤0.0025%  @+4dBu/1KHz</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13.信噪比 ≥100dB(A)</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全数字会议系统主机</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系统采用数字与模拟融合设计，可实现摄像跟踪功能，支持VISCA、PELCO-D/P摄像控制协议，可独立外接一台摄像头进行摄像跟踪，具有视频切换RS232通讯口，可连接高清视频切换器或高清矩阵，最多支持8个摄像头进行摄像联动。                                                                                                     ▲2.内嵌DSP音频处理器，配合DANTE网络音频传输模块，实现音频信号互联互通，模块支持主流网络音频传输协议，自适应反馈抑制（AFC）及自动降噪技术（ANC），对引起啸叫的反馈信号进行深度学习分析，迅速剔除引起啸叫的重复信号，对环境噪音及本底噪音和电流声等进行学习分析，将无用噪音去除。</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3.无线射频技术传输音频及数字控制信号，音质高保真，无压缩感，清晰通透，无线控制信号可靠稳定。</w:t>
            </w:r>
          </w:p>
          <w:p>
            <w:pPr>
              <w:jc w:val="left"/>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 xml:space="preserve">4.主机支持多种会议模式：如先进先出，主席优先模式，开启话筒数量支持1-4只，系统最多可带128只话筒  </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sz w:val="20"/>
                <w:szCs w:val="22"/>
                <w:highlight w:val="none"/>
                <w14:textFill>
                  <w14:solidFill>
                    <w14:schemeClr w14:val="tx1"/>
                  </w14:solidFill>
                </w14:textFill>
              </w:rPr>
              <w:t xml:space="preserve">                                                                                   ▲5.可配合话筒实现指向性可调，支持5种模式：全指向性、心型指向性、超心型指向性、 锐心型指向性、8字型指向性</w:t>
            </w:r>
            <w:r>
              <w:rPr>
                <w:rFonts w:hint="eastAsia" w:ascii="宋体" w:hAnsi="宋体" w:eastAsia="宋体" w:cs="宋体"/>
                <w:color w:val="000000" w:themeColor="text1"/>
                <w:highlight w:val="none"/>
                <w:lang w:val="en-US" w:eastAsia="zh-CN"/>
                <w14:textFill>
                  <w14:solidFill>
                    <w14:schemeClr w14:val="tx1"/>
                  </w14:solidFill>
                </w14:textFill>
              </w:rPr>
              <w:t>。</w:t>
            </w:r>
          </w:p>
          <w:p>
            <w:pPr>
              <w:jc w:val="left"/>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▲6.主机配置4寸触摸屏用于会议主机管理及设置，同时可显示以下信息：</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a、发言模式选择、发言数量限制功能</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b、无线射频编组及无线射频信号强弱显示</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c、AFC自适应反馈抑制开启与关闭</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d、ANC自动降噪开启与关闭</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e、系统音量调节</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f、系统设置及状态查看，中英文切换</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7.内置DANTE网络音频传输，支持主流网络传输协议，实现音频信号互联互通</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8.载波频段≥UHF640MHz-690 MHz</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9.工作有效距离≥60米</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10.灵敏度≥在偏移度等于25KHz,输入6dBv时，S/N&gt;60dB</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11.频率宽度≥30MHz</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12.最大偏移度≥±45KHz</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13.综合信噪比S/N≥105dB</w:t>
            </w:r>
            <w:r>
              <w:rPr>
                <w:rFonts w:hint="eastAsia" w:ascii="宋体" w:hAnsi="宋体" w:eastAsia="宋体" w:cs="宋体"/>
                <w:color w:val="000000" w:themeColor="text1"/>
                <w:highlight w:val="none"/>
                <w:lang w:val="en-US" w:eastAsia="zh-CN"/>
                <w14:textFill>
                  <w14:solidFill>
                    <w14:schemeClr w14:val="tx1"/>
                  </w14:solidFill>
                </w14:textFill>
              </w:rPr>
              <w:t>。</w:t>
            </w:r>
          </w:p>
          <w:p>
            <w:pPr>
              <w:jc w:val="left"/>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14.综合频率响应≥45Hz-18KHz±1dB</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sz w:val="20"/>
                <w:szCs w:val="22"/>
                <w:highlight w:val="none"/>
                <w14:textFill>
                  <w14:solidFill>
                    <w14:schemeClr w14:val="tx1"/>
                  </w14:solidFill>
                </w14:textFill>
              </w:rPr>
              <w:t xml:space="preserve">                                                                                                                                                   </w:t>
            </w:r>
            <w:r>
              <w:rPr>
                <w:rFonts w:hint="eastAsia" w:ascii="宋体" w:hAnsi="宋体" w:eastAsia="宋体" w:cs="宋体"/>
                <w:color w:val="000000" w:themeColor="text1"/>
                <w:sz w:val="20"/>
                <w:szCs w:val="22"/>
                <w:highlight w:val="none"/>
                <w:lang w:val="en-US" w:eastAsia="zh-CN"/>
                <w14:textFill>
                  <w14:solidFill>
                    <w14:schemeClr w14:val="tx1"/>
                  </w14:solidFill>
                </w14:textFill>
              </w:rPr>
              <w:t>15.</w:t>
            </w:r>
            <w:r>
              <w:rPr>
                <w:rFonts w:hint="eastAsia" w:ascii="宋体" w:hAnsi="宋体" w:eastAsia="宋体" w:cs="宋体"/>
                <w:color w:val="000000" w:themeColor="text1"/>
                <w:sz w:val="20"/>
                <w:szCs w:val="22"/>
                <w:highlight w:val="none"/>
                <w14:textFill>
                  <w14:solidFill>
                    <w14:schemeClr w14:val="tx1"/>
                  </w14:solidFill>
                </w14:textFill>
              </w:rPr>
              <w:t>▲投标时提供针对会议主机依据GB 4943.1 安全要求</w:t>
            </w:r>
            <w:r>
              <w:rPr>
                <w:rFonts w:hint="eastAsia" w:ascii="宋体" w:hAnsi="宋体" w:eastAsia="宋体" w:cs="宋体"/>
                <w:color w:val="000000" w:themeColor="text1"/>
                <w:sz w:val="20"/>
                <w:szCs w:val="22"/>
                <w:highlight w:val="none"/>
                <w:lang w:eastAsia="zh-CN"/>
                <w14:textFill>
                  <w14:solidFill>
                    <w14:schemeClr w14:val="tx1"/>
                  </w14:solidFill>
                </w14:textFill>
              </w:rPr>
              <w:t>，</w:t>
            </w:r>
            <w:r>
              <w:rPr>
                <w:rFonts w:hint="eastAsia" w:ascii="宋体" w:hAnsi="宋体" w:eastAsia="宋体" w:cs="宋体"/>
                <w:color w:val="000000" w:themeColor="text1"/>
                <w:sz w:val="20"/>
                <w:szCs w:val="22"/>
                <w:highlight w:val="none"/>
                <w:lang w:val="en-US" w:eastAsia="zh-CN"/>
                <w14:textFill>
                  <w14:solidFill>
                    <w14:schemeClr w14:val="tx1"/>
                  </w14:solidFill>
                </w14:textFill>
              </w:rPr>
              <w:t>提供</w:t>
            </w:r>
            <w:r>
              <w:rPr>
                <w:rFonts w:hint="eastAsia" w:ascii="宋体" w:hAnsi="宋体" w:eastAsia="宋体" w:cs="宋体"/>
                <w:color w:val="000000" w:themeColor="text1"/>
                <w:sz w:val="20"/>
                <w:szCs w:val="22"/>
                <w:highlight w:val="none"/>
                <w:lang w:eastAsia="zh-CN"/>
                <w14:textFill>
                  <w14:solidFill>
                    <w14:schemeClr w14:val="tx1"/>
                  </w14:solidFill>
                </w14:textFill>
              </w:rPr>
              <w:t>检验报告扫描件，报告需带有CMA</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或CNAS</w:t>
            </w:r>
            <w:r>
              <w:rPr>
                <w:rFonts w:hint="eastAsia" w:ascii="宋体" w:hAnsi="宋体" w:eastAsia="宋体" w:cs="宋体"/>
                <w:color w:val="000000" w:themeColor="text1"/>
                <w:sz w:val="20"/>
                <w:szCs w:val="22"/>
                <w:highlight w:val="none"/>
                <w:lang w:eastAsia="zh-CN"/>
                <w14:textFill>
                  <w14:solidFill>
                    <w14:schemeClr w14:val="tx1"/>
                  </w14:solidFill>
                </w14:textFill>
              </w:rPr>
              <w:t>标志。</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数字会议系统</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1.软件内嵌于会议系统主机设备，应用于对传音会议系统音频传输软件的管理或控制。</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2.支持同声传译功能。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3.内置DSP音频处理技术，支持EQ均衡调节音频处理能力。</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4.支持话筒管理能力，通过不同的模式限制话筒发言数量。</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5.软件支持根据话筒ID提供不同的代码编号给中控系统，与中控系统对接后，可实现摄像自动跟踪功能。</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会议</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主席</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话筒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1.特殊驻极体电容式双咪芯设计，音质清晰明亮、灵敏度高</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2.配备≥2寸高清真彩屏，可显示话筒电池电量情况、信号强度、话筒工作状态，话筒所在通道编组及ID号。</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3.采用无线射频技术传输音频信号和控制管理信号</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4.配合摄像跟踪主机，使用电脑预设后，可进行摄像机自动跟踪</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5.使用者可根据不同环境、位置、会议方式、演讲者的需求来调整话筒的指向性，从而达到一个最佳拾音效果，支持5种模式：全指向性、心型指向性、超心型指向性、锐心型指向性、8字型指向性</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6.主席具有优先按键功能及主席优先模式</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7.超底功耗电路设计，内置大容量锂电池，可通过充电箱进行充电</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8.配合主机可实现网络音频传输，实现音频信号互联互通</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9.会议单元有唯一的序列号，会议系统可以自动给会议单元分配ID。</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10.载波频段≥UHF640MHz-690MHz</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786"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全数字会议系统音频传输内嵌软件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1.软件内嵌于会议单元设备，应用于对全数字会议系统音频传输软件的管理或控制。</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2.支持中英文语言管理界面。</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3.支持电池管理功能，可显示电量/信号等信息</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会议</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客席</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话筒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1.特殊驻极体电容式双咪芯设计，音质清晰明亮、灵敏度高</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2.配备≥2寸高清真彩屏，可显示话筒电池电量情况、信号强度、话筒工作状态，话筒所在通道编组及ID号。</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3.采用无线射频技术传输音频信号和控制管理信号</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4.配合摄像跟踪主机，使用电脑预设后，可进行摄像机自动跟踪</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5.使用者可根据不同环境、位置、会议方式、演讲者的需求来调整话筒的指向性，从而达到一个最佳拾音效果，支持5种模式：全指向性、心型指向性、超心型指向性、锐心型指向性、8字型指向性</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6.超底功耗电路设计，内置大容量锂电池，可通过充电箱进行充电</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7.配合主机可实现网络音频传输，实现音频信号互联互通</w:t>
            </w:r>
            <w:r>
              <w:rPr>
                <w:rFonts w:hint="eastAsia" w:ascii="宋体" w:hAnsi="宋体" w:eastAsia="宋体" w:cs="宋体"/>
                <w:color w:val="000000" w:themeColor="text1"/>
                <w:highlight w:val="none"/>
                <w:lang w:val="en-US" w:eastAsia="zh-CN"/>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8.会议单元有唯一的序列号，会议系统可以自动给会议单元分配 ID。</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9.载波频段≥UHF640MHz-690MHz</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全数字会议系统音频传输内嵌软件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1.软件内嵌于会议单元设备，应用于对全数字会议系统音频传输软件的管理或控制。</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2.支持中英文语言管理界面。</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.支持电池管理功能，可显示电量/信号等信息</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充电箱</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1.充电箱具有≥10个USB接口，支持使用USB线充电，提供5V/9V供电。一端连接充电器一端连接会议单元,支持18W快充。支持同时插满所有USB接口。</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2.根据设备的耐受电流大小充电器会自动匹配合适的电流大小给设备充电，同时有过流保护功能。</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3.智能自动电路保护，所有USB插口均具有短路保护功能和自恢复功能。</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发射器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1.遵从Wi-Fi 6协议标准（IEEE 802.11ax），向下兼容802.11a/b/g/n/ac/Wave2，支持MU-MIMO，允许AP同时接收多个终端发送数据，整机最大传输速率可达1.601Gbps</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2.支持OFDMA空间复用技术和1024QAM调制解调算法。</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3.支持中文SSID，可指定最长包含≥31个字符的SSID，也可以使用中英文混合的SSID</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4.支持WPA3安全协议。</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5.支持等同或优于80/160MHz的高带宽频段。</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电源适配器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1.功率：30W</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2.POE供电距离：100m</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3.网口类型：千兆</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符合IEEE 802.3af PoE供电标准</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7</w:t>
            </w: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、中控系统</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网络中控主机</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1.▲多核CPU,速率高达1.4G, IG内存，支持128G Flash闪存；（提供</w:t>
            </w:r>
            <w:r>
              <w:rPr>
                <w:rFonts w:hint="eastAsia" w:ascii="宋体" w:hAnsi="宋体" w:eastAsia="宋体" w:cs="宋体"/>
                <w:color w:val="000000" w:themeColor="text1"/>
                <w:sz w:val="20"/>
                <w:szCs w:val="22"/>
                <w:highlight w:val="none"/>
                <w:lang w:val="en-US" w:eastAsia="zh-CN"/>
                <w14:textFill>
                  <w14:solidFill>
                    <w14:schemeClr w14:val="tx1"/>
                  </w14:solidFill>
                </w14:textFill>
              </w:rPr>
              <w:t>第三方检测</w:t>
            </w:r>
            <w:r>
              <w:rPr>
                <w:rFonts w:hint="eastAsia" w:ascii="宋体" w:hAnsi="宋体" w:eastAsia="宋体" w:cs="宋体"/>
                <w:color w:val="000000" w:themeColor="text1"/>
                <w:sz w:val="20"/>
                <w:szCs w:val="22"/>
                <w:highlight w:val="none"/>
                <w14:textFill>
                  <w14:solidFill>
                    <w14:schemeClr w14:val="tx1"/>
                  </w14:solidFill>
                </w14:textFill>
              </w:rPr>
              <w:t>机构出具的检测报告</w:t>
            </w:r>
            <w:r>
              <w:rPr>
                <w:rFonts w:hint="eastAsia" w:ascii="宋体" w:hAnsi="宋体" w:eastAsia="宋体" w:cs="宋体"/>
                <w:color w:val="000000" w:themeColor="text1"/>
                <w:sz w:val="20"/>
                <w:szCs w:val="22"/>
                <w:highlight w:val="none"/>
                <w:lang w:eastAsia="zh-CN"/>
                <w14:textFill>
                  <w14:solidFill>
                    <w14:schemeClr w14:val="tx1"/>
                  </w14:solidFill>
                </w14:textFill>
              </w:rPr>
              <w:t>扫描件</w:t>
            </w:r>
            <w:r>
              <w:rPr>
                <w:rFonts w:hint="eastAsia" w:ascii="宋体" w:hAnsi="宋体" w:eastAsia="宋体" w:cs="宋体"/>
                <w:color w:val="000000" w:themeColor="text1"/>
                <w:sz w:val="20"/>
                <w:szCs w:val="22"/>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2.支持多台触摸屏同时使用，双向通讯机制，实时反馈受控设备真实状态。</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3.控制界面支持普通按钮、图形按钮、异形按钮、有声按钮、图片、文本、编辑框、进度条、拖动条、天气、日期时间、视频、网页、流媒体、摄像机画面、拖拽、静态列表、动态列表、大数据可视化图表、全屏页面、子页面、封装库、用户自定义页面等控件。</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4.支持用户直接在触摸屏上修改按键外观及功能，方便用户根据使用情况自行调整。</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5.▲8路串口，所有端口均支持RS-232、RS-422、RS-485、DMX512、ModBus双向控制协议，第一、第五路支持24V供电输出。（</w:t>
            </w:r>
            <w:r>
              <w:rPr>
                <w:rFonts w:hint="eastAsia" w:ascii="宋体" w:hAnsi="宋体" w:eastAsia="宋体" w:cs="宋体"/>
                <w:color w:val="000000" w:themeColor="text1"/>
                <w:sz w:val="20"/>
                <w:szCs w:val="22"/>
                <w:highlight w:val="none"/>
                <w:lang w:eastAsia="zh-CN"/>
                <w14:textFill>
                  <w14:solidFill>
                    <w14:schemeClr w14:val="tx1"/>
                  </w14:solidFill>
                </w14:textFill>
              </w:rPr>
              <w:t>提供第三方检测机构出具的检测报告扫描件</w:t>
            </w:r>
            <w:r>
              <w:rPr>
                <w:rFonts w:hint="eastAsia" w:ascii="宋体" w:hAnsi="宋体" w:eastAsia="宋体" w:cs="宋体"/>
                <w:color w:val="000000" w:themeColor="text1"/>
                <w:sz w:val="20"/>
                <w:szCs w:val="22"/>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6.两路带供电系统总线，可连接电源管理器、调光器等中控周边设备。</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7.一路LAN网络接口，集成网络控制功能，支持控制第三方网络受控设备。</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8.支持数字量、模拟量、串行量、多维变量等多种类型控制变量。</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9.支持多线程任意时序控制功能，实现多个设备间软硬件协同同步功能。</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10.▲支持2路带供电T-NET总线信号管理，支持1路Ethernet接口，支持1路红外仿真输出接口，支持1路红外学习接口。（</w:t>
            </w:r>
            <w:r>
              <w:rPr>
                <w:rFonts w:hint="eastAsia" w:ascii="宋体" w:hAnsi="宋体" w:eastAsia="宋体" w:cs="宋体"/>
                <w:color w:val="000000" w:themeColor="text1"/>
                <w:sz w:val="20"/>
                <w:szCs w:val="22"/>
                <w:highlight w:val="none"/>
                <w:lang w:eastAsia="zh-CN"/>
                <w14:textFill>
                  <w14:solidFill>
                    <w14:schemeClr w14:val="tx1"/>
                  </w14:solidFill>
                </w14:textFill>
              </w:rPr>
              <w:t>提供第三方检测机构出具的检测报告扫描件</w:t>
            </w:r>
            <w:r>
              <w:rPr>
                <w:rFonts w:hint="eastAsia" w:ascii="宋体" w:hAnsi="宋体" w:eastAsia="宋体" w:cs="宋体"/>
                <w:color w:val="000000" w:themeColor="text1"/>
                <w:sz w:val="20"/>
                <w:szCs w:val="22"/>
                <w:highlight w:val="none"/>
                <w14:textFill>
                  <w14:solidFill>
                    <w14:schemeClr w14:val="tx1"/>
                  </w14:solidFill>
                </w14:textFill>
              </w:rPr>
              <w:t>）</w:t>
            </w:r>
          </w:p>
          <w:p>
            <w:pPr>
              <w:textAlignment w:val="center"/>
              <w:rPr>
                <w:rFonts w:hint="eastAsia" w:ascii="宋体" w:hAnsi="宋体" w:eastAsia="宋体" w:cs="宋体"/>
                <w:color w:val="000000" w:themeColor="text1"/>
                <w:sz w:val="20"/>
                <w:szCs w:val="22"/>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 xml:space="preserve">11.设备编程方式支持自定义宏、可编辑宏、可导入或导出宏，支持图形化和语句式编程，具备时间轴、多线程时间编辑功能，支持操控屏直接编程，用户可自行编辑按键形式及按键的执行联动操作内容。                                  </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2"/>
                <w:highlight w:val="none"/>
                <w14:textFill>
                  <w14:solidFill>
                    <w14:schemeClr w14:val="tx1"/>
                  </w14:solidFill>
                </w14:textFill>
              </w:rPr>
              <w:t>12.设备可建立自有的红外代码数据库，或下载最新的红外代码库，可实现一键发双代码等红外逻辑控制。</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网络中控系统逻辑处理内嵌软件</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1.软件内嵌于中央控制系统主机设备，实现系统控制逻辑、处理等功能。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2.主要包括硬件逻辑模块、软件逻辑模块、红外代码管理、编译、下载、监视等。</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3.编程软件支持添加与实际工程对应硬件的逻辑模块。</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4.实现串口代码数据、IR红外数据、继电器、I/O数据等的代码转发、逻辑算法处理等编程功能。</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5.支持界面设计软件实现中控控制界面的制作及编辑，支持互锁模式，支持3D按键等灵活的按键设计模块。</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无线路由器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增强版双千兆路由器 1200M高速双频</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 xml:space="preserve"> </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wifi无线穿墙路由</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 xml:space="preserve"> </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5G双频智能无线路由 </w:t>
            </w:r>
            <w:r>
              <w:rPr>
                <w:rFonts w:hint="eastAsia" w:ascii="宋体" w:hAnsi="宋体" w:eastAsia="宋体" w:cs="宋体"/>
                <w:color w:val="000000" w:themeColor="text1"/>
                <w:highlight w:val="none"/>
                <w:lang w:val="en-US" w:eastAsia="zh-CN"/>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安卓平板电脑</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10.95英寸 120Hz高刷全面屏 鸿蒙HarmonyOS 影音娱乐办公学习平板电脑8+128GB WIFI  处理器骁龙865</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控制器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1.具有≥8路自动、手动电源控制器，内置≥8个20A继电器，负载能力≥4400W/单路；配合中控主机使用，用于控制灯光、电动投影幕、电动窗帘等会议室周边设备。</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2.每路继电器都有三连接点的接线柱,具有常开与常闭的功能。</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3.具有复位按键，支持恢复到出厂的默认设置。具有1路网络接口，支持通过网络实现远程控制。</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4.具有设备运行状态指示灯及≥8个继电器的开关状态指示灯。</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5.具有键盘锁（LOCK）功能。</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6.机器具备ID识别，通过中控主机网络控制多台时，可通过ID识别。</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8、辅助材料</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8.1 周边配套设备</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机柜</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42U机柜，600*800*2055mm</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8口PDU国标电源插排×1，固定板部件×3,风扇×4,2"重型脚轮×4，M12支脚×4，M6方螺母螺钉×40，内六角扳手×1</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音频隔离器</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1.一款双通道音频隔离器。</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2.低底噪、无50Hz交流“嗡”声、无高频“嗞啦”干扰。</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3.点对点平衡传输音频，可以选择前面板2个接口中的任意一个COMBO接口输入，从后面板对应COMBO接口输出。</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4.即插即用，支持热插拨。</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5.隔离滤波音频传输最远传输信号等同或优于450－600米。</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6.内置瞬态、浪涌抑制、抗静电保护电路。</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7.具有≥2路XLR输入；具有≥2路XLR输出</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声卡</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1.电脑播放声卡，带有≥2个音频专用隔离变压器，可对电脑端的地电位噪声进行电磁隔离。</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2.具有≥2个XLR卡侬输出口，可单独音量调节。具有≥1个6.35mm耳机输出口，可单独音量调节。</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3.具有≥1路USB2.0输入</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4.频率响应等同或优于20Hz-20kHz (0/-0.5dB)</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24口</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交换机</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千兆/非网管/桌面式</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台</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音箱地插盒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120型银边(六位),128模块 尺寸120x120mm：音箱插口(弹起式/欧姆头)*2</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多媒体插座</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1个电源，1个HDMI，1个音频，1个网口</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套</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8.2 设备跳线</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音频连接线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5米音频连接线：卡侬头（母）-卡侬头（公）</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14</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音频连接线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5米音频连接线：卡农头（母）-空</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音频连接线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1.8米音频连接线：卡农头（公）-空</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音频连接线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5米音频连接线：莲花（RCA）-6.35话筒插头</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音频连接线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5米音频连接线：3.5（耳机插头）-双6.35话筒插头</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音频连接线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3米音频连接线：6.35话筒插头-卡侬头（公）</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根</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8.3 辅助线材</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线材</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双芯咪线RVPE2*0.5，100米/卷</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按需</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线材</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1.金银组合喇叭线</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2.屏蔽:铝箔+144镀锡铜编织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3.外被: PVC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4.导体: 精炼铜线芯</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5.芯数：300芯*2</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6.100米/卷</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按需</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线材</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1.分辨率:3840*2160，60Hz</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2.屏蔽:铝箔+编织+地线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3.外被: PVC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4.线芯: 镀锡铜</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5.支持HDMI 2.0版本</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6.规格：长度1.5米</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7.HDMI头大小：20*26*10.5mm，线径：7.3mm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线材</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1.分辨率:1920*1080，60Hz</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2.屏蔽:铝箔+编织+地线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3.外被: PVC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4.线芯: 镀锡铜</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5.支持HDMI 2.0版本</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6.规格：长度30米</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7.HDMI头大小：20*26*10.5mm，线径：9mm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snapToGrid w:val="0"/>
                <w:color w:val="000000" w:themeColor="text1"/>
                <w:highlight w:val="none"/>
                <w:lang w:val="en-US" w:eastAsia="zh-CN"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线材</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1.HD-SDI视频监控线</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2.屏蔽:铝箔+144镀锡铜编织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3.外被: PVC </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4.导体: 1.00mm精选铜</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5.200米/卷</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按需</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线材</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直径7.2mm，馈线50-5-1，200/卷</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按需</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7</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线材</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六类屏蔽网线</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8</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水晶头</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六类水晶头</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9</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38496" behindDoc="0" locked="0" layoutInCell="1" allowOverlap="1">
                  <wp:simplePos x="0" y="0"/>
                  <wp:positionH relativeFrom="column">
                    <wp:posOffset>0</wp:posOffset>
                  </wp:positionH>
                  <wp:positionV relativeFrom="paragraph">
                    <wp:posOffset>0</wp:posOffset>
                  </wp:positionV>
                  <wp:extent cx="301625" cy="291465"/>
                  <wp:effectExtent l="0" t="0" r="0" b="0"/>
                  <wp:wrapNone/>
                  <wp:docPr id="508" name="rect"/>
                  <wp:cNvGraphicFramePr/>
                  <a:graphic xmlns:a="http://schemas.openxmlformats.org/drawingml/2006/main">
                    <a:graphicData uri="http://schemas.openxmlformats.org/drawingml/2006/picture">
                      <pic:pic xmlns:pic="http://schemas.openxmlformats.org/drawingml/2006/picture">
                        <pic:nvPicPr>
                          <pic:cNvPr id="508" name="rect"/>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39520" behindDoc="0" locked="0" layoutInCell="1" allowOverlap="1">
                  <wp:simplePos x="0" y="0"/>
                  <wp:positionH relativeFrom="column">
                    <wp:posOffset>0</wp:posOffset>
                  </wp:positionH>
                  <wp:positionV relativeFrom="paragraph">
                    <wp:posOffset>0</wp:posOffset>
                  </wp:positionV>
                  <wp:extent cx="301625" cy="291465"/>
                  <wp:effectExtent l="0" t="0" r="0" b="0"/>
                  <wp:wrapNone/>
                  <wp:docPr id="509" name="rect_SpCnt_1"/>
                  <wp:cNvGraphicFramePr/>
                  <a:graphic xmlns:a="http://schemas.openxmlformats.org/drawingml/2006/main">
                    <a:graphicData uri="http://schemas.openxmlformats.org/drawingml/2006/picture">
                      <pic:pic xmlns:pic="http://schemas.openxmlformats.org/drawingml/2006/picture">
                        <pic:nvPicPr>
                          <pic:cNvPr id="509" name="rect_SpCnt_1"/>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40544" behindDoc="0" locked="0" layoutInCell="1" allowOverlap="1">
                  <wp:simplePos x="0" y="0"/>
                  <wp:positionH relativeFrom="column">
                    <wp:posOffset>0</wp:posOffset>
                  </wp:positionH>
                  <wp:positionV relativeFrom="paragraph">
                    <wp:posOffset>0</wp:posOffset>
                  </wp:positionV>
                  <wp:extent cx="301625" cy="291465"/>
                  <wp:effectExtent l="0" t="0" r="0" b="0"/>
                  <wp:wrapNone/>
                  <wp:docPr id="510" name="rect_SpCnt_2"/>
                  <wp:cNvGraphicFramePr/>
                  <a:graphic xmlns:a="http://schemas.openxmlformats.org/drawingml/2006/main">
                    <a:graphicData uri="http://schemas.openxmlformats.org/drawingml/2006/picture">
                      <pic:pic xmlns:pic="http://schemas.openxmlformats.org/drawingml/2006/picture">
                        <pic:nvPicPr>
                          <pic:cNvPr id="510" name="rect_SpCnt_2"/>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37472" behindDoc="0" locked="0" layoutInCell="1" allowOverlap="1">
                  <wp:simplePos x="0" y="0"/>
                  <wp:positionH relativeFrom="column">
                    <wp:posOffset>0</wp:posOffset>
                  </wp:positionH>
                  <wp:positionV relativeFrom="paragraph">
                    <wp:posOffset>0</wp:posOffset>
                  </wp:positionV>
                  <wp:extent cx="301625" cy="291465"/>
                  <wp:effectExtent l="0" t="0" r="0" b="0"/>
                  <wp:wrapNone/>
                  <wp:docPr id="507" name="rect_SpCnt_3"/>
                  <wp:cNvGraphicFramePr/>
                  <a:graphic xmlns:a="http://schemas.openxmlformats.org/drawingml/2006/main">
                    <a:graphicData uri="http://schemas.openxmlformats.org/drawingml/2006/picture">
                      <pic:pic xmlns:pic="http://schemas.openxmlformats.org/drawingml/2006/picture">
                        <pic:nvPicPr>
                          <pic:cNvPr id="507" name="rect_SpCnt_3"/>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47712" behindDoc="0" locked="0" layoutInCell="1" allowOverlap="1">
                  <wp:simplePos x="0" y="0"/>
                  <wp:positionH relativeFrom="column">
                    <wp:posOffset>0</wp:posOffset>
                  </wp:positionH>
                  <wp:positionV relativeFrom="paragraph">
                    <wp:posOffset>0</wp:posOffset>
                  </wp:positionV>
                  <wp:extent cx="301625" cy="291465"/>
                  <wp:effectExtent l="0" t="0" r="0" b="0"/>
                  <wp:wrapNone/>
                  <wp:docPr id="517" name="rect_SpCnt_4"/>
                  <wp:cNvGraphicFramePr/>
                  <a:graphic xmlns:a="http://schemas.openxmlformats.org/drawingml/2006/main">
                    <a:graphicData uri="http://schemas.openxmlformats.org/drawingml/2006/picture">
                      <pic:pic xmlns:pic="http://schemas.openxmlformats.org/drawingml/2006/picture">
                        <pic:nvPicPr>
                          <pic:cNvPr id="517" name="rect_SpCnt_4"/>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61024" behindDoc="0" locked="0" layoutInCell="1" allowOverlap="1">
                  <wp:simplePos x="0" y="0"/>
                  <wp:positionH relativeFrom="column">
                    <wp:posOffset>0</wp:posOffset>
                  </wp:positionH>
                  <wp:positionV relativeFrom="paragraph">
                    <wp:posOffset>0</wp:posOffset>
                  </wp:positionV>
                  <wp:extent cx="301625" cy="291465"/>
                  <wp:effectExtent l="0" t="0" r="0" b="0"/>
                  <wp:wrapNone/>
                  <wp:docPr id="530" name="rect_SpCnt_5"/>
                  <wp:cNvGraphicFramePr/>
                  <a:graphic xmlns:a="http://schemas.openxmlformats.org/drawingml/2006/main">
                    <a:graphicData uri="http://schemas.openxmlformats.org/drawingml/2006/picture">
                      <pic:pic xmlns:pic="http://schemas.openxmlformats.org/drawingml/2006/picture">
                        <pic:nvPicPr>
                          <pic:cNvPr id="530" name="rect_SpCnt_5"/>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67168" behindDoc="0" locked="0" layoutInCell="1" allowOverlap="1">
                  <wp:simplePos x="0" y="0"/>
                  <wp:positionH relativeFrom="column">
                    <wp:posOffset>0</wp:posOffset>
                  </wp:positionH>
                  <wp:positionV relativeFrom="paragraph">
                    <wp:posOffset>0</wp:posOffset>
                  </wp:positionV>
                  <wp:extent cx="301625" cy="291465"/>
                  <wp:effectExtent l="0" t="0" r="0" b="0"/>
                  <wp:wrapNone/>
                  <wp:docPr id="536" name="rect_SpCnt_6"/>
                  <wp:cNvGraphicFramePr/>
                  <a:graphic xmlns:a="http://schemas.openxmlformats.org/drawingml/2006/main">
                    <a:graphicData uri="http://schemas.openxmlformats.org/drawingml/2006/picture">
                      <pic:pic xmlns:pic="http://schemas.openxmlformats.org/drawingml/2006/picture">
                        <pic:nvPicPr>
                          <pic:cNvPr id="536" name="rect_SpCnt_6"/>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62048" behindDoc="0" locked="0" layoutInCell="1" allowOverlap="1">
                  <wp:simplePos x="0" y="0"/>
                  <wp:positionH relativeFrom="column">
                    <wp:posOffset>0</wp:posOffset>
                  </wp:positionH>
                  <wp:positionV relativeFrom="paragraph">
                    <wp:posOffset>0</wp:posOffset>
                  </wp:positionV>
                  <wp:extent cx="301625" cy="291465"/>
                  <wp:effectExtent l="0" t="0" r="0" b="0"/>
                  <wp:wrapNone/>
                  <wp:docPr id="531" name="rect_SpCnt_7"/>
                  <wp:cNvGraphicFramePr/>
                  <a:graphic xmlns:a="http://schemas.openxmlformats.org/drawingml/2006/main">
                    <a:graphicData uri="http://schemas.openxmlformats.org/drawingml/2006/picture">
                      <pic:pic xmlns:pic="http://schemas.openxmlformats.org/drawingml/2006/picture">
                        <pic:nvPicPr>
                          <pic:cNvPr id="531" name="rect_SpCnt_7"/>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46688" behindDoc="0" locked="0" layoutInCell="1" allowOverlap="1">
                  <wp:simplePos x="0" y="0"/>
                  <wp:positionH relativeFrom="column">
                    <wp:posOffset>0</wp:posOffset>
                  </wp:positionH>
                  <wp:positionV relativeFrom="paragraph">
                    <wp:posOffset>0</wp:posOffset>
                  </wp:positionV>
                  <wp:extent cx="301625" cy="291465"/>
                  <wp:effectExtent l="0" t="0" r="0" b="0"/>
                  <wp:wrapNone/>
                  <wp:docPr id="516" name="rect_SpCnt_8"/>
                  <wp:cNvGraphicFramePr/>
                  <a:graphic xmlns:a="http://schemas.openxmlformats.org/drawingml/2006/main">
                    <a:graphicData uri="http://schemas.openxmlformats.org/drawingml/2006/picture">
                      <pic:pic xmlns:pic="http://schemas.openxmlformats.org/drawingml/2006/picture">
                        <pic:nvPicPr>
                          <pic:cNvPr id="516" name="rect_SpCnt_8"/>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43616" behindDoc="0" locked="0" layoutInCell="1" allowOverlap="1">
                  <wp:simplePos x="0" y="0"/>
                  <wp:positionH relativeFrom="column">
                    <wp:posOffset>0</wp:posOffset>
                  </wp:positionH>
                  <wp:positionV relativeFrom="paragraph">
                    <wp:posOffset>0</wp:posOffset>
                  </wp:positionV>
                  <wp:extent cx="301625" cy="291465"/>
                  <wp:effectExtent l="0" t="0" r="0" b="0"/>
                  <wp:wrapNone/>
                  <wp:docPr id="513" name="rect_SpCnt_9"/>
                  <wp:cNvGraphicFramePr/>
                  <a:graphic xmlns:a="http://schemas.openxmlformats.org/drawingml/2006/main">
                    <a:graphicData uri="http://schemas.openxmlformats.org/drawingml/2006/picture">
                      <pic:pic xmlns:pic="http://schemas.openxmlformats.org/drawingml/2006/picture">
                        <pic:nvPicPr>
                          <pic:cNvPr id="513" name="rect_SpCnt_9"/>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48736" behindDoc="0" locked="0" layoutInCell="1" allowOverlap="1">
                  <wp:simplePos x="0" y="0"/>
                  <wp:positionH relativeFrom="column">
                    <wp:posOffset>0</wp:posOffset>
                  </wp:positionH>
                  <wp:positionV relativeFrom="paragraph">
                    <wp:posOffset>0</wp:posOffset>
                  </wp:positionV>
                  <wp:extent cx="301625" cy="291465"/>
                  <wp:effectExtent l="0" t="0" r="0" b="0"/>
                  <wp:wrapNone/>
                  <wp:docPr id="518" name="rect_SpCnt_10"/>
                  <wp:cNvGraphicFramePr/>
                  <a:graphic xmlns:a="http://schemas.openxmlformats.org/drawingml/2006/main">
                    <a:graphicData uri="http://schemas.openxmlformats.org/drawingml/2006/picture">
                      <pic:pic xmlns:pic="http://schemas.openxmlformats.org/drawingml/2006/picture">
                        <pic:nvPicPr>
                          <pic:cNvPr id="518" name="rect_SpCnt_10"/>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44640" behindDoc="0" locked="0" layoutInCell="1" allowOverlap="1">
                  <wp:simplePos x="0" y="0"/>
                  <wp:positionH relativeFrom="column">
                    <wp:posOffset>0</wp:posOffset>
                  </wp:positionH>
                  <wp:positionV relativeFrom="paragraph">
                    <wp:posOffset>0</wp:posOffset>
                  </wp:positionV>
                  <wp:extent cx="301625" cy="291465"/>
                  <wp:effectExtent l="0" t="0" r="0" b="0"/>
                  <wp:wrapNone/>
                  <wp:docPr id="514" name="rect_SpCnt_11"/>
                  <wp:cNvGraphicFramePr/>
                  <a:graphic xmlns:a="http://schemas.openxmlformats.org/drawingml/2006/main">
                    <a:graphicData uri="http://schemas.openxmlformats.org/drawingml/2006/picture">
                      <pic:pic xmlns:pic="http://schemas.openxmlformats.org/drawingml/2006/picture">
                        <pic:nvPicPr>
                          <pic:cNvPr id="514" name="rect_SpCnt_11"/>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55904" behindDoc="0" locked="0" layoutInCell="1" allowOverlap="1">
                  <wp:simplePos x="0" y="0"/>
                  <wp:positionH relativeFrom="column">
                    <wp:posOffset>0</wp:posOffset>
                  </wp:positionH>
                  <wp:positionV relativeFrom="paragraph">
                    <wp:posOffset>0</wp:posOffset>
                  </wp:positionV>
                  <wp:extent cx="301625" cy="291465"/>
                  <wp:effectExtent l="0" t="0" r="0" b="0"/>
                  <wp:wrapNone/>
                  <wp:docPr id="525" name="rect_SpCnt_12"/>
                  <wp:cNvGraphicFramePr/>
                  <a:graphic xmlns:a="http://schemas.openxmlformats.org/drawingml/2006/main">
                    <a:graphicData uri="http://schemas.openxmlformats.org/drawingml/2006/picture">
                      <pic:pic xmlns:pic="http://schemas.openxmlformats.org/drawingml/2006/picture">
                        <pic:nvPicPr>
                          <pic:cNvPr id="525" name="rect_SpCnt_12"/>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57952" behindDoc="0" locked="0" layoutInCell="1" allowOverlap="1">
                  <wp:simplePos x="0" y="0"/>
                  <wp:positionH relativeFrom="column">
                    <wp:posOffset>0</wp:posOffset>
                  </wp:positionH>
                  <wp:positionV relativeFrom="paragraph">
                    <wp:posOffset>0</wp:posOffset>
                  </wp:positionV>
                  <wp:extent cx="301625" cy="291465"/>
                  <wp:effectExtent l="0" t="0" r="0" b="0"/>
                  <wp:wrapNone/>
                  <wp:docPr id="527" name="rect_SpCnt_13"/>
                  <wp:cNvGraphicFramePr/>
                  <a:graphic xmlns:a="http://schemas.openxmlformats.org/drawingml/2006/main">
                    <a:graphicData uri="http://schemas.openxmlformats.org/drawingml/2006/picture">
                      <pic:pic xmlns:pic="http://schemas.openxmlformats.org/drawingml/2006/picture">
                        <pic:nvPicPr>
                          <pic:cNvPr id="527" name="rect_SpCnt_13"/>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69216" behindDoc="0" locked="0" layoutInCell="1" allowOverlap="1">
                  <wp:simplePos x="0" y="0"/>
                  <wp:positionH relativeFrom="column">
                    <wp:posOffset>0</wp:posOffset>
                  </wp:positionH>
                  <wp:positionV relativeFrom="paragraph">
                    <wp:posOffset>0</wp:posOffset>
                  </wp:positionV>
                  <wp:extent cx="301625" cy="291465"/>
                  <wp:effectExtent l="0" t="0" r="0" b="0"/>
                  <wp:wrapNone/>
                  <wp:docPr id="538" name="rect_SpCnt_14"/>
                  <wp:cNvGraphicFramePr/>
                  <a:graphic xmlns:a="http://schemas.openxmlformats.org/drawingml/2006/main">
                    <a:graphicData uri="http://schemas.openxmlformats.org/drawingml/2006/picture">
                      <pic:pic xmlns:pic="http://schemas.openxmlformats.org/drawingml/2006/picture">
                        <pic:nvPicPr>
                          <pic:cNvPr id="538" name="rect_SpCnt_14"/>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45664" behindDoc="0" locked="0" layoutInCell="1" allowOverlap="1">
                  <wp:simplePos x="0" y="0"/>
                  <wp:positionH relativeFrom="column">
                    <wp:posOffset>0</wp:posOffset>
                  </wp:positionH>
                  <wp:positionV relativeFrom="paragraph">
                    <wp:posOffset>0</wp:posOffset>
                  </wp:positionV>
                  <wp:extent cx="301625" cy="291465"/>
                  <wp:effectExtent l="0" t="0" r="0" b="0"/>
                  <wp:wrapNone/>
                  <wp:docPr id="515" name="rect_SpCnt_15"/>
                  <wp:cNvGraphicFramePr/>
                  <a:graphic xmlns:a="http://schemas.openxmlformats.org/drawingml/2006/main">
                    <a:graphicData uri="http://schemas.openxmlformats.org/drawingml/2006/picture">
                      <pic:pic xmlns:pic="http://schemas.openxmlformats.org/drawingml/2006/picture">
                        <pic:nvPicPr>
                          <pic:cNvPr id="515" name="rect_SpCnt_15"/>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58976" behindDoc="0" locked="0" layoutInCell="1" allowOverlap="1">
                  <wp:simplePos x="0" y="0"/>
                  <wp:positionH relativeFrom="column">
                    <wp:posOffset>0</wp:posOffset>
                  </wp:positionH>
                  <wp:positionV relativeFrom="paragraph">
                    <wp:posOffset>0</wp:posOffset>
                  </wp:positionV>
                  <wp:extent cx="301625" cy="291465"/>
                  <wp:effectExtent l="0" t="0" r="0" b="0"/>
                  <wp:wrapNone/>
                  <wp:docPr id="528" name="rect_SpCnt_16"/>
                  <wp:cNvGraphicFramePr/>
                  <a:graphic xmlns:a="http://schemas.openxmlformats.org/drawingml/2006/main">
                    <a:graphicData uri="http://schemas.openxmlformats.org/drawingml/2006/picture">
                      <pic:pic xmlns:pic="http://schemas.openxmlformats.org/drawingml/2006/picture">
                        <pic:nvPicPr>
                          <pic:cNvPr id="528" name="rect_SpCnt_16"/>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60000" behindDoc="0" locked="0" layoutInCell="1" allowOverlap="1">
                  <wp:simplePos x="0" y="0"/>
                  <wp:positionH relativeFrom="column">
                    <wp:posOffset>0</wp:posOffset>
                  </wp:positionH>
                  <wp:positionV relativeFrom="paragraph">
                    <wp:posOffset>0</wp:posOffset>
                  </wp:positionV>
                  <wp:extent cx="301625" cy="291465"/>
                  <wp:effectExtent l="0" t="0" r="0" b="0"/>
                  <wp:wrapNone/>
                  <wp:docPr id="529" name="rect_SpCnt_17"/>
                  <wp:cNvGraphicFramePr/>
                  <a:graphic xmlns:a="http://schemas.openxmlformats.org/drawingml/2006/main">
                    <a:graphicData uri="http://schemas.openxmlformats.org/drawingml/2006/picture">
                      <pic:pic xmlns:pic="http://schemas.openxmlformats.org/drawingml/2006/picture">
                        <pic:nvPicPr>
                          <pic:cNvPr id="529" name="rect_SpCnt_17"/>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68192" behindDoc="0" locked="0" layoutInCell="1" allowOverlap="1">
                  <wp:simplePos x="0" y="0"/>
                  <wp:positionH relativeFrom="column">
                    <wp:posOffset>0</wp:posOffset>
                  </wp:positionH>
                  <wp:positionV relativeFrom="paragraph">
                    <wp:posOffset>0</wp:posOffset>
                  </wp:positionV>
                  <wp:extent cx="301625" cy="291465"/>
                  <wp:effectExtent l="0" t="0" r="0" b="0"/>
                  <wp:wrapNone/>
                  <wp:docPr id="537" name="rect_SpCnt_18"/>
                  <wp:cNvGraphicFramePr/>
                  <a:graphic xmlns:a="http://schemas.openxmlformats.org/drawingml/2006/main">
                    <a:graphicData uri="http://schemas.openxmlformats.org/drawingml/2006/picture">
                      <pic:pic xmlns:pic="http://schemas.openxmlformats.org/drawingml/2006/picture">
                        <pic:nvPicPr>
                          <pic:cNvPr id="537" name="rect_SpCnt_18"/>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64096" behindDoc="0" locked="0" layoutInCell="1" allowOverlap="1">
                  <wp:simplePos x="0" y="0"/>
                  <wp:positionH relativeFrom="column">
                    <wp:posOffset>0</wp:posOffset>
                  </wp:positionH>
                  <wp:positionV relativeFrom="paragraph">
                    <wp:posOffset>0</wp:posOffset>
                  </wp:positionV>
                  <wp:extent cx="301625" cy="291465"/>
                  <wp:effectExtent l="0" t="0" r="0" b="0"/>
                  <wp:wrapNone/>
                  <wp:docPr id="533" name="rect_SpCnt_19"/>
                  <wp:cNvGraphicFramePr/>
                  <a:graphic xmlns:a="http://schemas.openxmlformats.org/drawingml/2006/main">
                    <a:graphicData uri="http://schemas.openxmlformats.org/drawingml/2006/picture">
                      <pic:pic xmlns:pic="http://schemas.openxmlformats.org/drawingml/2006/picture">
                        <pic:nvPicPr>
                          <pic:cNvPr id="533" name="rect_SpCnt_19"/>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56928" behindDoc="0" locked="0" layoutInCell="1" allowOverlap="1">
                  <wp:simplePos x="0" y="0"/>
                  <wp:positionH relativeFrom="column">
                    <wp:posOffset>0</wp:posOffset>
                  </wp:positionH>
                  <wp:positionV relativeFrom="paragraph">
                    <wp:posOffset>0</wp:posOffset>
                  </wp:positionV>
                  <wp:extent cx="301625" cy="291465"/>
                  <wp:effectExtent l="0" t="0" r="0" b="0"/>
                  <wp:wrapNone/>
                  <wp:docPr id="526" name="rect_SpCnt_20"/>
                  <wp:cNvGraphicFramePr/>
                  <a:graphic xmlns:a="http://schemas.openxmlformats.org/drawingml/2006/main">
                    <a:graphicData uri="http://schemas.openxmlformats.org/drawingml/2006/picture">
                      <pic:pic xmlns:pic="http://schemas.openxmlformats.org/drawingml/2006/picture">
                        <pic:nvPicPr>
                          <pic:cNvPr id="526" name="rect_SpCnt_20"/>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49760" behindDoc="0" locked="0" layoutInCell="1" allowOverlap="1">
                  <wp:simplePos x="0" y="0"/>
                  <wp:positionH relativeFrom="column">
                    <wp:posOffset>0</wp:posOffset>
                  </wp:positionH>
                  <wp:positionV relativeFrom="paragraph">
                    <wp:posOffset>0</wp:posOffset>
                  </wp:positionV>
                  <wp:extent cx="301625" cy="291465"/>
                  <wp:effectExtent l="0" t="0" r="0" b="0"/>
                  <wp:wrapNone/>
                  <wp:docPr id="519" name="rect_SpCnt_21"/>
                  <wp:cNvGraphicFramePr/>
                  <a:graphic xmlns:a="http://schemas.openxmlformats.org/drawingml/2006/main">
                    <a:graphicData uri="http://schemas.openxmlformats.org/drawingml/2006/picture">
                      <pic:pic xmlns:pic="http://schemas.openxmlformats.org/drawingml/2006/picture">
                        <pic:nvPicPr>
                          <pic:cNvPr id="519" name="rect_SpCnt_21"/>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63072" behindDoc="0" locked="0" layoutInCell="1" allowOverlap="1">
                  <wp:simplePos x="0" y="0"/>
                  <wp:positionH relativeFrom="column">
                    <wp:posOffset>0</wp:posOffset>
                  </wp:positionH>
                  <wp:positionV relativeFrom="paragraph">
                    <wp:posOffset>0</wp:posOffset>
                  </wp:positionV>
                  <wp:extent cx="301625" cy="291465"/>
                  <wp:effectExtent l="0" t="0" r="0" b="0"/>
                  <wp:wrapNone/>
                  <wp:docPr id="532" name="rect_SpCnt_22"/>
                  <wp:cNvGraphicFramePr/>
                  <a:graphic xmlns:a="http://schemas.openxmlformats.org/drawingml/2006/main">
                    <a:graphicData uri="http://schemas.openxmlformats.org/drawingml/2006/picture">
                      <pic:pic xmlns:pic="http://schemas.openxmlformats.org/drawingml/2006/picture">
                        <pic:nvPicPr>
                          <pic:cNvPr id="532" name="rect_SpCnt_22"/>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65120" behindDoc="0" locked="0" layoutInCell="1" allowOverlap="1">
                  <wp:simplePos x="0" y="0"/>
                  <wp:positionH relativeFrom="column">
                    <wp:posOffset>0</wp:posOffset>
                  </wp:positionH>
                  <wp:positionV relativeFrom="paragraph">
                    <wp:posOffset>0</wp:posOffset>
                  </wp:positionV>
                  <wp:extent cx="301625" cy="291465"/>
                  <wp:effectExtent l="0" t="0" r="0" b="0"/>
                  <wp:wrapNone/>
                  <wp:docPr id="534" name="rect_SpCnt_23"/>
                  <wp:cNvGraphicFramePr/>
                  <a:graphic xmlns:a="http://schemas.openxmlformats.org/drawingml/2006/main">
                    <a:graphicData uri="http://schemas.openxmlformats.org/drawingml/2006/picture">
                      <pic:pic xmlns:pic="http://schemas.openxmlformats.org/drawingml/2006/picture">
                        <pic:nvPicPr>
                          <pic:cNvPr id="534" name="rect_SpCnt_23"/>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50784" behindDoc="0" locked="0" layoutInCell="1" allowOverlap="1">
                  <wp:simplePos x="0" y="0"/>
                  <wp:positionH relativeFrom="column">
                    <wp:posOffset>0</wp:posOffset>
                  </wp:positionH>
                  <wp:positionV relativeFrom="paragraph">
                    <wp:posOffset>0</wp:posOffset>
                  </wp:positionV>
                  <wp:extent cx="301625" cy="291465"/>
                  <wp:effectExtent l="0" t="0" r="0" b="0"/>
                  <wp:wrapNone/>
                  <wp:docPr id="520" name="rect_SpCnt_24"/>
                  <wp:cNvGraphicFramePr/>
                  <a:graphic xmlns:a="http://schemas.openxmlformats.org/drawingml/2006/main">
                    <a:graphicData uri="http://schemas.openxmlformats.org/drawingml/2006/picture">
                      <pic:pic xmlns:pic="http://schemas.openxmlformats.org/drawingml/2006/picture">
                        <pic:nvPicPr>
                          <pic:cNvPr id="520" name="rect_SpCnt_24"/>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66144" behindDoc="0" locked="0" layoutInCell="1" allowOverlap="1">
                  <wp:simplePos x="0" y="0"/>
                  <wp:positionH relativeFrom="column">
                    <wp:posOffset>0</wp:posOffset>
                  </wp:positionH>
                  <wp:positionV relativeFrom="paragraph">
                    <wp:posOffset>0</wp:posOffset>
                  </wp:positionV>
                  <wp:extent cx="301625" cy="291465"/>
                  <wp:effectExtent l="0" t="0" r="0" b="0"/>
                  <wp:wrapNone/>
                  <wp:docPr id="535" name="rect_SpCnt_25"/>
                  <wp:cNvGraphicFramePr/>
                  <a:graphic xmlns:a="http://schemas.openxmlformats.org/drawingml/2006/main">
                    <a:graphicData uri="http://schemas.openxmlformats.org/drawingml/2006/picture">
                      <pic:pic xmlns:pic="http://schemas.openxmlformats.org/drawingml/2006/picture">
                        <pic:nvPicPr>
                          <pic:cNvPr id="535" name="rect_SpCnt_25"/>
                          <pic:cNvPicPr/>
                        </pic:nvPicPr>
                        <pic:blipFill>
                          <a:blip r:embed="rId15"/>
                          <a:stretch>
                            <a:fillRect/>
                          </a:stretch>
                        </pic:blipFill>
                        <pic:spPr>
                          <a:xfrm>
                            <a:off x="0" y="0"/>
                            <a:ext cx="301625" cy="291465"/>
                          </a:xfrm>
                          <a:prstGeom prst="rect">
                            <a:avLst/>
                          </a:prstGeom>
                          <a:noFill/>
                          <a:ln>
                            <a:noFill/>
                          </a:ln>
                        </pic:spPr>
                      </pic:pic>
                    </a:graphicData>
                  </a:graphic>
                </wp:anchor>
              </w:drawing>
            </w:r>
            <w:r>
              <w:rPr>
                <w:rFonts w:hint="eastAsia" w:ascii="宋体" w:hAnsi="宋体" w:eastAsia="宋体" w:cs="宋体"/>
                <w:snapToGrid w:val="0"/>
                <w:color w:val="000000" w:themeColor="text1"/>
                <w:sz w:val="20"/>
                <w:szCs w:val="20"/>
                <w:highlight w:val="none"/>
                <w:lang w:bidi="ar"/>
                <w14:textFill>
                  <w14:solidFill>
                    <w14:schemeClr w14:val="tx1"/>
                  </w14:solidFill>
                </w14:textFill>
              </w:rPr>
              <w:t>线材</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702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39" name="rect_SpCnt_26"/>
                  <wp:cNvGraphicFramePr/>
                  <a:graphic xmlns:a="http://schemas.openxmlformats.org/drawingml/2006/main">
                    <a:graphicData uri="http://schemas.openxmlformats.org/drawingml/2006/picture">
                      <pic:pic xmlns:pic="http://schemas.openxmlformats.org/drawingml/2006/picture">
                        <pic:nvPicPr>
                          <pic:cNvPr id="539" name="rect_SpCnt_26"/>
                          <pic:cNvPicPr/>
                        </pic:nvPicPr>
                        <pic:blipFill>
                          <a:blip r:embed="rId16"/>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518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21" name="rect_SpCnt_27"/>
                  <wp:cNvGraphicFramePr/>
                  <a:graphic xmlns:a="http://schemas.openxmlformats.org/drawingml/2006/main">
                    <a:graphicData uri="http://schemas.openxmlformats.org/drawingml/2006/picture">
                      <pic:pic xmlns:pic="http://schemas.openxmlformats.org/drawingml/2006/picture">
                        <pic:nvPicPr>
                          <pic:cNvPr id="521" name="rect_SpCnt_27"/>
                          <pic:cNvPicPr/>
                        </pic:nvPicPr>
                        <pic:blipFill>
                          <a:blip r:embed="rId17"/>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415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11" name="rect_SpCnt_28"/>
                  <wp:cNvGraphicFramePr/>
                  <a:graphic xmlns:a="http://schemas.openxmlformats.org/drawingml/2006/main">
                    <a:graphicData uri="http://schemas.openxmlformats.org/drawingml/2006/picture">
                      <pic:pic xmlns:pic="http://schemas.openxmlformats.org/drawingml/2006/picture">
                        <pic:nvPicPr>
                          <pic:cNvPr id="511" name="rect_SpCnt_28"/>
                          <pic:cNvPicPr/>
                        </pic:nvPicPr>
                        <pic:blipFill>
                          <a:blip r:embed="rId18"/>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425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12" name="rect_SpCnt_29"/>
                  <wp:cNvGraphicFramePr/>
                  <a:graphic xmlns:a="http://schemas.openxmlformats.org/drawingml/2006/main">
                    <a:graphicData uri="http://schemas.openxmlformats.org/drawingml/2006/picture">
                      <pic:pic xmlns:pic="http://schemas.openxmlformats.org/drawingml/2006/picture">
                        <pic:nvPicPr>
                          <pic:cNvPr id="512" name="rect_SpCnt_2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528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22" name="rect_SpCnt_30"/>
                  <wp:cNvGraphicFramePr/>
                  <a:graphic xmlns:a="http://schemas.openxmlformats.org/drawingml/2006/main">
                    <a:graphicData uri="http://schemas.openxmlformats.org/drawingml/2006/picture">
                      <pic:pic xmlns:pic="http://schemas.openxmlformats.org/drawingml/2006/picture">
                        <pic:nvPicPr>
                          <pic:cNvPr id="522" name="rect_SpCnt_3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538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23" name="rect_SpCnt_31"/>
                  <wp:cNvGraphicFramePr/>
                  <a:graphic xmlns:a="http://schemas.openxmlformats.org/drawingml/2006/main">
                    <a:graphicData uri="http://schemas.openxmlformats.org/drawingml/2006/picture">
                      <pic:pic xmlns:pic="http://schemas.openxmlformats.org/drawingml/2006/picture">
                        <pic:nvPicPr>
                          <pic:cNvPr id="523" name="rect_SpCnt_3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548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24" name="rect_SpCnt_32"/>
                  <wp:cNvGraphicFramePr/>
                  <a:graphic xmlns:a="http://schemas.openxmlformats.org/drawingml/2006/main">
                    <a:graphicData uri="http://schemas.openxmlformats.org/drawingml/2006/picture">
                      <pic:pic xmlns:pic="http://schemas.openxmlformats.org/drawingml/2006/picture">
                        <pic:nvPicPr>
                          <pic:cNvPr id="524" name="rect_SpCnt_3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722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41" name="rect_SpCnt_33"/>
                  <wp:cNvGraphicFramePr/>
                  <a:graphic xmlns:a="http://schemas.openxmlformats.org/drawingml/2006/main">
                    <a:graphicData uri="http://schemas.openxmlformats.org/drawingml/2006/picture">
                      <pic:pic xmlns:pic="http://schemas.openxmlformats.org/drawingml/2006/picture">
                        <pic:nvPicPr>
                          <pic:cNvPr id="541" name="rect_SpCnt_3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958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64" name="rect_SpCnt_34"/>
                  <wp:cNvGraphicFramePr/>
                  <a:graphic xmlns:a="http://schemas.openxmlformats.org/drawingml/2006/main">
                    <a:graphicData uri="http://schemas.openxmlformats.org/drawingml/2006/picture">
                      <pic:pic xmlns:pic="http://schemas.openxmlformats.org/drawingml/2006/picture">
                        <pic:nvPicPr>
                          <pic:cNvPr id="564" name="rect_SpCnt_3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794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48" name="rect_SpCnt_35"/>
                  <wp:cNvGraphicFramePr/>
                  <a:graphic xmlns:a="http://schemas.openxmlformats.org/drawingml/2006/main">
                    <a:graphicData uri="http://schemas.openxmlformats.org/drawingml/2006/picture">
                      <pic:pic xmlns:pic="http://schemas.openxmlformats.org/drawingml/2006/picture">
                        <pic:nvPicPr>
                          <pic:cNvPr id="548" name="rect_SpCnt_3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733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42" name="rect_SpCnt_36"/>
                  <wp:cNvGraphicFramePr/>
                  <a:graphic xmlns:a="http://schemas.openxmlformats.org/drawingml/2006/main">
                    <a:graphicData uri="http://schemas.openxmlformats.org/drawingml/2006/picture">
                      <pic:pic xmlns:pic="http://schemas.openxmlformats.org/drawingml/2006/picture">
                        <pic:nvPicPr>
                          <pic:cNvPr id="542" name="rect_SpCnt_3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835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52" name="rect_SpCnt_37"/>
                  <wp:cNvGraphicFramePr/>
                  <a:graphic xmlns:a="http://schemas.openxmlformats.org/drawingml/2006/main">
                    <a:graphicData uri="http://schemas.openxmlformats.org/drawingml/2006/picture">
                      <pic:pic xmlns:pic="http://schemas.openxmlformats.org/drawingml/2006/picture">
                        <pic:nvPicPr>
                          <pic:cNvPr id="552" name="rect_SpCnt_3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978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66" name="rect_SpCnt_38"/>
                  <wp:cNvGraphicFramePr/>
                  <a:graphic xmlns:a="http://schemas.openxmlformats.org/drawingml/2006/main">
                    <a:graphicData uri="http://schemas.openxmlformats.org/drawingml/2006/picture">
                      <pic:pic xmlns:pic="http://schemas.openxmlformats.org/drawingml/2006/picture">
                        <pic:nvPicPr>
                          <pic:cNvPr id="566" name="rect_SpCnt_3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937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62" name="rect_SpCnt_39"/>
                  <wp:cNvGraphicFramePr/>
                  <a:graphic xmlns:a="http://schemas.openxmlformats.org/drawingml/2006/main">
                    <a:graphicData uri="http://schemas.openxmlformats.org/drawingml/2006/picture">
                      <pic:pic xmlns:pic="http://schemas.openxmlformats.org/drawingml/2006/picture">
                        <pic:nvPicPr>
                          <pic:cNvPr id="562" name="rect_SpCnt_3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968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65" name="rect_SpCnt_40"/>
                  <wp:cNvGraphicFramePr/>
                  <a:graphic xmlns:a="http://schemas.openxmlformats.org/drawingml/2006/main">
                    <a:graphicData uri="http://schemas.openxmlformats.org/drawingml/2006/picture">
                      <pic:pic xmlns:pic="http://schemas.openxmlformats.org/drawingml/2006/picture">
                        <pic:nvPicPr>
                          <pic:cNvPr id="565" name="rect_SpCnt_4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917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60" name="rect_SpCnt_41"/>
                  <wp:cNvGraphicFramePr/>
                  <a:graphic xmlns:a="http://schemas.openxmlformats.org/drawingml/2006/main">
                    <a:graphicData uri="http://schemas.openxmlformats.org/drawingml/2006/picture">
                      <pic:pic xmlns:pic="http://schemas.openxmlformats.org/drawingml/2006/picture">
                        <pic:nvPicPr>
                          <pic:cNvPr id="560" name="rect_SpCnt_4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927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61" name="rect_SpCnt_42"/>
                  <wp:cNvGraphicFramePr/>
                  <a:graphic xmlns:a="http://schemas.openxmlformats.org/drawingml/2006/main">
                    <a:graphicData uri="http://schemas.openxmlformats.org/drawingml/2006/picture">
                      <pic:pic xmlns:pic="http://schemas.openxmlformats.org/drawingml/2006/picture">
                        <pic:nvPicPr>
                          <pic:cNvPr id="561" name="rect_SpCnt_4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753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44" name="rect_SpCnt_43"/>
                  <wp:cNvGraphicFramePr/>
                  <a:graphic xmlns:a="http://schemas.openxmlformats.org/drawingml/2006/main">
                    <a:graphicData uri="http://schemas.openxmlformats.org/drawingml/2006/picture">
                      <pic:pic xmlns:pic="http://schemas.openxmlformats.org/drawingml/2006/picture">
                        <pic:nvPicPr>
                          <pic:cNvPr id="544" name="rect_SpCnt_4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712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40" name="rect_SpCnt_44"/>
                  <wp:cNvGraphicFramePr/>
                  <a:graphic xmlns:a="http://schemas.openxmlformats.org/drawingml/2006/main">
                    <a:graphicData uri="http://schemas.openxmlformats.org/drawingml/2006/picture">
                      <pic:pic xmlns:pic="http://schemas.openxmlformats.org/drawingml/2006/picture">
                        <pic:nvPicPr>
                          <pic:cNvPr id="540" name="rect_SpCnt_4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743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43" name="rect_SpCnt_45"/>
                  <wp:cNvGraphicFramePr/>
                  <a:graphic xmlns:a="http://schemas.openxmlformats.org/drawingml/2006/main">
                    <a:graphicData uri="http://schemas.openxmlformats.org/drawingml/2006/picture">
                      <pic:pic xmlns:pic="http://schemas.openxmlformats.org/drawingml/2006/picture">
                        <pic:nvPicPr>
                          <pic:cNvPr id="543" name="rect_SpCnt_4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907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59" name="rect_SpCnt_46"/>
                  <wp:cNvGraphicFramePr/>
                  <a:graphic xmlns:a="http://schemas.openxmlformats.org/drawingml/2006/main">
                    <a:graphicData uri="http://schemas.openxmlformats.org/drawingml/2006/picture">
                      <pic:pic xmlns:pic="http://schemas.openxmlformats.org/drawingml/2006/picture">
                        <pic:nvPicPr>
                          <pic:cNvPr id="559" name="rect_SpCnt_4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763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45" name="rect_SpCnt_47"/>
                  <wp:cNvGraphicFramePr/>
                  <a:graphic xmlns:a="http://schemas.openxmlformats.org/drawingml/2006/main">
                    <a:graphicData uri="http://schemas.openxmlformats.org/drawingml/2006/picture">
                      <pic:pic xmlns:pic="http://schemas.openxmlformats.org/drawingml/2006/picture">
                        <pic:nvPicPr>
                          <pic:cNvPr id="545" name="rect_SpCnt_4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774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46" name="rect_SpCnt_48"/>
                  <wp:cNvGraphicFramePr/>
                  <a:graphic xmlns:a="http://schemas.openxmlformats.org/drawingml/2006/main">
                    <a:graphicData uri="http://schemas.openxmlformats.org/drawingml/2006/picture">
                      <pic:pic xmlns:pic="http://schemas.openxmlformats.org/drawingml/2006/picture">
                        <pic:nvPicPr>
                          <pic:cNvPr id="546" name="rect_SpCnt_4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948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63" name="rect_SpCnt_49"/>
                  <wp:cNvGraphicFramePr/>
                  <a:graphic xmlns:a="http://schemas.openxmlformats.org/drawingml/2006/main">
                    <a:graphicData uri="http://schemas.openxmlformats.org/drawingml/2006/picture">
                      <pic:pic xmlns:pic="http://schemas.openxmlformats.org/drawingml/2006/picture">
                        <pic:nvPicPr>
                          <pic:cNvPr id="563" name="rect_SpCnt_4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784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47" name="rect_SpCnt_50"/>
                  <wp:cNvGraphicFramePr/>
                  <a:graphic xmlns:a="http://schemas.openxmlformats.org/drawingml/2006/main">
                    <a:graphicData uri="http://schemas.openxmlformats.org/drawingml/2006/picture">
                      <pic:pic xmlns:pic="http://schemas.openxmlformats.org/drawingml/2006/picture">
                        <pic:nvPicPr>
                          <pic:cNvPr id="547" name="rect_SpCnt_5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896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58" name="rect_SpCnt_51"/>
                  <wp:cNvGraphicFramePr/>
                  <a:graphic xmlns:a="http://schemas.openxmlformats.org/drawingml/2006/main">
                    <a:graphicData uri="http://schemas.openxmlformats.org/drawingml/2006/picture">
                      <pic:pic xmlns:pic="http://schemas.openxmlformats.org/drawingml/2006/picture">
                        <pic:nvPicPr>
                          <pic:cNvPr id="558" name="rect_SpCnt_5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804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49" name="rect_SpCnt_52"/>
                  <wp:cNvGraphicFramePr/>
                  <a:graphic xmlns:a="http://schemas.openxmlformats.org/drawingml/2006/main">
                    <a:graphicData uri="http://schemas.openxmlformats.org/drawingml/2006/picture">
                      <pic:pic xmlns:pic="http://schemas.openxmlformats.org/drawingml/2006/picture">
                        <pic:nvPicPr>
                          <pic:cNvPr id="549" name="rect_SpCnt_5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815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50" name="rect_SpCnt_53"/>
                  <wp:cNvGraphicFramePr/>
                  <a:graphic xmlns:a="http://schemas.openxmlformats.org/drawingml/2006/main">
                    <a:graphicData uri="http://schemas.openxmlformats.org/drawingml/2006/picture">
                      <pic:pic xmlns:pic="http://schemas.openxmlformats.org/drawingml/2006/picture">
                        <pic:nvPicPr>
                          <pic:cNvPr id="550" name="rect_SpCnt_5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825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51" name="rect_SpCnt_54"/>
                  <wp:cNvGraphicFramePr/>
                  <a:graphic xmlns:a="http://schemas.openxmlformats.org/drawingml/2006/main">
                    <a:graphicData uri="http://schemas.openxmlformats.org/drawingml/2006/picture">
                      <pic:pic xmlns:pic="http://schemas.openxmlformats.org/drawingml/2006/picture">
                        <pic:nvPicPr>
                          <pic:cNvPr id="551" name="rect_SpCnt_5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845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53" name="rect_SpCnt_55"/>
                  <wp:cNvGraphicFramePr/>
                  <a:graphic xmlns:a="http://schemas.openxmlformats.org/drawingml/2006/main">
                    <a:graphicData uri="http://schemas.openxmlformats.org/drawingml/2006/picture">
                      <pic:pic xmlns:pic="http://schemas.openxmlformats.org/drawingml/2006/picture">
                        <pic:nvPicPr>
                          <pic:cNvPr id="553" name="rect_SpCnt_5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866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55" name="rect_SpCnt_56"/>
                  <wp:cNvGraphicFramePr/>
                  <a:graphic xmlns:a="http://schemas.openxmlformats.org/drawingml/2006/main">
                    <a:graphicData uri="http://schemas.openxmlformats.org/drawingml/2006/picture">
                      <pic:pic xmlns:pic="http://schemas.openxmlformats.org/drawingml/2006/picture">
                        <pic:nvPicPr>
                          <pic:cNvPr id="555" name="rect_SpCnt_5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876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56" name="rect_SpCnt_57"/>
                  <wp:cNvGraphicFramePr/>
                  <a:graphic xmlns:a="http://schemas.openxmlformats.org/drawingml/2006/main">
                    <a:graphicData uri="http://schemas.openxmlformats.org/drawingml/2006/picture">
                      <pic:pic xmlns:pic="http://schemas.openxmlformats.org/drawingml/2006/picture">
                        <pic:nvPicPr>
                          <pic:cNvPr id="556" name="rect_SpCnt_5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856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54" name="rect_SpCnt_58"/>
                  <wp:cNvGraphicFramePr/>
                  <a:graphic xmlns:a="http://schemas.openxmlformats.org/drawingml/2006/main">
                    <a:graphicData uri="http://schemas.openxmlformats.org/drawingml/2006/picture">
                      <pic:pic xmlns:pic="http://schemas.openxmlformats.org/drawingml/2006/picture">
                        <pic:nvPicPr>
                          <pic:cNvPr id="554" name="rect_SpCnt_5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886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57" name="rect_SpCnt_59"/>
                  <wp:cNvGraphicFramePr/>
                  <a:graphic xmlns:a="http://schemas.openxmlformats.org/drawingml/2006/main">
                    <a:graphicData uri="http://schemas.openxmlformats.org/drawingml/2006/picture">
                      <pic:pic xmlns:pic="http://schemas.openxmlformats.org/drawingml/2006/picture">
                        <pic:nvPicPr>
                          <pic:cNvPr id="557" name="rect_SpCnt_5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552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9" name="rect_SpCnt_60"/>
                  <wp:cNvGraphicFramePr/>
                  <a:graphic xmlns:a="http://schemas.openxmlformats.org/drawingml/2006/main">
                    <a:graphicData uri="http://schemas.openxmlformats.org/drawingml/2006/picture">
                      <pic:pic xmlns:pic="http://schemas.openxmlformats.org/drawingml/2006/picture">
                        <pic:nvPicPr>
                          <pic:cNvPr id="329" name="rect_SpCnt_6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347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09" name="rect_SpCnt_61"/>
                  <wp:cNvGraphicFramePr/>
                  <a:graphic xmlns:a="http://schemas.openxmlformats.org/drawingml/2006/main">
                    <a:graphicData uri="http://schemas.openxmlformats.org/drawingml/2006/picture">
                      <pic:pic xmlns:pic="http://schemas.openxmlformats.org/drawingml/2006/picture">
                        <pic:nvPicPr>
                          <pic:cNvPr id="309" name="rect_SpCnt_6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480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2" name="rect_SpCnt_62"/>
                  <wp:cNvGraphicFramePr/>
                  <a:graphic xmlns:a="http://schemas.openxmlformats.org/drawingml/2006/main">
                    <a:graphicData uri="http://schemas.openxmlformats.org/drawingml/2006/picture">
                      <pic:pic xmlns:pic="http://schemas.openxmlformats.org/drawingml/2006/picture">
                        <pic:nvPicPr>
                          <pic:cNvPr id="322" name="rect_SpCnt_6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296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03" name="rect_SpCnt_63"/>
                  <wp:cNvGraphicFramePr/>
                  <a:graphic xmlns:a="http://schemas.openxmlformats.org/drawingml/2006/main">
                    <a:graphicData uri="http://schemas.openxmlformats.org/drawingml/2006/picture">
                      <pic:pic xmlns:pic="http://schemas.openxmlformats.org/drawingml/2006/picture">
                        <pic:nvPicPr>
                          <pic:cNvPr id="303" name="rect_SpCnt_6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511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5" name="rect_SpCnt_64"/>
                  <wp:cNvGraphicFramePr/>
                  <a:graphic xmlns:a="http://schemas.openxmlformats.org/drawingml/2006/main">
                    <a:graphicData uri="http://schemas.openxmlformats.org/drawingml/2006/picture">
                      <pic:pic xmlns:pic="http://schemas.openxmlformats.org/drawingml/2006/picture">
                        <pic:nvPicPr>
                          <pic:cNvPr id="325" name="rect_SpCnt_6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521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6" name="rect_SpCnt_65"/>
                  <wp:cNvGraphicFramePr/>
                  <a:graphic xmlns:a="http://schemas.openxmlformats.org/drawingml/2006/main">
                    <a:graphicData uri="http://schemas.openxmlformats.org/drawingml/2006/picture">
                      <pic:pic xmlns:pic="http://schemas.openxmlformats.org/drawingml/2006/picture">
                        <pic:nvPicPr>
                          <pic:cNvPr id="326" name="rect_SpCnt_6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306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05" name="rect_SpCnt_66"/>
                  <wp:cNvGraphicFramePr/>
                  <a:graphic xmlns:a="http://schemas.openxmlformats.org/drawingml/2006/main">
                    <a:graphicData uri="http://schemas.openxmlformats.org/drawingml/2006/picture">
                      <pic:pic xmlns:pic="http://schemas.openxmlformats.org/drawingml/2006/picture">
                        <pic:nvPicPr>
                          <pic:cNvPr id="305" name="rect_SpCnt_6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531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7" name="rect_SpCnt_67"/>
                  <wp:cNvGraphicFramePr/>
                  <a:graphic xmlns:a="http://schemas.openxmlformats.org/drawingml/2006/main">
                    <a:graphicData uri="http://schemas.openxmlformats.org/drawingml/2006/picture">
                      <pic:pic xmlns:pic="http://schemas.openxmlformats.org/drawingml/2006/picture">
                        <pic:nvPicPr>
                          <pic:cNvPr id="327" name="rect_SpCnt_6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490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3" name="rect_SpCnt_68"/>
                  <wp:cNvGraphicFramePr/>
                  <a:graphic xmlns:a="http://schemas.openxmlformats.org/drawingml/2006/main">
                    <a:graphicData uri="http://schemas.openxmlformats.org/drawingml/2006/picture">
                      <pic:pic xmlns:pic="http://schemas.openxmlformats.org/drawingml/2006/picture">
                        <pic:nvPicPr>
                          <pic:cNvPr id="323" name="rect_SpCnt_6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449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9" name="rect_SpCnt_69"/>
                  <wp:cNvGraphicFramePr/>
                  <a:graphic xmlns:a="http://schemas.openxmlformats.org/drawingml/2006/main">
                    <a:graphicData uri="http://schemas.openxmlformats.org/drawingml/2006/picture">
                      <pic:pic xmlns:pic="http://schemas.openxmlformats.org/drawingml/2006/picture">
                        <pic:nvPicPr>
                          <pic:cNvPr id="319" name="rect_SpCnt_6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336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08" name="rect_SpCnt_70"/>
                  <wp:cNvGraphicFramePr/>
                  <a:graphic xmlns:a="http://schemas.openxmlformats.org/drawingml/2006/main">
                    <a:graphicData uri="http://schemas.openxmlformats.org/drawingml/2006/picture">
                      <pic:pic xmlns:pic="http://schemas.openxmlformats.org/drawingml/2006/picture">
                        <pic:nvPicPr>
                          <pic:cNvPr id="308" name="rect_SpCnt_7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592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3" name="rect_SpCnt_71"/>
                  <wp:cNvGraphicFramePr/>
                  <a:graphic xmlns:a="http://schemas.openxmlformats.org/drawingml/2006/main">
                    <a:graphicData uri="http://schemas.openxmlformats.org/drawingml/2006/picture">
                      <pic:pic xmlns:pic="http://schemas.openxmlformats.org/drawingml/2006/picture">
                        <pic:nvPicPr>
                          <pic:cNvPr id="333" name="rect_SpCnt_7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459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0" name="rect_SpCnt_72"/>
                  <wp:cNvGraphicFramePr/>
                  <a:graphic xmlns:a="http://schemas.openxmlformats.org/drawingml/2006/main">
                    <a:graphicData uri="http://schemas.openxmlformats.org/drawingml/2006/picture">
                      <pic:pic xmlns:pic="http://schemas.openxmlformats.org/drawingml/2006/picture">
                        <pic:nvPicPr>
                          <pic:cNvPr id="320" name="rect_SpCnt_7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582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2" name="rect_SpCnt_73"/>
                  <wp:cNvGraphicFramePr/>
                  <a:graphic xmlns:a="http://schemas.openxmlformats.org/drawingml/2006/main">
                    <a:graphicData uri="http://schemas.openxmlformats.org/drawingml/2006/picture">
                      <pic:pic xmlns:pic="http://schemas.openxmlformats.org/drawingml/2006/picture">
                        <pic:nvPicPr>
                          <pic:cNvPr id="332" name="rect_SpCnt_7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398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4" name="rect_SpCnt_74"/>
                  <wp:cNvGraphicFramePr/>
                  <a:graphic xmlns:a="http://schemas.openxmlformats.org/drawingml/2006/main">
                    <a:graphicData uri="http://schemas.openxmlformats.org/drawingml/2006/picture">
                      <pic:pic xmlns:pic="http://schemas.openxmlformats.org/drawingml/2006/picture">
                        <pic:nvPicPr>
                          <pic:cNvPr id="314" name="rect_SpCnt_7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500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4" name="rect_SpCnt_75"/>
                  <wp:cNvGraphicFramePr/>
                  <a:graphic xmlns:a="http://schemas.openxmlformats.org/drawingml/2006/main">
                    <a:graphicData uri="http://schemas.openxmlformats.org/drawingml/2006/picture">
                      <pic:pic xmlns:pic="http://schemas.openxmlformats.org/drawingml/2006/picture">
                        <pic:nvPicPr>
                          <pic:cNvPr id="324" name="rect_SpCnt_7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603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4" name="rect_SpCnt_76"/>
                  <wp:cNvGraphicFramePr/>
                  <a:graphic xmlns:a="http://schemas.openxmlformats.org/drawingml/2006/main">
                    <a:graphicData uri="http://schemas.openxmlformats.org/drawingml/2006/picture">
                      <pic:pic xmlns:pic="http://schemas.openxmlformats.org/drawingml/2006/picture">
                        <pic:nvPicPr>
                          <pic:cNvPr id="334" name="rect_SpCnt_7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285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02" name="rect_SpCnt_77"/>
                  <wp:cNvGraphicFramePr/>
                  <a:graphic xmlns:a="http://schemas.openxmlformats.org/drawingml/2006/main">
                    <a:graphicData uri="http://schemas.openxmlformats.org/drawingml/2006/picture">
                      <pic:pic xmlns:pic="http://schemas.openxmlformats.org/drawingml/2006/picture">
                        <pic:nvPicPr>
                          <pic:cNvPr id="302" name="rect_SpCnt_7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408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5" name="rect_SpCnt_78"/>
                  <wp:cNvGraphicFramePr/>
                  <a:graphic xmlns:a="http://schemas.openxmlformats.org/drawingml/2006/main">
                    <a:graphicData uri="http://schemas.openxmlformats.org/drawingml/2006/picture">
                      <pic:pic xmlns:pic="http://schemas.openxmlformats.org/drawingml/2006/picture">
                        <pic:nvPicPr>
                          <pic:cNvPr id="315" name="rect_SpCnt_7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418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6" name="rect_SpCnt_79"/>
                  <wp:cNvGraphicFramePr/>
                  <a:graphic xmlns:a="http://schemas.openxmlformats.org/drawingml/2006/main">
                    <a:graphicData uri="http://schemas.openxmlformats.org/drawingml/2006/picture">
                      <pic:pic xmlns:pic="http://schemas.openxmlformats.org/drawingml/2006/picture">
                        <pic:nvPicPr>
                          <pic:cNvPr id="316" name="rect_SpCnt_7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429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7" name="rect_SpCnt_80"/>
                  <wp:cNvGraphicFramePr/>
                  <a:graphic xmlns:a="http://schemas.openxmlformats.org/drawingml/2006/main">
                    <a:graphicData uri="http://schemas.openxmlformats.org/drawingml/2006/picture">
                      <pic:pic xmlns:pic="http://schemas.openxmlformats.org/drawingml/2006/picture">
                        <pic:nvPicPr>
                          <pic:cNvPr id="317" name="rect_SpCnt_8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377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2" name="rect_SpCnt_81"/>
                  <wp:cNvGraphicFramePr/>
                  <a:graphic xmlns:a="http://schemas.openxmlformats.org/drawingml/2006/main">
                    <a:graphicData uri="http://schemas.openxmlformats.org/drawingml/2006/picture">
                      <pic:pic xmlns:pic="http://schemas.openxmlformats.org/drawingml/2006/picture">
                        <pic:nvPicPr>
                          <pic:cNvPr id="312" name="rect_SpCnt_8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367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1" name="rect_SpCnt_82"/>
                  <wp:cNvGraphicFramePr/>
                  <a:graphic xmlns:a="http://schemas.openxmlformats.org/drawingml/2006/main">
                    <a:graphicData uri="http://schemas.openxmlformats.org/drawingml/2006/picture">
                      <pic:pic xmlns:pic="http://schemas.openxmlformats.org/drawingml/2006/picture">
                        <pic:nvPicPr>
                          <pic:cNvPr id="311" name="rect_SpCnt_8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357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0" name="rect_SpCnt_83"/>
                  <wp:cNvGraphicFramePr/>
                  <a:graphic xmlns:a="http://schemas.openxmlformats.org/drawingml/2006/main">
                    <a:graphicData uri="http://schemas.openxmlformats.org/drawingml/2006/picture">
                      <pic:pic xmlns:pic="http://schemas.openxmlformats.org/drawingml/2006/picture">
                        <pic:nvPicPr>
                          <pic:cNvPr id="310" name="rect_SpCnt_8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541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8" name="rect_SpCnt_84"/>
                  <wp:cNvGraphicFramePr/>
                  <a:graphic xmlns:a="http://schemas.openxmlformats.org/drawingml/2006/main">
                    <a:graphicData uri="http://schemas.openxmlformats.org/drawingml/2006/picture">
                      <pic:pic xmlns:pic="http://schemas.openxmlformats.org/drawingml/2006/picture">
                        <pic:nvPicPr>
                          <pic:cNvPr id="328" name="rect_SpCnt_8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562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0" name="rect_SpCnt_85"/>
                  <wp:cNvGraphicFramePr/>
                  <a:graphic xmlns:a="http://schemas.openxmlformats.org/drawingml/2006/main">
                    <a:graphicData uri="http://schemas.openxmlformats.org/drawingml/2006/picture">
                      <pic:pic xmlns:pic="http://schemas.openxmlformats.org/drawingml/2006/picture">
                        <pic:nvPicPr>
                          <pic:cNvPr id="330" name="rect_SpCnt_8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439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8" name="rect_SpCnt_86"/>
                  <wp:cNvGraphicFramePr/>
                  <a:graphic xmlns:a="http://schemas.openxmlformats.org/drawingml/2006/main">
                    <a:graphicData uri="http://schemas.openxmlformats.org/drawingml/2006/picture">
                      <pic:pic xmlns:pic="http://schemas.openxmlformats.org/drawingml/2006/picture">
                        <pic:nvPicPr>
                          <pic:cNvPr id="318" name="rect_SpCnt_8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316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06" name="rect_SpCnt_87"/>
                  <wp:cNvGraphicFramePr/>
                  <a:graphic xmlns:a="http://schemas.openxmlformats.org/drawingml/2006/main">
                    <a:graphicData uri="http://schemas.openxmlformats.org/drawingml/2006/picture">
                      <pic:pic xmlns:pic="http://schemas.openxmlformats.org/drawingml/2006/picture">
                        <pic:nvPicPr>
                          <pic:cNvPr id="306" name="rect_SpCnt_8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326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07" name="rect_SpCnt_88"/>
                  <wp:cNvGraphicFramePr/>
                  <a:graphic xmlns:a="http://schemas.openxmlformats.org/drawingml/2006/main">
                    <a:graphicData uri="http://schemas.openxmlformats.org/drawingml/2006/picture">
                      <pic:pic xmlns:pic="http://schemas.openxmlformats.org/drawingml/2006/picture">
                        <pic:nvPicPr>
                          <pic:cNvPr id="307" name="rect_SpCnt_8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572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1" name="rect_SpCnt_89"/>
                  <wp:cNvGraphicFramePr/>
                  <a:graphic xmlns:a="http://schemas.openxmlformats.org/drawingml/2006/main">
                    <a:graphicData uri="http://schemas.openxmlformats.org/drawingml/2006/picture">
                      <pic:pic xmlns:pic="http://schemas.openxmlformats.org/drawingml/2006/picture">
                        <pic:nvPicPr>
                          <pic:cNvPr id="331" name="rect_SpCnt_8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388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3" name="rect_SpCnt_90"/>
                  <wp:cNvGraphicFramePr/>
                  <a:graphic xmlns:a="http://schemas.openxmlformats.org/drawingml/2006/main">
                    <a:graphicData uri="http://schemas.openxmlformats.org/drawingml/2006/picture">
                      <pic:pic xmlns:pic="http://schemas.openxmlformats.org/drawingml/2006/picture">
                        <pic:nvPicPr>
                          <pic:cNvPr id="313" name="rect_SpCnt_9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470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1" name="rect_SpCnt_91"/>
                  <wp:cNvGraphicFramePr/>
                  <a:graphic xmlns:a="http://schemas.openxmlformats.org/drawingml/2006/main">
                    <a:graphicData uri="http://schemas.openxmlformats.org/drawingml/2006/picture">
                      <pic:pic xmlns:pic="http://schemas.openxmlformats.org/drawingml/2006/picture">
                        <pic:nvPicPr>
                          <pic:cNvPr id="321" name="rect_SpCnt_9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613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5" name="rect_SpCnt_92"/>
                  <wp:cNvGraphicFramePr/>
                  <a:graphic xmlns:a="http://schemas.openxmlformats.org/drawingml/2006/main">
                    <a:graphicData uri="http://schemas.openxmlformats.org/drawingml/2006/picture">
                      <pic:pic xmlns:pic="http://schemas.openxmlformats.org/drawingml/2006/picture">
                        <pic:nvPicPr>
                          <pic:cNvPr id="335" name="rect_SpCnt_9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715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5" name="rect_SpCnt_93"/>
                  <wp:cNvGraphicFramePr/>
                  <a:graphic xmlns:a="http://schemas.openxmlformats.org/drawingml/2006/main">
                    <a:graphicData uri="http://schemas.openxmlformats.org/drawingml/2006/picture">
                      <pic:pic xmlns:pic="http://schemas.openxmlformats.org/drawingml/2006/picture">
                        <pic:nvPicPr>
                          <pic:cNvPr id="345" name="rect_SpCnt_9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695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3" name="rect_SpCnt_94"/>
                  <wp:cNvGraphicFramePr/>
                  <a:graphic xmlns:a="http://schemas.openxmlformats.org/drawingml/2006/main">
                    <a:graphicData uri="http://schemas.openxmlformats.org/drawingml/2006/picture">
                      <pic:pic xmlns:pic="http://schemas.openxmlformats.org/drawingml/2006/picture">
                        <pic:nvPicPr>
                          <pic:cNvPr id="343" name="rect_SpCnt_9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674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1" name="rect_SpCnt_95"/>
                  <wp:cNvGraphicFramePr/>
                  <a:graphic xmlns:a="http://schemas.openxmlformats.org/drawingml/2006/main">
                    <a:graphicData uri="http://schemas.openxmlformats.org/drawingml/2006/picture">
                      <pic:pic xmlns:pic="http://schemas.openxmlformats.org/drawingml/2006/picture">
                        <pic:nvPicPr>
                          <pic:cNvPr id="341" name="rect_SpCnt_9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623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6" name="rect_SpCnt_96"/>
                  <wp:cNvGraphicFramePr/>
                  <a:graphic xmlns:a="http://schemas.openxmlformats.org/drawingml/2006/main">
                    <a:graphicData uri="http://schemas.openxmlformats.org/drawingml/2006/picture">
                      <pic:pic xmlns:pic="http://schemas.openxmlformats.org/drawingml/2006/picture">
                        <pic:nvPicPr>
                          <pic:cNvPr id="336" name="rect_SpCnt_9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633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7" name="rect_SpCnt_97"/>
                  <wp:cNvGraphicFramePr/>
                  <a:graphic xmlns:a="http://schemas.openxmlformats.org/drawingml/2006/main">
                    <a:graphicData uri="http://schemas.openxmlformats.org/drawingml/2006/picture">
                      <pic:pic xmlns:pic="http://schemas.openxmlformats.org/drawingml/2006/picture">
                        <pic:nvPicPr>
                          <pic:cNvPr id="337" name="rect_SpCnt_9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654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9" name="rect_SpCnt_98"/>
                  <wp:cNvGraphicFramePr/>
                  <a:graphic xmlns:a="http://schemas.openxmlformats.org/drawingml/2006/main">
                    <a:graphicData uri="http://schemas.openxmlformats.org/drawingml/2006/picture">
                      <pic:pic xmlns:pic="http://schemas.openxmlformats.org/drawingml/2006/picture">
                        <pic:nvPicPr>
                          <pic:cNvPr id="339" name="rect_SpCnt_9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644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8" name="rect_SpCnt_99"/>
                  <wp:cNvGraphicFramePr/>
                  <a:graphic xmlns:a="http://schemas.openxmlformats.org/drawingml/2006/main">
                    <a:graphicData uri="http://schemas.openxmlformats.org/drawingml/2006/picture">
                      <pic:pic xmlns:pic="http://schemas.openxmlformats.org/drawingml/2006/picture">
                        <pic:nvPicPr>
                          <pic:cNvPr id="338" name="rect_SpCnt_9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664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0" name="rect_SpCnt_100"/>
                  <wp:cNvGraphicFramePr/>
                  <a:graphic xmlns:a="http://schemas.openxmlformats.org/drawingml/2006/main">
                    <a:graphicData uri="http://schemas.openxmlformats.org/drawingml/2006/picture">
                      <pic:pic xmlns:pic="http://schemas.openxmlformats.org/drawingml/2006/picture">
                        <pic:nvPicPr>
                          <pic:cNvPr id="340" name="rect_SpCnt_10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705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4" name="rect_SpCnt_101"/>
                  <wp:cNvGraphicFramePr/>
                  <a:graphic xmlns:a="http://schemas.openxmlformats.org/drawingml/2006/main">
                    <a:graphicData uri="http://schemas.openxmlformats.org/drawingml/2006/picture">
                      <pic:pic xmlns:pic="http://schemas.openxmlformats.org/drawingml/2006/picture">
                        <pic:nvPicPr>
                          <pic:cNvPr id="344" name="rect_SpCnt_10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685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2" name="rect_SpCnt_102"/>
                  <wp:cNvGraphicFramePr/>
                  <a:graphic xmlns:a="http://schemas.openxmlformats.org/drawingml/2006/main">
                    <a:graphicData uri="http://schemas.openxmlformats.org/drawingml/2006/picture">
                      <pic:pic xmlns:pic="http://schemas.openxmlformats.org/drawingml/2006/picture">
                        <pic:nvPicPr>
                          <pic:cNvPr id="342" name="rect_SpCnt_10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756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9" name="rect_SpCnt_103"/>
                  <wp:cNvGraphicFramePr/>
                  <a:graphic xmlns:a="http://schemas.openxmlformats.org/drawingml/2006/main">
                    <a:graphicData uri="http://schemas.openxmlformats.org/drawingml/2006/picture">
                      <pic:pic xmlns:pic="http://schemas.openxmlformats.org/drawingml/2006/picture">
                        <pic:nvPicPr>
                          <pic:cNvPr id="349" name="rect_SpCnt_10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012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4" name="rect_SpCnt_104"/>
                  <wp:cNvGraphicFramePr/>
                  <a:graphic xmlns:a="http://schemas.openxmlformats.org/drawingml/2006/main">
                    <a:graphicData uri="http://schemas.openxmlformats.org/drawingml/2006/picture">
                      <pic:pic xmlns:pic="http://schemas.openxmlformats.org/drawingml/2006/picture">
                        <pic:nvPicPr>
                          <pic:cNvPr id="374" name="rect_SpCnt_10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920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5" name="rect_SpCnt_105"/>
                  <wp:cNvGraphicFramePr/>
                  <a:graphic xmlns:a="http://schemas.openxmlformats.org/drawingml/2006/main">
                    <a:graphicData uri="http://schemas.openxmlformats.org/drawingml/2006/picture">
                      <pic:pic xmlns:pic="http://schemas.openxmlformats.org/drawingml/2006/picture">
                        <pic:nvPicPr>
                          <pic:cNvPr id="365" name="rect_SpCnt_10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982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1" name="rect_SpCnt_106"/>
                  <wp:cNvGraphicFramePr/>
                  <a:graphic xmlns:a="http://schemas.openxmlformats.org/drawingml/2006/main">
                    <a:graphicData uri="http://schemas.openxmlformats.org/drawingml/2006/picture">
                      <pic:pic xmlns:pic="http://schemas.openxmlformats.org/drawingml/2006/picture">
                        <pic:nvPicPr>
                          <pic:cNvPr id="371" name="rect_SpCnt_10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033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6" name="rect_SpCnt_107"/>
                  <wp:cNvGraphicFramePr/>
                  <a:graphic xmlns:a="http://schemas.openxmlformats.org/drawingml/2006/main">
                    <a:graphicData uri="http://schemas.openxmlformats.org/drawingml/2006/picture">
                      <pic:pic xmlns:pic="http://schemas.openxmlformats.org/drawingml/2006/picture">
                        <pic:nvPicPr>
                          <pic:cNvPr id="376" name="rect_SpCnt_10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992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2" name="rect_SpCnt_108"/>
                  <wp:cNvGraphicFramePr/>
                  <a:graphic xmlns:a="http://schemas.openxmlformats.org/drawingml/2006/main">
                    <a:graphicData uri="http://schemas.openxmlformats.org/drawingml/2006/picture">
                      <pic:pic xmlns:pic="http://schemas.openxmlformats.org/drawingml/2006/picture">
                        <pic:nvPicPr>
                          <pic:cNvPr id="372" name="rect_SpCnt_10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879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1" name="rect_SpCnt_109"/>
                  <wp:cNvGraphicFramePr/>
                  <a:graphic xmlns:a="http://schemas.openxmlformats.org/drawingml/2006/main">
                    <a:graphicData uri="http://schemas.openxmlformats.org/drawingml/2006/picture">
                      <pic:pic xmlns:pic="http://schemas.openxmlformats.org/drawingml/2006/picture">
                        <pic:nvPicPr>
                          <pic:cNvPr id="361" name="rect_SpCnt_10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787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2" name="rect_SpCnt_110"/>
                  <wp:cNvGraphicFramePr/>
                  <a:graphic xmlns:a="http://schemas.openxmlformats.org/drawingml/2006/main">
                    <a:graphicData uri="http://schemas.openxmlformats.org/drawingml/2006/picture">
                      <pic:pic xmlns:pic="http://schemas.openxmlformats.org/drawingml/2006/picture">
                        <pic:nvPicPr>
                          <pic:cNvPr id="352" name="rect_SpCnt_11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023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5" name="rect_SpCnt_111"/>
                  <wp:cNvGraphicFramePr/>
                  <a:graphic xmlns:a="http://schemas.openxmlformats.org/drawingml/2006/main">
                    <a:graphicData uri="http://schemas.openxmlformats.org/drawingml/2006/picture">
                      <pic:pic xmlns:pic="http://schemas.openxmlformats.org/drawingml/2006/picture">
                        <pic:nvPicPr>
                          <pic:cNvPr id="375" name="rect_SpCnt_11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002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3" name="rect_SpCnt_112"/>
                  <wp:cNvGraphicFramePr/>
                  <a:graphic xmlns:a="http://schemas.openxmlformats.org/drawingml/2006/main">
                    <a:graphicData uri="http://schemas.openxmlformats.org/drawingml/2006/picture">
                      <pic:pic xmlns:pic="http://schemas.openxmlformats.org/drawingml/2006/picture">
                        <pic:nvPicPr>
                          <pic:cNvPr id="373" name="rect_SpCnt_11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043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7" name="rect_SpCnt_113"/>
                  <wp:cNvGraphicFramePr/>
                  <a:graphic xmlns:a="http://schemas.openxmlformats.org/drawingml/2006/main">
                    <a:graphicData uri="http://schemas.openxmlformats.org/drawingml/2006/picture">
                      <pic:pic xmlns:pic="http://schemas.openxmlformats.org/drawingml/2006/picture">
                        <pic:nvPicPr>
                          <pic:cNvPr id="377" name="rect_SpCnt_11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900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3" name="rect_SpCnt_114"/>
                  <wp:cNvGraphicFramePr/>
                  <a:graphic xmlns:a="http://schemas.openxmlformats.org/drawingml/2006/main">
                    <a:graphicData uri="http://schemas.openxmlformats.org/drawingml/2006/picture">
                      <pic:pic xmlns:pic="http://schemas.openxmlformats.org/drawingml/2006/picture">
                        <pic:nvPicPr>
                          <pic:cNvPr id="363" name="rect_SpCnt_11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930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6" name="rect_SpCnt_115"/>
                  <wp:cNvGraphicFramePr/>
                  <a:graphic xmlns:a="http://schemas.openxmlformats.org/drawingml/2006/main">
                    <a:graphicData uri="http://schemas.openxmlformats.org/drawingml/2006/picture">
                      <pic:pic xmlns:pic="http://schemas.openxmlformats.org/drawingml/2006/picture">
                        <pic:nvPicPr>
                          <pic:cNvPr id="366" name="rect_SpCnt_11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767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0" name="rect_SpCnt_116"/>
                  <wp:cNvGraphicFramePr/>
                  <a:graphic xmlns:a="http://schemas.openxmlformats.org/drawingml/2006/main">
                    <a:graphicData uri="http://schemas.openxmlformats.org/drawingml/2006/picture">
                      <pic:pic xmlns:pic="http://schemas.openxmlformats.org/drawingml/2006/picture">
                        <pic:nvPicPr>
                          <pic:cNvPr id="350" name="rect_SpCnt_11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726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6" name="rect_SpCnt_117"/>
                  <wp:cNvGraphicFramePr/>
                  <a:graphic xmlns:a="http://schemas.openxmlformats.org/drawingml/2006/main">
                    <a:graphicData uri="http://schemas.openxmlformats.org/drawingml/2006/picture">
                      <pic:pic xmlns:pic="http://schemas.openxmlformats.org/drawingml/2006/picture">
                        <pic:nvPicPr>
                          <pic:cNvPr id="346" name="rect_SpCnt_11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736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7" name="rect_SpCnt_118"/>
                  <wp:cNvGraphicFramePr/>
                  <a:graphic xmlns:a="http://schemas.openxmlformats.org/drawingml/2006/main">
                    <a:graphicData uri="http://schemas.openxmlformats.org/drawingml/2006/picture">
                      <pic:pic xmlns:pic="http://schemas.openxmlformats.org/drawingml/2006/picture">
                        <pic:nvPicPr>
                          <pic:cNvPr id="347" name="rect_SpCnt_11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746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8" name="rect_SpCnt_119"/>
                  <wp:cNvGraphicFramePr/>
                  <a:graphic xmlns:a="http://schemas.openxmlformats.org/drawingml/2006/main">
                    <a:graphicData uri="http://schemas.openxmlformats.org/drawingml/2006/picture">
                      <pic:pic xmlns:pic="http://schemas.openxmlformats.org/drawingml/2006/picture">
                        <pic:nvPicPr>
                          <pic:cNvPr id="348" name="rect_SpCnt_11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818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5" name="rect_SpCnt_120"/>
                  <wp:cNvGraphicFramePr/>
                  <a:graphic xmlns:a="http://schemas.openxmlformats.org/drawingml/2006/main">
                    <a:graphicData uri="http://schemas.openxmlformats.org/drawingml/2006/picture">
                      <pic:pic xmlns:pic="http://schemas.openxmlformats.org/drawingml/2006/picture">
                        <pic:nvPicPr>
                          <pic:cNvPr id="355" name="rect_SpCnt_12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869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0" name="rect_SpCnt_121"/>
                  <wp:cNvGraphicFramePr/>
                  <a:graphic xmlns:a="http://schemas.openxmlformats.org/drawingml/2006/main">
                    <a:graphicData uri="http://schemas.openxmlformats.org/drawingml/2006/picture">
                      <pic:pic xmlns:pic="http://schemas.openxmlformats.org/drawingml/2006/picture">
                        <pic:nvPicPr>
                          <pic:cNvPr id="360" name="rect_SpCnt_12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941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7" name="rect_SpCnt_122"/>
                  <wp:cNvGraphicFramePr/>
                  <a:graphic xmlns:a="http://schemas.openxmlformats.org/drawingml/2006/main">
                    <a:graphicData uri="http://schemas.openxmlformats.org/drawingml/2006/picture">
                      <pic:pic xmlns:pic="http://schemas.openxmlformats.org/drawingml/2006/picture">
                        <pic:nvPicPr>
                          <pic:cNvPr id="367" name="rect_SpCnt_12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777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1" name="rect_SpCnt_123"/>
                  <wp:cNvGraphicFramePr/>
                  <a:graphic xmlns:a="http://schemas.openxmlformats.org/drawingml/2006/main">
                    <a:graphicData uri="http://schemas.openxmlformats.org/drawingml/2006/picture">
                      <pic:pic xmlns:pic="http://schemas.openxmlformats.org/drawingml/2006/picture">
                        <pic:nvPicPr>
                          <pic:cNvPr id="351" name="rect_SpCnt_12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797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3" name="rect_SpCnt_124"/>
                  <wp:cNvGraphicFramePr/>
                  <a:graphic xmlns:a="http://schemas.openxmlformats.org/drawingml/2006/main">
                    <a:graphicData uri="http://schemas.openxmlformats.org/drawingml/2006/picture">
                      <pic:pic xmlns:pic="http://schemas.openxmlformats.org/drawingml/2006/picture">
                        <pic:nvPicPr>
                          <pic:cNvPr id="353" name="rect_SpCnt_12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951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8" name="rect_SpCnt_125"/>
                  <wp:cNvGraphicFramePr/>
                  <a:graphic xmlns:a="http://schemas.openxmlformats.org/drawingml/2006/main">
                    <a:graphicData uri="http://schemas.openxmlformats.org/drawingml/2006/picture">
                      <pic:pic xmlns:pic="http://schemas.openxmlformats.org/drawingml/2006/picture">
                        <pic:nvPicPr>
                          <pic:cNvPr id="368" name="rect_SpCnt_12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808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4" name="rect_SpCnt_126"/>
                  <wp:cNvGraphicFramePr/>
                  <a:graphic xmlns:a="http://schemas.openxmlformats.org/drawingml/2006/main">
                    <a:graphicData uri="http://schemas.openxmlformats.org/drawingml/2006/picture">
                      <pic:pic xmlns:pic="http://schemas.openxmlformats.org/drawingml/2006/picture">
                        <pic:nvPicPr>
                          <pic:cNvPr id="354" name="rect_SpCnt_12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828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6" name="rect_SpCnt_127"/>
                  <wp:cNvGraphicFramePr/>
                  <a:graphic xmlns:a="http://schemas.openxmlformats.org/drawingml/2006/main">
                    <a:graphicData uri="http://schemas.openxmlformats.org/drawingml/2006/picture">
                      <pic:pic xmlns:pic="http://schemas.openxmlformats.org/drawingml/2006/picture">
                        <pic:nvPicPr>
                          <pic:cNvPr id="356" name="rect_SpCnt_12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859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9" name="rect_SpCnt_128"/>
                  <wp:cNvGraphicFramePr/>
                  <a:graphic xmlns:a="http://schemas.openxmlformats.org/drawingml/2006/main">
                    <a:graphicData uri="http://schemas.openxmlformats.org/drawingml/2006/picture">
                      <pic:pic xmlns:pic="http://schemas.openxmlformats.org/drawingml/2006/picture">
                        <pic:nvPicPr>
                          <pic:cNvPr id="359" name="rect_SpCnt_12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838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7" name="rect_SpCnt_129"/>
                  <wp:cNvGraphicFramePr/>
                  <a:graphic xmlns:a="http://schemas.openxmlformats.org/drawingml/2006/main">
                    <a:graphicData uri="http://schemas.openxmlformats.org/drawingml/2006/picture">
                      <pic:pic xmlns:pic="http://schemas.openxmlformats.org/drawingml/2006/picture">
                        <pic:nvPicPr>
                          <pic:cNvPr id="357" name="rect_SpCnt_12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848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8" name="rect_SpCnt_130"/>
                  <wp:cNvGraphicFramePr/>
                  <a:graphic xmlns:a="http://schemas.openxmlformats.org/drawingml/2006/main">
                    <a:graphicData uri="http://schemas.openxmlformats.org/drawingml/2006/picture">
                      <pic:pic xmlns:pic="http://schemas.openxmlformats.org/drawingml/2006/picture">
                        <pic:nvPicPr>
                          <pic:cNvPr id="358" name="rect_SpCnt_13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889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2" name="rect_SpCnt_131"/>
                  <wp:cNvGraphicFramePr/>
                  <a:graphic xmlns:a="http://schemas.openxmlformats.org/drawingml/2006/main">
                    <a:graphicData uri="http://schemas.openxmlformats.org/drawingml/2006/picture">
                      <pic:pic xmlns:pic="http://schemas.openxmlformats.org/drawingml/2006/picture">
                        <pic:nvPicPr>
                          <pic:cNvPr id="362" name="rect_SpCnt_13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910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4" name="rect_SpCnt_132"/>
                  <wp:cNvGraphicFramePr/>
                  <a:graphic xmlns:a="http://schemas.openxmlformats.org/drawingml/2006/main">
                    <a:graphicData uri="http://schemas.openxmlformats.org/drawingml/2006/picture">
                      <pic:pic xmlns:pic="http://schemas.openxmlformats.org/drawingml/2006/picture">
                        <pic:nvPicPr>
                          <pic:cNvPr id="364" name="rect_SpCnt_13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961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9" name="rect_SpCnt_133"/>
                  <wp:cNvGraphicFramePr/>
                  <a:graphic xmlns:a="http://schemas.openxmlformats.org/drawingml/2006/main">
                    <a:graphicData uri="http://schemas.openxmlformats.org/drawingml/2006/picture">
                      <pic:pic xmlns:pic="http://schemas.openxmlformats.org/drawingml/2006/picture">
                        <pic:nvPicPr>
                          <pic:cNvPr id="369" name="rect_SpCnt_13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971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0" name="rect_SpCnt_134"/>
                  <wp:cNvGraphicFramePr/>
                  <a:graphic xmlns:a="http://schemas.openxmlformats.org/drawingml/2006/main">
                    <a:graphicData uri="http://schemas.openxmlformats.org/drawingml/2006/picture">
                      <pic:pic xmlns:pic="http://schemas.openxmlformats.org/drawingml/2006/picture">
                        <pic:nvPicPr>
                          <pic:cNvPr id="370" name="rect_SpCnt_13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207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93" name="rect_SpCnt_135"/>
                  <wp:cNvGraphicFramePr/>
                  <a:graphic xmlns:a="http://schemas.openxmlformats.org/drawingml/2006/main">
                    <a:graphicData uri="http://schemas.openxmlformats.org/drawingml/2006/picture">
                      <pic:pic xmlns:pic="http://schemas.openxmlformats.org/drawingml/2006/picture">
                        <pic:nvPicPr>
                          <pic:cNvPr id="393" name="rect_SpCnt_13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238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96" name="rect_SpCnt_136"/>
                  <wp:cNvGraphicFramePr/>
                  <a:graphic xmlns:a="http://schemas.openxmlformats.org/drawingml/2006/main">
                    <a:graphicData uri="http://schemas.openxmlformats.org/drawingml/2006/picture">
                      <pic:pic xmlns:pic="http://schemas.openxmlformats.org/drawingml/2006/picture">
                        <pic:nvPicPr>
                          <pic:cNvPr id="396" name="rect_SpCnt_13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360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08" name="rect_SpCnt_137"/>
                  <wp:cNvGraphicFramePr/>
                  <a:graphic xmlns:a="http://schemas.openxmlformats.org/drawingml/2006/main">
                    <a:graphicData uri="http://schemas.openxmlformats.org/drawingml/2006/picture">
                      <pic:pic xmlns:pic="http://schemas.openxmlformats.org/drawingml/2006/picture">
                        <pic:nvPicPr>
                          <pic:cNvPr id="408" name="rect_SpCnt_13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074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80" name="rect_SpCnt_138"/>
                  <wp:cNvGraphicFramePr/>
                  <a:graphic xmlns:a="http://schemas.openxmlformats.org/drawingml/2006/main">
                    <a:graphicData uri="http://schemas.openxmlformats.org/drawingml/2006/picture">
                      <pic:pic xmlns:pic="http://schemas.openxmlformats.org/drawingml/2006/picture">
                        <pic:nvPicPr>
                          <pic:cNvPr id="380" name="rect_SpCnt_13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084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81" name="rect_SpCnt_139"/>
                  <wp:cNvGraphicFramePr/>
                  <a:graphic xmlns:a="http://schemas.openxmlformats.org/drawingml/2006/main">
                    <a:graphicData uri="http://schemas.openxmlformats.org/drawingml/2006/picture">
                      <pic:pic xmlns:pic="http://schemas.openxmlformats.org/drawingml/2006/picture">
                        <pic:nvPicPr>
                          <pic:cNvPr id="381" name="rect_SpCnt_13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371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09" name="rect_SpCnt_140"/>
                  <wp:cNvGraphicFramePr/>
                  <a:graphic xmlns:a="http://schemas.openxmlformats.org/drawingml/2006/main">
                    <a:graphicData uri="http://schemas.openxmlformats.org/drawingml/2006/picture">
                      <pic:pic xmlns:pic="http://schemas.openxmlformats.org/drawingml/2006/picture">
                        <pic:nvPicPr>
                          <pic:cNvPr id="409" name="rect_SpCnt_14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115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84" name="rect_SpCnt_141"/>
                  <wp:cNvGraphicFramePr/>
                  <a:graphic xmlns:a="http://schemas.openxmlformats.org/drawingml/2006/main">
                    <a:graphicData uri="http://schemas.openxmlformats.org/drawingml/2006/picture">
                      <pic:pic xmlns:pic="http://schemas.openxmlformats.org/drawingml/2006/picture">
                        <pic:nvPicPr>
                          <pic:cNvPr id="384" name="rect_SpCnt_14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053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8" name="rect_SpCnt_142"/>
                  <wp:cNvGraphicFramePr/>
                  <a:graphic xmlns:a="http://schemas.openxmlformats.org/drawingml/2006/main">
                    <a:graphicData uri="http://schemas.openxmlformats.org/drawingml/2006/picture">
                      <pic:pic xmlns:pic="http://schemas.openxmlformats.org/drawingml/2006/picture">
                        <pic:nvPicPr>
                          <pic:cNvPr id="378" name="rect_SpCnt_14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320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04" name="rect_SpCnt_143"/>
                  <wp:cNvGraphicFramePr/>
                  <a:graphic xmlns:a="http://schemas.openxmlformats.org/drawingml/2006/main">
                    <a:graphicData uri="http://schemas.openxmlformats.org/drawingml/2006/picture">
                      <pic:pic xmlns:pic="http://schemas.openxmlformats.org/drawingml/2006/picture">
                        <pic:nvPicPr>
                          <pic:cNvPr id="404" name="rect_SpCnt_14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094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82" name="rect_SpCnt_144"/>
                  <wp:cNvGraphicFramePr/>
                  <a:graphic xmlns:a="http://schemas.openxmlformats.org/drawingml/2006/main">
                    <a:graphicData uri="http://schemas.openxmlformats.org/drawingml/2006/picture">
                      <pic:pic xmlns:pic="http://schemas.openxmlformats.org/drawingml/2006/picture">
                        <pic:nvPicPr>
                          <pic:cNvPr id="382" name="rect_SpCnt_14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330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05" name="rect_SpCnt_145"/>
                  <wp:cNvGraphicFramePr/>
                  <a:graphic xmlns:a="http://schemas.openxmlformats.org/drawingml/2006/main">
                    <a:graphicData uri="http://schemas.openxmlformats.org/drawingml/2006/picture">
                      <pic:pic xmlns:pic="http://schemas.openxmlformats.org/drawingml/2006/picture">
                        <pic:nvPicPr>
                          <pic:cNvPr id="405" name="rect_SpCnt_14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340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06" name="rect_SpCnt_146"/>
                  <wp:cNvGraphicFramePr/>
                  <a:graphic xmlns:a="http://schemas.openxmlformats.org/drawingml/2006/main">
                    <a:graphicData uri="http://schemas.openxmlformats.org/drawingml/2006/picture">
                      <pic:pic xmlns:pic="http://schemas.openxmlformats.org/drawingml/2006/picture">
                        <pic:nvPicPr>
                          <pic:cNvPr id="406" name="rect_SpCnt_14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350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07" name="rect_SpCnt_147"/>
                  <wp:cNvGraphicFramePr/>
                  <a:graphic xmlns:a="http://schemas.openxmlformats.org/drawingml/2006/main">
                    <a:graphicData uri="http://schemas.openxmlformats.org/drawingml/2006/picture">
                      <pic:pic xmlns:pic="http://schemas.openxmlformats.org/drawingml/2006/picture">
                        <pic:nvPicPr>
                          <pic:cNvPr id="407" name="rect_SpCnt_14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186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91" name="rect_SpCnt_148"/>
                  <wp:cNvGraphicFramePr/>
                  <a:graphic xmlns:a="http://schemas.openxmlformats.org/drawingml/2006/main">
                    <a:graphicData uri="http://schemas.openxmlformats.org/drawingml/2006/picture">
                      <pic:pic xmlns:pic="http://schemas.openxmlformats.org/drawingml/2006/picture">
                        <pic:nvPicPr>
                          <pic:cNvPr id="391" name="rect_SpCnt_14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104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83" name="rect_SpCnt_149"/>
                  <wp:cNvGraphicFramePr/>
                  <a:graphic xmlns:a="http://schemas.openxmlformats.org/drawingml/2006/main">
                    <a:graphicData uri="http://schemas.openxmlformats.org/drawingml/2006/picture">
                      <pic:pic xmlns:pic="http://schemas.openxmlformats.org/drawingml/2006/picture">
                        <pic:nvPicPr>
                          <pic:cNvPr id="383" name="rect_SpCnt_14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289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01" name="rect_SpCnt_150"/>
                  <wp:cNvGraphicFramePr/>
                  <a:graphic xmlns:a="http://schemas.openxmlformats.org/drawingml/2006/main">
                    <a:graphicData uri="http://schemas.openxmlformats.org/drawingml/2006/picture">
                      <pic:pic xmlns:pic="http://schemas.openxmlformats.org/drawingml/2006/picture">
                        <pic:nvPicPr>
                          <pic:cNvPr id="401" name="rect_SpCnt_15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217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94" name="rect_SpCnt_151"/>
                  <wp:cNvGraphicFramePr/>
                  <a:graphic xmlns:a="http://schemas.openxmlformats.org/drawingml/2006/main">
                    <a:graphicData uri="http://schemas.openxmlformats.org/drawingml/2006/picture">
                      <pic:pic xmlns:pic="http://schemas.openxmlformats.org/drawingml/2006/picture">
                        <pic:nvPicPr>
                          <pic:cNvPr id="394" name="rect_SpCnt_15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064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9" name="rect_SpCnt_152"/>
                  <wp:cNvGraphicFramePr/>
                  <a:graphic xmlns:a="http://schemas.openxmlformats.org/drawingml/2006/main">
                    <a:graphicData uri="http://schemas.openxmlformats.org/drawingml/2006/picture">
                      <pic:pic xmlns:pic="http://schemas.openxmlformats.org/drawingml/2006/picture">
                        <pic:nvPicPr>
                          <pic:cNvPr id="379" name="rect_SpCnt_15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145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87" name="rect_SpCnt_153"/>
                  <wp:cNvGraphicFramePr/>
                  <a:graphic xmlns:a="http://schemas.openxmlformats.org/drawingml/2006/main">
                    <a:graphicData uri="http://schemas.openxmlformats.org/drawingml/2006/picture">
                      <pic:pic xmlns:pic="http://schemas.openxmlformats.org/drawingml/2006/picture">
                        <pic:nvPicPr>
                          <pic:cNvPr id="387" name="rect_SpCnt_15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299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02" name="rect_SpCnt_154"/>
                  <wp:cNvGraphicFramePr/>
                  <a:graphic xmlns:a="http://schemas.openxmlformats.org/drawingml/2006/main">
                    <a:graphicData uri="http://schemas.openxmlformats.org/drawingml/2006/picture">
                      <pic:pic xmlns:pic="http://schemas.openxmlformats.org/drawingml/2006/picture">
                        <pic:nvPicPr>
                          <pic:cNvPr id="402" name="rect_SpCnt_15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309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03" name="rect_SpCnt_155"/>
                  <wp:cNvGraphicFramePr/>
                  <a:graphic xmlns:a="http://schemas.openxmlformats.org/drawingml/2006/main">
                    <a:graphicData uri="http://schemas.openxmlformats.org/drawingml/2006/picture">
                      <pic:pic xmlns:pic="http://schemas.openxmlformats.org/drawingml/2006/picture">
                        <pic:nvPicPr>
                          <pic:cNvPr id="403" name="rect_SpCnt_15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125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85" name="rect_SpCnt_156"/>
                  <wp:cNvGraphicFramePr/>
                  <a:graphic xmlns:a="http://schemas.openxmlformats.org/drawingml/2006/main">
                    <a:graphicData uri="http://schemas.openxmlformats.org/drawingml/2006/picture">
                      <pic:pic xmlns:pic="http://schemas.openxmlformats.org/drawingml/2006/picture">
                        <pic:nvPicPr>
                          <pic:cNvPr id="385" name="rect_SpCnt_15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135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86" name="rect_SpCnt_157"/>
                  <wp:cNvGraphicFramePr/>
                  <a:graphic xmlns:a="http://schemas.openxmlformats.org/drawingml/2006/main">
                    <a:graphicData uri="http://schemas.openxmlformats.org/drawingml/2006/picture">
                      <pic:pic xmlns:pic="http://schemas.openxmlformats.org/drawingml/2006/picture">
                        <pic:nvPicPr>
                          <pic:cNvPr id="386" name="rect_SpCnt_15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156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88" name="rect_SpCnt_158"/>
                  <wp:cNvGraphicFramePr/>
                  <a:graphic xmlns:a="http://schemas.openxmlformats.org/drawingml/2006/main">
                    <a:graphicData uri="http://schemas.openxmlformats.org/drawingml/2006/picture">
                      <pic:pic xmlns:pic="http://schemas.openxmlformats.org/drawingml/2006/picture">
                        <pic:nvPicPr>
                          <pic:cNvPr id="388" name="rect_SpCnt_15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166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89" name="rect_SpCnt_159"/>
                  <wp:cNvGraphicFramePr/>
                  <a:graphic xmlns:a="http://schemas.openxmlformats.org/drawingml/2006/main">
                    <a:graphicData uri="http://schemas.openxmlformats.org/drawingml/2006/picture">
                      <pic:pic xmlns:pic="http://schemas.openxmlformats.org/drawingml/2006/picture">
                        <pic:nvPicPr>
                          <pic:cNvPr id="389" name="rect_SpCnt_15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176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90" name="rect_SpCnt_160"/>
                  <wp:cNvGraphicFramePr/>
                  <a:graphic xmlns:a="http://schemas.openxmlformats.org/drawingml/2006/main">
                    <a:graphicData uri="http://schemas.openxmlformats.org/drawingml/2006/picture">
                      <pic:pic xmlns:pic="http://schemas.openxmlformats.org/drawingml/2006/picture">
                        <pic:nvPicPr>
                          <pic:cNvPr id="390" name="rect_SpCnt_16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197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92" name="rect_SpCnt_161"/>
                  <wp:cNvGraphicFramePr/>
                  <a:graphic xmlns:a="http://schemas.openxmlformats.org/drawingml/2006/main">
                    <a:graphicData uri="http://schemas.openxmlformats.org/drawingml/2006/picture">
                      <pic:pic xmlns:pic="http://schemas.openxmlformats.org/drawingml/2006/picture">
                        <pic:nvPicPr>
                          <pic:cNvPr id="392" name="rect_SpCnt_16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227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95" name="rect_SpCnt_162"/>
                  <wp:cNvGraphicFramePr/>
                  <a:graphic xmlns:a="http://schemas.openxmlformats.org/drawingml/2006/main">
                    <a:graphicData uri="http://schemas.openxmlformats.org/drawingml/2006/picture">
                      <pic:pic xmlns:pic="http://schemas.openxmlformats.org/drawingml/2006/picture">
                        <pic:nvPicPr>
                          <pic:cNvPr id="395" name="rect_SpCnt_16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248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97" name="rect_SpCnt_163"/>
                  <wp:cNvGraphicFramePr/>
                  <a:graphic xmlns:a="http://schemas.openxmlformats.org/drawingml/2006/main">
                    <a:graphicData uri="http://schemas.openxmlformats.org/drawingml/2006/picture">
                      <pic:pic xmlns:pic="http://schemas.openxmlformats.org/drawingml/2006/picture">
                        <pic:nvPicPr>
                          <pic:cNvPr id="397" name="rect_SpCnt_16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258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98" name="rect_SpCnt_164"/>
                  <wp:cNvGraphicFramePr/>
                  <a:graphic xmlns:a="http://schemas.openxmlformats.org/drawingml/2006/main">
                    <a:graphicData uri="http://schemas.openxmlformats.org/drawingml/2006/picture">
                      <pic:pic xmlns:pic="http://schemas.openxmlformats.org/drawingml/2006/picture">
                        <pic:nvPicPr>
                          <pic:cNvPr id="398" name="rect_SpCnt_16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268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99" name="rect_SpCnt_165"/>
                  <wp:cNvGraphicFramePr/>
                  <a:graphic xmlns:a="http://schemas.openxmlformats.org/drawingml/2006/main">
                    <a:graphicData uri="http://schemas.openxmlformats.org/drawingml/2006/picture">
                      <pic:pic xmlns:pic="http://schemas.openxmlformats.org/drawingml/2006/picture">
                        <pic:nvPicPr>
                          <pic:cNvPr id="399" name="rect_SpCnt_16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279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00" name="rect_SpCnt_166"/>
                  <wp:cNvGraphicFramePr/>
                  <a:graphic xmlns:a="http://schemas.openxmlformats.org/drawingml/2006/main">
                    <a:graphicData uri="http://schemas.openxmlformats.org/drawingml/2006/picture">
                      <pic:pic xmlns:pic="http://schemas.openxmlformats.org/drawingml/2006/picture">
                        <pic:nvPicPr>
                          <pic:cNvPr id="400" name="rect_SpCnt_16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576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9" name="rect_SpCnt_167"/>
                  <wp:cNvGraphicFramePr/>
                  <a:graphic xmlns:a="http://schemas.openxmlformats.org/drawingml/2006/main">
                    <a:graphicData uri="http://schemas.openxmlformats.org/drawingml/2006/picture">
                      <pic:pic xmlns:pic="http://schemas.openxmlformats.org/drawingml/2006/picture">
                        <pic:nvPicPr>
                          <pic:cNvPr id="429" name="rect_SpCnt_16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688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0" name="rect_SpCnt_168"/>
                  <wp:cNvGraphicFramePr/>
                  <a:graphic xmlns:a="http://schemas.openxmlformats.org/drawingml/2006/main">
                    <a:graphicData uri="http://schemas.openxmlformats.org/drawingml/2006/picture">
                      <pic:pic xmlns:pic="http://schemas.openxmlformats.org/drawingml/2006/picture">
                        <pic:nvPicPr>
                          <pic:cNvPr id="440" name="rect_SpCnt_16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565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8" name="rect_SpCnt_169"/>
                  <wp:cNvGraphicFramePr/>
                  <a:graphic xmlns:a="http://schemas.openxmlformats.org/drawingml/2006/main">
                    <a:graphicData uri="http://schemas.openxmlformats.org/drawingml/2006/picture">
                      <pic:pic xmlns:pic="http://schemas.openxmlformats.org/drawingml/2006/picture">
                        <pic:nvPicPr>
                          <pic:cNvPr id="428" name="rect_SpCnt_16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627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4" name="rect_SpCnt_170"/>
                  <wp:cNvGraphicFramePr/>
                  <a:graphic xmlns:a="http://schemas.openxmlformats.org/drawingml/2006/main">
                    <a:graphicData uri="http://schemas.openxmlformats.org/drawingml/2006/picture">
                      <pic:pic xmlns:pic="http://schemas.openxmlformats.org/drawingml/2006/picture">
                        <pic:nvPicPr>
                          <pic:cNvPr id="434" name="rect_SpCnt_17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596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1" name="rect_SpCnt_171"/>
                  <wp:cNvGraphicFramePr/>
                  <a:graphic xmlns:a="http://schemas.openxmlformats.org/drawingml/2006/main">
                    <a:graphicData uri="http://schemas.openxmlformats.org/drawingml/2006/picture">
                      <pic:pic xmlns:pic="http://schemas.openxmlformats.org/drawingml/2006/picture">
                        <pic:nvPicPr>
                          <pic:cNvPr id="431" name="rect_SpCnt_17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678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9" name="rect_SpCnt_172"/>
                  <wp:cNvGraphicFramePr/>
                  <a:graphic xmlns:a="http://schemas.openxmlformats.org/drawingml/2006/main">
                    <a:graphicData uri="http://schemas.openxmlformats.org/drawingml/2006/picture">
                      <pic:pic xmlns:pic="http://schemas.openxmlformats.org/drawingml/2006/picture">
                        <pic:nvPicPr>
                          <pic:cNvPr id="439" name="rect_SpCnt_17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483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0" name="rect_SpCnt_173"/>
                  <wp:cNvGraphicFramePr/>
                  <a:graphic xmlns:a="http://schemas.openxmlformats.org/drawingml/2006/main">
                    <a:graphicData uri="http://schemas.openxmlformats.org/drawingml/2006/picture">
                      <pic:pic xmlns:pic="http://schemas.openxmlformats.org/drawingml/2006/picture">
                        <pic:nvPicPr>
                          <pic:cNvPr id="420" name="rect_SpCnt_17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412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13" name="rect_SpCnt_174"/>
                  <wp:cNvGraphicFramePr/>
                  <a:graphic xmlns:a="http://schemas.openxmlformats.org/drawingml/2006/main">
                    <a:graphicData uri="http://schemas.openxmlformats.org/drawingml/2006/picture">
                      <pic:pic xmlns:pic="http://schemas.openxmlformats.org/drawingml/2006/picture">
                        <pic:nvPicPr>
                          <pic:cNvPr id="413" name="rect_SpCnt_17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401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12" name="rect_SpCnt_175"/>
                  <wp:cNvGraphicFramePr/>
                  <a:graphic xmlns:a="http://schemas.openxmlformats.org/drawingml/2006/main">
                    <a:graphicData uri="http://schemas.openxmlformats.org/drawingml/2006/picture">
                      <pic:pic xmlns:pic="http://schemas.openxmlformats.org/drawingml/2006/picture">
                        <pic:nvPicPr>
                          <pic:cNvPr id="412" name="rect_SpCnt_17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698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1" name="rect_SpCnt_176"/>
                  <wp:cNvGraphicFramePr/>
                  <a:graphic xmlns:a="http://schemas.openxmlformats.org/drawingml/2006/main">
                    <a:graphicData uri="http://schemas.openxmlformats.org/drawingml/2006/picture">
                      <pic:pic xmlns:pic="http://schemas.openxmlformats.org/drawingml/2006/picture">
                        <pic:nvPicPr>
                          <pic:cNvPr id="441" name="rect_SpCnt_17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606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2" name="rect_SpCnt_177"/>
                  <wp:cNvGraphicFramePr/>
                  <a:graphic xmlns:a="http://schemas.openxmlformats.org/drawingml/2006/main">
                    <a:graphicData uri="http://schemas.openxmlformats.org/drawingml/2006/picture">
                      <pic:pic xmlns:pic="http://schemas.openxmlformats.org/drawingml/2006/picture">
                        <pic:nvPicPr>
                          <pic:cNvPr id="432" name="rect_SpCnt_17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494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1" name="rect_SpCnt_178"/>
                  <wp:cNvGraphicFramePr/>
                  <a:graphic xmlns:a="http://schemas.openxmlformats.org/drawingml/2006/main">
                    <a:graphicData uri="http://schemas.openxmlformats.org/drawingml/2006/picture">
                      <pic:pic xmlns:pic="http://schemas.openxmlformats.org/drawingml/2006/picture">
                        <pic:nvPicPr>
                          <pic:cNvPr id="421" name="rect_SpCnt_17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555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7" name="rect_SpCnt_179"/>
                  <wp:cNvGraphicFramePr/>
                  <a:graphic xmlns:a="http://schemas.openxmlformats.org/drawingml/2006/main">
                    <a:graphicData uri="http://schemas.openxmlformats.org/drawingml/2006/picture">
                      <pic:pic xmlns:pic="http://schemas.openxmlformats.org/drawingml/2006/picture">
                        <pic:nvPicPr>
                          <pic:cNvPr id="427" name="rect_SpCnt_17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504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2" name="rect_SpCnt_180"/>
                  <wp:cNvGraphicFramePr/>
                  <a:graphic xmlns:a="http://schemas.openxmlformats.org/drawingml/2006/main">
                    <a:graphicData uri="http://schemas.openxmlformats.org/drawingml/2006/picture">
                      <pic:pic xmlns:pic="http://schemas.openxmlformats.org/drawingml/2006/picture">
                        <pic:nvPicPr>
                          <pic:cNvPr id="422" name="rect_SpCnt_18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391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11" name="rect_SpCnt_181"/>
                  <wp:cNvGraphicFramePr/>
                  <a:graphic xmlns:a="http://schemas.openxmlformats.org/drawingml/2006/main">
                    <a:graphicData uri="http://schemas.openxmlformats.org/drawingml/2006/picture">
                      <pic:pic xmlns:pic="http://schemas.openxmlformats.org/drawingml/2006/picture">
                        <pic:nvPicPr>
                          <pic:cNvPr id="411" name="rect_SpCnt_18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422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14" name="rect_SpCnt_182"/>
                  <wp:cNvGraphicFramePr/>
                  <a:graphic xmlns:a="http://schemas.openxmlformats.org/drawingml/2006/main">
                    <a:graphicData uri="http://schemas.openxmlformats.org/drawingml/2006/picture">
                      <pic:pic xmlns:pic="http://schemas.openxmlformats.org/drawingml/2006/picture">
                        <pic:nvPicPr>
                          <pic:cNvPr id="414" name="rect_SpCnt_18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381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10" name="rect_SpCnt_183"/>
                  <wp:cNvGraphicFramePr/>
                  <a:graphic xmlns:a="http://schemas.openxmlformats.org/drawingml/2006/main">
                    <a:graphicData uri="http://schemas.openxmlformats.org/drawingml/2006/picture">
                      <pic:pic xmlns:pic="http://schemas.openxmlformats.org/drawingml/2006/picture">
                        <pic:nvPicPr>
                          <pic:cNvPr id="410" name="rect_SpCnt_18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524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4" name="rect_SpCnt_184"/>
                  <wp:cNvGraphicFramePr/>
                  <a:graphic xmlns:a="http://schemas.openxmlformats.org/drawingml/2006/main">
                    <a:graphicData uri="http://schemas.openxmlformats.org/drawingml/2006/picture">
                      <pic:pic xmlns:pic="http://schemas.openxmlformats.org/drawingml/2006/picture">
                        <pic:nvPicPr>
                          <pic:cNvPr id="424" name="rect_SpCnt_18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647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6" name="rect_SpCnt_185"/>
                  <wp:cNvGraphicFramePr/>
                  <a:graphic xmlns:a="http://schemas.openxmlformats.org/drawingml/2006/main">
                    <a:graphicData uri="http://schemas.openxmlformats.org/drawingml/2006/picture">
                      <pic:pic xmlns:pic="http://schemas.openxmlformats.org/drawingml/2006/picture">
                        <pic:nvPicPr>
                          <pic:cNvPr id="436" name="rect_SpCnt_18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586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0" name="rect_SpCnt_186"/>
                  <wp:cNvGraphicFramePr/>
                  <a:graphic xmlns:a="http://schemas.openxmlformats.org/drawingml/2006/main">
                    <a:graphicData uri="http://schemas.openxmlformats.org/drawingml/2006/picture">
                      <pic:pic xmlns:pic="http://schemas.openxmlformats.org/drawingml/2006/picture">
                        <pic:nvPicPr>
                          <pic:cNvPr id="430" name="rect_SpCnt_18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453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17" name="rect_SpCnt_187"/>
                  <wp:cNvGraphicFramePr/>
                  <a:graphic xmlns:a="http://schemas.openxmlformats.org/drawingml/2006/main">
                    <a:graphicData uri="http://schemas.openxmlformats.org/drawingml/2006/picture">
                      <pic:pic xmlns:pic="http://schemas.openxmlformats.org/drawingml/2006/picture">
                        <pic:nvPicPr>
                          <pic:cNvPr id="417" name="rect_SpCnt_18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432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15" name="rect_SpCnt_188"/>
                  <wp:cNvGraphicFramePr/>
                  <a:graphic xmlns:a="http://schemas.openxmlformats.org/drawingml/2006/main">
                    <a:graphicData uri="http://schemas.openxmlformats.org/drawingml/2006/picture">
                      <pic:pic xmlns:pic="http://schemas.openxmlformats.org/drawingml/2006/picture">
                        <pic:nvPicPr>
                          <pic:cNvPr id="415" name="rect_SpCnt_18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442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16" name="rect_SpCnt_189"/>
                  <wp:cNvGraphicFramePr/>
                  <a:graphic xmlns:a="http://schemas.openxmlformats.org/drawingml/2006/main">
                    <a:graphicData uri="http://schemas.openxmlformats.org/drawingml/2006/picture">
                      <pic:pic xmlns:pic="http://schemas.openxmlformats.org/drawingml/2006/picture">
                        <pic:nvPicPr>
                          <pic:cNvPr id="416" name="rect_SpCnt_18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657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7" name="rect_SpCnt_190"/>
                  <wp:cNvGraphicFramePr/>
                  <a:graphic xmlns:a="http://schemas.openxmlformats.org/drawingml/2006/main">
                    <a:graphicData uri="http://schemas.openxmlformats.org/drawingml/2006/picture">
                      <pic:pic xmlns:pic="http://schemas.openxmlformats.org/drawingml/2006/picture">
                        <pic:nvPicPr>
                          <pic:cNvPr id="437" name="rect_SpCnt_19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637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5" name="rect_SpCnt_191"/>
                  <wp:cNvGraphicFramePr/>
                  <a:graphic xmlns:a="http://schemas.openxmlformats.org/drawingml/2006/main">
                    <a:graphicData uri="http://schemas.openxmlformats.org/drawingml/2006/picture">
                      <pic:pic xmlns:pic="http://schemas.openxmlformats.org/drawingml/2006/picture">
                        <pic:nvPicPr>
                          <pic:cNvPr id="435" name="rect_SpCnt_19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463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18" name="rect_SpCnt_192"/>
                  <wp:cNvGraphicFramePr/>
                  <a:graphic xmlns:a="http://schemas.openxmlformats.org/drawingml/2006/main">
                    <a:graphicData uri="http://schemas.openxmlformats.org/drawingml/2006/picture">
                      <pic:pic xmlns:pic="http://schemas.openxmlformats.org/drawingml/2006/picture">
                        <pic:nvPicPr>
                          <pic:cNvPr id="418" name="rect_SpCnt_19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668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8" name="rect_SpCnt_193"/>
                  <wp:cNvGraphicFramePr/>
                  <a:graphic xmlns:a="http://schemas.openxmlformats.org/drawingml/2006/main">
                    <a:graphicData uri="http://schemas.openxmlformats.org/drawingml/2006/picture">
                      <pic:pic xmlns:pic="http://schemas.openxmlformats.org/drawingml/2006/picture">
                        <pic:nvPicPr>
                          <pic:cNvPr id="438" name="rect_SpCnt_19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473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19" name="rect_SpCnt_194"/>
                  <wp:cNvGraphicFramePr/>
                  <a:graphic xmlns:a="http://schemas.openxmlformats.org/drawingml/2006/main">
                    <a:graphicData uri="http://schemas.openxmlformats.org/drawingml/2006/picture">
                      <pic:pic xmlns:pic="http://schemas.openxmlformats.org/drawingml/2006/picture">
                        <pic:nvPicPr>
                          <pic:cNvPr id="419" name="rect_SpCnt_19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514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3" name="rect_SpCnt_195"/>
                  <wp:cNvGraphicFramePr/>
                  <a:graphic xmlns:a="http://schemas.openxmlformats.org/drawingml/2006/main">
                    <a:graphicData uri="http://schemas.openxmlformats.org/drawingml/2006/picture">
                      <pic:pic xmlns:pic="http://schemas.openxmlformats.org/drawingml/2006/picture">
                        <pic:nvPicPr>
                          <pic:cNvPr id="423" name="rect_SpCnt_19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535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5" name="rect_SpCnt_196"/>
                  <wp:cNvGraphicFramePr/>
                  <a:graphic xmlns:a="http://schemas.openxmlformats.org/drawingml/2006/main">
                    <a:graphicData uri="http://schemas.openxmlformats.org/drawingml/2006/picture">
                      <pic:pic xmlns:pic="http://schemas.openxmlformats.org/drawingml/2006/picture">
                        <pic:nvPicPr>
                          <pic:cNvPr id="425" name="rect_SpCnt_19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545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6" name="rect_SpCnt_197"/>
                  <wp:cNvGraphicFramePr/>
                  <a:graphic xmlns:a="http://schemas.openxmlformats.org/drawingml/2006/main">
                    <a:graphicData uri="http://schemas.openxmlformats.org/drawingml/2006/picture">
                      <pic:pic xmlns:pic="http://schemas.openxmlformats.org/drawingml/2006/picture">
                        <pic:nvPicPr>
                          <pic:cNvPr id="426" name="rect_SpCnt_19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616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3" name="rect_SpCnt_198"/>
                  <wp:cNvGraphicFramePr/>
                  <a:graphic xmlns:a="http://schemas.openxmlformats.org/drawingml/2006/main">
                    <a:graphicData uri="http://schemas.openxmlformats.org/drawingml/2006/picture">
                      <pic:pic xmlns:pic="http://schemas.openxmlformats.org/drawingml/2006/picture">
                        <pic:nvPicPr>
                          <pic:cNvPr id="433" name="rect_SpCnt_19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709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2" name="rect_SpCnt_199"/>
                  <wp:cNvGraphicFramePr/>
                  <a:graphic xmlns:a="http://schemas.openxmlformats.org/drawingml/2006/main">
                    <a:graphicData uri="http://schemas.openxmlformats.org/drawingml/2006/picture">
                      <pic:pic xmlns:pic="http://schemas.openxmlformats.org/drawingml/2006/picture">
                        <pic:nvPicPr>
                          <pic:cNvPr id="442" name="rect_SpCnt_19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780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9" name="rect_SpCnt_200"/>
                  <wp:cNvGraphicFramePr/>
                  <a:graphic xmlns:a="http://schemas.openxmlformats.org/drawingml/2006/main">
                    <a:graphicData uri="http://schemas.openxmlformats.org/drawingml/2006/picture">
                      <pic:pic xmlns:pic="http://schemas.openxmlformats.org/drawingml/2006/picture">
                        <pic:nvPicPr>
                          <pic:cNvPr id="449" name="rect_SpCnt_20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791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0" name="rect_SpCnt_201"/>
                  <wp:cNvGraphicFramePr/>
                  <a:graphic xmlns:a="http://schemas.openxmlformats.org/drawingml/2006/main">
                    <a:graphicData uri="http://schemas.openxmlformats.org/drawingml/2006/picture">
                      <pic:pic xmlns:pic="http://schemas.openxmlformats.org/drawingml/2006/picture">
                        <pic:nvPicPr>
                          <pic:cNvPr id="450" name="rect_SpCnt_20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016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2" name="rect_SpCnt_202"/>
                  <wp:cNvGraphicFramePr/>
                  <a:graphic xmlns:a="http://schemas.openxmlformats.org/drawingml/2006/main">
                    <a:graphicData uri="http://schemas.openxmlformats.org/drawingml/2006/picture">
                      <pic:pic xmlns:pic="http://schemas.openxmlformats.org/drawingml/2006/picture">
                        <pic:nvPicPr>
                          <pic:cNvPr id="472" name="rect_SpCnt_20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026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3" name="rect_SpCnt_203"/>
                  <wp:cNvGraphicFramePr/>
                  <a:graphic xmlns:a="http://schemas.openxmlformats.org/drawingml/2006/main">
                    <a:graphicData uri="http://schemas.openxmlformats.org/drawingml/2006/picture">
                      <pic:pic xmlns:pic="http://schemas.openxmlformats.org/drawingml/2006/picture">
                        <pic:nvPicPr>
                          <pic:cNvPr id="473" name="rect_SpCnt_20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719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3" name="rect_SpCnt_204"/>
                  <wp:cNvGraphicFramePr/>
                  <a:graphic xmlns:a="http://schemas.openxmlformats.org/drawingml/2006/main">
                    <a:graphicData uri="http://schemas.openxmlformats.org/drawingml/2006/picture">
                      <pic:pic xmlns:pic="http://schemas.openxmlformats.org/drawingml/2006/picture">
                        <pic:nvPicPr>
                          <pic:cNvPr id="443" name="rect_SpCnt_20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729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4" name="rect_SpCnt_205"/>
                  <wp:cNvGraphicFramePr/>
                  <a:graphic xmlns:a="http://schemas.openxmlformats.org/drawingml/2006/main">
                    <a:graphicData uri="http://schemas.openxmlformats.org/drawingml/2006/picture">
                      <pic:pic xmlns:pic="http://schemas.openxmlformats.org/drawingml/2006/picture">
                        <pic:nvPicPr>
                          <pic:cNvPr id="444" name="rect_SpCnt_20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006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1" name="rect_SpCnt_206"/>
                  <wp:cNvGraphicFramePr/>
                  <a:graphic xmlns:a="http://schemas.openxmlformats.org/drawingml/2006/main">
                    <a:graphicData uri="http://schemas.openxmlformats.org/drawingml/2006/picture">
                      <pic:pic xmlns:pic="http://schemas.openxmlformats.org/drawingml/2006/picture">
                        <pic:nvPicPr>
                          <pic:cNvPr id="471" name="rect_SpCnt_20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770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8" name="rect_SpCnt_207"/>
                  <wp:cNvGraphicFramePr/>
                  <a:graphic xmlns:a="http://schemas.openxmlformats.org/drawingml/2006/main">
                    <a:graphicData uri="http://schemas.openxmlformats.org/drawingml/2006/picture">
                      <pic:pic xmlns:pic="http://schemas.openxmlformats.org/drawingml/2006/picture">
                        <pic:nvPicPr>
                          <pic:cNvPr id="448" name="rect_SpCnt_20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954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6" name="rect_SpCnt_208"/>
                  <wp:cNvGraphicFramePr/>
                  <a:graphic xmlns:a="http://schemas.openxmlformats.org/drawingml/2006/main">
                    <a:graphicData uri="http://schemas.openxmlformats.org/drawingml/2006/picture">
                      <pic:pic xmlns:pic="http://schemas.openxmlformats.org/drawingml/2006/picture">
                        <pic:nvPicPr>
                          <pic:cNvPr id="466" name="rect_SpCnt_20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739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5" name="rect_SpCnt_209"/>
                  <wp:cNvGraphicFramePr/>
                  <a:graphic xmlns:a="http://schemas.openxmlformats.org/drawingml/2006/main">
                    <a:graphicData uri="http://schemas.openxmlformats.org/drawingml/2006/picture">
                      <pic:pic xmlns:pic="http://schemas.openxmlformats.org/drawingml/2006/picture">
                        <pic:nvPicPr>
                          <pic:cNvPr id="445" name="rect_SpCnt_20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862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7" name="rect_SpCnt_210"/>
                  <wp:cNvGraphicFramePr/>
                  <a:graphic xmlns:a="http://schemas.openxmlformats.org/drawingml/2006/main">
                    <a:graphicData uri="http://schemas.openxmlformats.org/drawingml/2006/picture">
                      <pic:pic xmlns:pic="http://schemas.openxmlformats.org/drawingml/2006/picture">
                        <pic:nvPicPr>
                          <pic:cNvPr id="457" name="rect_SpCnt_21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903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1" name="rect_SpCnt_211"/>
                  <wp:cNvGraphicFramePr/>
                  <a:graphic xmlns:a="http://schemas.openxmlformats.org/drawingml/2006/main">
                    <a:graphicData uri="http://schemas.openxmlformats.org/drawingml/2006/picture">
                      <pic:pic xmlns:pic="http://schemas.openxmlformats.org/drawingml/2006/picture">
                        <pic:nvPicPr>
                          <pic:cNvPr id="461" name="rect_SpCnt_21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872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8" name="rect_SpCnt_212"/>
                  <wp:cNvGraphicFramePr/>
                  <a:graphic xmlns:a="http://schemas.openxmlformats.org/drawingml/2006/main">
                    <a:graphicData uri="http://schemas.openxmlformats.org/drawingml/2006/picture">
                      <pic:pic xmlns:pic="http://schemas.openxmlformats.org/drawingml/2006/picture">
                        <pic:nvPicPr>
                          <pic:cNvPr id="458" name="rect_SpCnt_21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975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8" name="rect_SpCnt_213"/>
                  <wp:cNvGraphicFramePr/>
                  <a:graphic xmlns:a="http://schemas.openxmlformats.org/drawingml/2006/main">
                    <a:graphicData uri="http://schemas.openxmlformats.org/drawingml/2006/picture">
                      <pic:pic xmlns:pic="http://schemas.openxmlformats.org/drawingml/2006/picture">
                        <pic:nvPicPr>
                          <pic:cNvPr id="468" name="rect_SpCnt_21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842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5" name="rect_SpCnt_214"/>
                  <wp:cNvGraphicFramePr/>
                  <a:graphic xmlns:a="http://schemas.openxmlformats.org/drawingml/2006/main">
                    <a:graphicData uri="http://schemas.openxmlformats.org/drawingml/2006/picture">
                      <pic:pic xmlns:pic="http://schemas.openxmlformats.org/drawingml/2006/picture">
                        <pic:nvPicPr>
                          <pic:cNvPr id="455" name="rect_SpCnt_21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760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7" name="rect_SpCnt_215"/>
                  <wp:cNvGraphicFramePr/>
                  <a:graphic xmlns:a="http://schemas.openxmlformats.org/drawingml/2006/main">
                    <a:graphicData uri="http://schemas.openxmlformats.org/drawingml/2006/picture">
                      <pic:pic xmlns:pic="http://schemas.openxmlformats.org/drawingml/2006/picture">
                        <pic:nvPicPr>
                          <pic:cNvPr id="447" name="rect_SpCnt_21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883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9" name="rect_SpCnt_216"/>
                  <wp:cNvGraphicFramePr/>
                  <a:graphic xmlns:a="http://schemas.openxmlformats.org/drawingml/2006/main">
                    <a:graphicData uri="http://schemas.openxmlformats.org/drawingml/2006/picture">
                      <pic:pic xmlns:pic="http://schemas.openxmlformats.org/drawingml/2006/picture">
                        <pic:nvPicPr>
                          <pic:cNvPr id="459" name="rect_SpCnt_21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801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1" name="rect_SpCnt_217"/>
                  <wp:cNvGraphicFramePr/>
                  <a:graphic xmlns:a="http://schemas.openxmlformats.org/drawingml/2006/main">
                    <a:graphicData uri="http://schemas.openxmlformats.org/drawingml/2006/picture">
                      <pic:pic xmlns:pic="http://schemas.openxmlformats.org/drawingml/2006/picture">
                        <pic:nvPicPr>
                          <pic:cNvPr id="451" name="rect_SpCnt_21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913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2" name="rect_SpCnt_218"/>
                  <wp:cNvGraphicFramePr/>
                  <a:graphic xmlns:a="http://schemas.openxmlformats.org/drawingml/2006/main">
                    <a:graphicData uri="http://schemas.openxmlformats.org/drawingml/2006/picture">
                      <pic:pic xmlns:pic="http://schemas.openxmlformats.org/drawingml/2006/picture">
                        <pic:nvPicPr>
                          <pic:cNvPr id="462" name="rect_SpCnt_21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750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6" name="rect_SpCnt_219"/>
                  <wp:cNvGraphicFramePr/>
                  <a:graphic xmlns:a="http://schemas.openxmlformats.org/drawingml/2006/main">
                    <a:graphicData uri="http://schemas.openxmlformats.org/drawingml/2006/picture">
                      <pic:pic xmlns:pic="http://schemas.openxmlformats.org/drawingml/2006/picture">
                        <pic:nvPicPr>
                          <pic:cNvPr id="446" name="rect_SpCnt_21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934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4" name="rect_SpCnt_220"/>
                  <wp:cNvGraphicFramePr/>
                  <a:graphic xmlns:a="http://schemas.openxmlformats.org/drawingml/2006/main">
                    <a:graphicData uri="http://schemas.openxmlformats.org/drawingml/2006/picture">
                      <pic:pic xmlns:pic="http://schemas.openxmlformats.org/drawingml/2006/picture">
                        <pic:nvPicPr>
                          <pic:cNvPr id="464" name="rect_SpCnt_22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811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2" name="rect_SpCnt_221"/>
                  <wp:cNvGraphicFramePr/>
                  <a:graphic xmlns:a="http://schemas.openxmlformats.org/drawingml/2006/main">
                    <a:graphicData uri="http://schemas.openxmlformats.org/drawingml/2006/picture">
                      <pic:pic xmlns:pic="http://schemas.openxmlformats.org/drawingml/2006/picture">
                        <pic:nvPicPr>
                          <pic:cNvPr id="452" name="rect_SpCnt_22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924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3" name="rect_SpCnt_222"/>
                  <wp:cNvGraphicFramePr/>
                  <a:graphic xmlns:a="http://schemas.openxmlformats.org/drawingml/2006/main">
                    <a:graphicData uri="http://schemas.openxmlformats.org/drawingml/2006/picture">
                      <pic:pic xmlns:pic="http://schemas.openxmlformats.org/drawingml/2006/picture">
                        <pic:nvPicPr>
                          <pic:cNvPr id="463" name="rect_SpCnt_22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821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3" name="rect_SpCnt_223"/>
                  <wp:cNvGraphicFramePr/>
                  <a:graphic xmlns:a="http://schemas.openxmlformats.org/drawingml/2006/main">
                    <a:graphicData uri="http://schemas.openxmlformats.org/drawingml/2006/picture">
                      <pic:pic xmlns:pic="http://schemas.openxmlformats.org/drawingml/2006/picture">
                        <pic:nvPicPr>
                          <pic:cNvPr id="453" name="rect_SpCnt_22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893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0" name="rect_SpCnt_224"/>
                  <wp:cNvGraphicFramePr/>
                  <a:graphic xmlns:a="http://schemas.openxmlformats.org/drawingml/2006/main">
                    <a:graphicData uri="http://schemas.openxmlformats.org/drawingml/2006/picture">
                      <pic:pic xmlns:pic="http://schemas.openxmlformats.org/drawingml/2006/picture">
                        <pic:nvPicPr>
                          <pic:cNvPr id="460" name="rect_SpCnt_22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832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4" name="rect_SpCnt_225"/>
                  <wp:cNvGraphicFramePr/>
                  <a:graphic xmlns:a="http://schemas.openxmlformats.org/drawingml/2006/main">
                    <a:graphicData uri="http://schemas.openxmlformats.org/drawingml/2006/picture">
                      <pic:pic xmlns:pic="http://schemas.openxmlformats.org/drawingml/2006/picture">
                        <pic:nvPicPr>
                          <pic:cNvPr id="454" name="rect_SpCnt_22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985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9" name="rect_SpCnt_226"/>
                  <wp:cNvGraphicFramePr/>
                  <a:graphic xmlns:a="http://schemas.openxmlformats.org/drawingml/2006/main">
                    <a:graphicData uri="http://schemas.openxmlformats.org/drawingml/2006/picture">
                      <pic:pic xmlns:pic="http://schemas.openxmlformats.org/drawingml/2006/picture">
                        <pic:nvPicPr>
                          <pic:cNvPr id="469" name="rect_SpCnt_22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852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6" name="rect_SpCnt_227"/>
                  <wp:cNvGraphicFramePr/>
                  <a:graphic xmlns:a="http://schemas.openxmlformats.org/drawingml/2006/main">
                    <a:graphicData uri="http://schemas.openxmlformats.org/drawingml/2006/picture">
                      <pic:pic xmlns:pic="http://schemas.openxmlformats.org/drawingml/2006/picture">
                        <pic:nvPicPr>
                          <pic:cNvPr id="456" name="rect_SpCnt_22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944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5" name="rect_SpCnt_228"/>
                  <wp:cNvGraphicFramePr/>
                  <a:graphic xmlns:a="http://schemas.openxmlformats.org/drawingml/2006/main">
                    <a:graphicData uri="http://schemas.openxmlformats.org/drawingml/2006/picture">
                      <pic:pic xmlns:pic="http://schemas.openxmlformats.org/drawingml/2006/picture">
                        <pic:nvPicPr>
                          <pic:cNvPr id="465" name="rect_SpCnt_22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965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7" name="rect_SpCnt_229"/>
                  <wp:cNvGraphicFramePr/>
                  <a:graphic xmlns:a="http://schemas.openxmlformats.org/drawingml/2006/main">
                    <a:graphicData uri="http://schemas.openxmlformats.org/drawingml/2006/picture">
                      <pic:pic xmlns:pic="http://schemas.openxmlformats.org/drawingml/2006/picture">
                        <pic:nvPicPr>
                          <pic:cNvPr id="467" name="rect_SpCnt_22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0995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0" name="rect_SpCnt_230"/>
                  <wp:cNvGraphicFramePr/>
                  <a:graphic xmlns:a="http://schemas.openxmlformats.org/drawingml/2006/main">
                    <a:graphicData uri="http://schemas.openxmlformats.org/drawingml/2006/picture">
                      <pic:pic xmlns:pic="http://schemas.openxmlformats.org/drawingml/2006/picture">
                        <pic:nvPicPr>
                          <pic:cNvPr id="470" name="rect_SpCnt_23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169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7" name="rect_SpCnt_231"/>
                  <wp:cNvGraphicFramePr/>
                  <a:graphic xmlns:a="http://schemas.openxmlformats.org/drawingml/2006/main">
                    <a:graphicData uri="http://schemas.openxmlformats.org/drawingml/2006/picture">
                      <pic:pic xmlns:pic="http://schemas.openxmlformats.org/drawingml/2006/picture">
                        <pic:nvPicPr>
                          <pic:cNvPr id="487" name="rect_SpCnt_23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036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4" name="rect_SpCnt_232"/>
                  <wp:cNvGraphicFramePr/>
                  <a:graphic xmlns:a="http://schemas.openxmlformats.org/drawingml/2006/main">
                    <a:graphicData uri="http://schemas.openxmlformats.org/drawingml/2006/picture">
                      <pic:pic xmlns:pic="http://schemas.openxmlformats.org/drawingml/2006/picture">
                        <pic:nvPicPr>
                          <pic:cNvPr id="474" name="rect_SpCnt_23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354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05" name="rect_SpCnt_233"/>
                  <wp:cNvGraphicFramePr/>
                  <a:graphic xmlns:a="http://schemas.openxmlformats.org/drawingml/2006/main">
                    <a:graphicData uri="http://schemas.openxmlformats.org/drawingml/2006/picture">
                      <pic:pic xmlns:pic="http://schemas.openxmlformats.org/drawingml/2006/picture">
                        <pic:nvPicPr>
                          <pic:cNvPr id="505" name="rect_SpCnt_23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180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8" name="rect_SpCnt_234"/>
                  <wp:cNvGraphicFramePr/>
                  <a:graphic xmlns:a="http://schemas.openxmlformats.org/drawingml/2006/main">
                    <a:graphicData uri="http://schemas.openxmlformats.org/drawingml/2006/picture">
                      <pic:pic xmlns:pic="http://schemas.openxmlformats.org/drawingml/2006/picture">
                        <pic:nvPicPr>
                          <pic:cNvPr id="488" name="rect_SpCnt_23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159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6" name="rect_SpCnt_235"/>
                  <wp:cNvGraphicFramePr/>
                  <a:graphic xmlns:a="http://schemas.openxmlformats.org/drawingml/2006/main">
                    <a:graphicData uri="http://schemas.openxmlformats.org/drawingml/2006/picture">
                      <pic:pic xmlns:pic="http://schemas.openxmlformats.org/drawingml/2006/picture">
                        <pic:nvPicPr>
                          <pic:cNvPr id="486" name="rect_SpCnt_23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098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0" name="rect_SpCnt_236"/>
                  <wp:cNvGraphicFramePr/>
                  <a:graphic xmlns:a="http://schemas.openxmlformats.org/drawingml/2006/main">
                    <a:graphicData uri="http://schemas.openxmlformats.org/drawingml/2006/picture">
                      <pic:pic xmlns:pic="http://schemas.openxmlformats.org/drawingml/2006/picture">
                        <pic:nvPicPr>
                          <pic:cNvPr id="480" name="rect_SpCnt_23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057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6" name="rect_SpCnt_237"/>
                  <wp:cNvGraphicFramePr/>
                  <a:graphic xmlns:a="http://schemas.openxmlformats.org/drawingml/2006/main">
                    <a:graphicData uri="http://schemas.openxmlformats.org/drawingml/2006/picture">
                      <pic:pic xmlns:pic="http://schemas.openxmlformats.org/drawingml/2006/picture">
                        <pic:nvPicPr>
                          <pic:cNvPr id="476" name="rect_SpCnt_23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067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7" name="rect_SpCnt_238"/>
                  <wp:cNvGraphicFramePr/>
                  <a:graphic xmlns:a="http://schemas.openxmlformats.org/drawingml/2006/main">
                    <a:graphicData uri="http://schemas.openxmlformats.org/drawingml/2006/picture">
                      <pic:pic xmlns:pic="http://schemas.openxmlformats.org/drawingml/2006/picture">
                        <pic:nvPicPr>
                          <pic:cNvPr id="477" name="rect_SpCnt_23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118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2" name="rect_SpCnt_239"/>
                  <wp:cNvGraphicFramePr/>
                  <a:graphic xmlns:a="http://schemas.openxmlformats.org/drawingml/2006/main">
                    <a:graphicData uri="http://schemas.openxmlformats.org/drawingml/2006/picture">
                      <pic:pic xmlns:pic="http://schemas.openxmlformats.org/drawingml/2006/picture">
                        <pic:nvPicPr>
                          <pic:cNvPr id="482" name="rect_SpCnt_23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077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8" name="rect_SpCnt_240"/>
                  <wp:cNvGraphicFramePr/>
                  <a:graphic xmlns:a="http://schemas.openxmlformats.org/drawingml/2006/main">
                    <a:graphicData uri="http://schemas.openxmlformats.org/drawingml/2006/picture">
                      <pic:pic xmlns:pic="http://schemas.openxmlformats.org/drawingml/2006/picture">
                        <pic:nvPicPr>
                          <pic:cNvPr id="478" name="rect_SpCnt_24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282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8" name="rect_SpCnt_241"/>
                  <wp:cNvGraphicFramePr/>
                  <a:graphic xmlns:a="http://schemas.openxmlformats.org/drawingml/2006/main">
                    <a:graphicData uri="http://schemas.openxmlformats.org/drawingml/2006/picture">
                      <pic:pic xmlns:pic="http://schemas.openxmlformats.org/drawingml/2006/picture">
                        <pic:nvPicPr>
                          <pic:cNvPr id="498" name="rect_SpCnt_24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128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3" name="rect_SpCnt_242"/>
                  <wp:cNvGraphicFramePr/>
                  <a:graphic xmlns:a="http://schemas.openxmlformats.org/drawingml/2006/main">
                    <a:graphicData uri="http://schemas.openxmlformats.org/drawingml/2006/picture">
                      <pic:pic xmlns:pic="http://schemas.openxmlformats.org/drawingml/2006/picture">
                        <pic:nvPicPr>
                          <pic:cNvPr id="483" name="rect_SpCnt_24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047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5" name="rect_SpCnt_243"/>
                  <wp:cNvGraphicFramePr/>
                  <a:graphic xmlns:a="http://schemas.openxmlformats.org/drawingml/2006/main">
                    <a:graphicData uri="http://schemas.openxmlformats.org/drawingml/2006/picture">
                      <pic:pic xmlns:pic="http://schemas.openxmlformats.org/drawingml/2006/picture">
                        <pic:nvPicPr>
                          <pic:cNvPr id="475" name="rect_SpCnt_24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303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00" name="rect_SpCnt_244"/>
                  <wp:cNvGraphicFramePr/>
                  <a:graphic xmlns:a="http://schemas.openxmlformats.org/drawingml/2006/main">
                    <a:graphicData uri="http://schemas.openxmlformats.org/drawingml/2006/picture">
                      <pic:pic xmlns:pic="http://schemas.openxmlformats.org/drawingml/2006/picture">
                        <pic:nvPicPr>
                          <pic:cNvPr id="500" name="rect_SpCnt_24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333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03" name="rect_SpCnt_245"/>
                  <wp:cNvGraphicFramePr/>
                  <a:graphic xmlns:a="http://schemas.openxmlformats.org/drawingml/2006/main">
                    <a:graphicData uri="http://schemas.openxmlformats.org/drawingml/2006/picture">
                      <pic:pic xmlns:pic="http://schemas.openxmlformats.org/drawingml/2006/picture">
                        <pic:nvPicPr>
                          <pic:cNvPr id="503" name="rect_SpCnt_24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313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01" name="rect_SpCnt_246"/>
                  <wp:cNvGraphicFramePr/>
                  <a:graphic xmlns:a="http://schemas.openxmlformats.org/drawingml/2006/main">
                    <a:graphicData uri="http://schemas.openxmlformats.org/drawingml/2006/picture">
                      <pic:pic xmlns:pic="http://schemas.openxmlformats.org/drawingml/2006/picture">
                        <pic:nvPicPr>
                          <pic:cNvPr id="501" name="rect_SpCnt_24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292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9" name="rect_SpCnt_247"/>
                  <wp:cNvGraphicFramePr/>
                  <a:graphic xmlns:a="http://schemas.openxmlformats.org/drawingml/2006/main">
                    <a:graphicData uri="http://schemas.openxmlformats.org/drawingml/2006/picture">
                      <pic:pic xmlns:pic="http://schemas.openxmlformats.org/drawingml/2006/picture">
                        <pic:nvPicPr>
                          <pic:cNvPr id="499" name="rect_SpCnt_24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088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9" name="rect_SpCnt_248"/>
                  <wp:cNvGraphicFramePr/>
                  <a:graphic xmlns:a="http://schemas.openxmlformats.org/drawingml/2006/main">
                    <a:graphicData uri="http://schemas.openxmlformats.org/drawingml/2006/picture">
                      <pic:pic xmlns:pic="http://schemas.openxmlformats.org/drawingml/2006/picture">
                        <pic:nvPicPr>
                          <pic:cNvPr id="479" name="rect_SpCnt_24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210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1" name="rect_SpCnt_249"/>
                  <wp:cNvGraphicFramePr/>
                  <a:graphic xmlns:a="http://schemas.openxmlformats.org/drawingml/2006/main">
                    <a:graphicData uri="http://schemas.openxmlformats.org/drawingml/2006/picture">
                      <pic:pic xmlns:pic="http://schemas.openxmlformats.org/drawingml/2006/picture">
                        <pic:nvPicPr>
                          <pic:cNvPr id="491" name="rect_SpCnt_24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323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02" name="rect_SpCnt_250"/>
                  <wp:cNvGraphicFramePr/>
                  <a:graphic xmlns:a="http://schemas.openxmlformats.org/drawingml/2006/main">
                    <a:graphicData uri="http://schemas.openxmlformats.org/drawingml/2006/picture">
                      <pic:pic xmlns:pic="http://schemas.openxmlformats.org/drawingml/2006/picture">
                        <pic:nvPicPr>
                          <pic:cNvPr id="502" name="rect_SpCnt_25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149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5" name="rect_SpCnt_251"/>
                  <wp:cNvGraphicFramePr/>
                  <a:graphic xmlns:a="http://schemas.openxmlformats.org/drawingml/2006/main">
                    <a:graphicData uri="http://schemas.openxmlformats.org/drawingml/2006/picture">
                      <pic:pic xmlns:pic="http://schemas.openxmlformats.org/drawingml/2006/picture">
                        <pic:nvPicPr>
                          <pic:cNvPr id="485" name="rect_SpCnt_25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221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2" name="rect_SpCnt_252"/>
                  <wp:cNvGraphicFramePr/>
                  <a:graphic xmlns:a="http://schemas.openxmlformats.org/drawingml/2006/main">
                    <a:graphicData uri="http://schemas.openxmlformats.org/drawingml/2006/picture">
                      <pic:pic xmlns:pic="http://schemas.openxmlformats.org/drawingml/2006/picture">
                        <pic:nvPicPr>
                          <pic:cNvPr id="492" name="rect_SpCnt_25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190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9" name="rect_SpCnt_253"/>
                  <wp:cNvGraphicFramePr/>
                  <a:graphic xmlns:a="http://schemas.openxmlformats.org/drawingml/2006/main">
                    <a:graphicData uri="http://schemas.openxmlformats.org/drawingml/2006/picture">
                      <pic:pic xmlns:pic="http://schemas.openxmlformats.org/drawingml/2006/picture">
                        <pic:nvPicPr>
                          <pic:cNvPr id="489" name="rect_SpCnt_25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108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1" name="rect_SpCnt_254"/>
                  <wp:cNvGraphicFramePr/>
                  <a:graphic xmlns:a="http://schemas.openxmlformats.org/drawingml/2006/main">
                    <a:graphicData uri="http://schemas.openxmlformats.org/drawingml/2006/picture">
                      <pic:pic xmlns:pic="http://schemas.openxmlformats.org/drawingml/2006/picture">
                        <pic:nvPicPr>
                          <pic:cNvPr id="481" name="rect_SpCnt_25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139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4" name="rect_SpCnt_255"/>
                  <wp:cNvGraphicFramePr/>
                  <a:graphic xmlns:a="http://schemas.openxmlformats.org/drawingml/2006/main">
                    <a:graphicData uri="http://schemas.openxmlformats.org/drawingml/2006/picture">
                      <pic:pic xmlns:pic="http://schemas.openxmlformats.org/drawingml/2006/picture">
                        <pic:nvPicPr>
                          <pic:cNvPr id="484" name="rect_SpCnt_25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200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0" name="rect_SpCnt_256"/>
                  <wp:cNvGraphicFramePr/>
                  <a:graphic xmlns:a="http://schemas.openxmlformats.org/drawingml/2006/main">
                    <a:graphicData uri="http://schemas.openxmlformats.org/drawingml/2006/picture">
                      <pic:pic xmlns:pic="http://schemas.openxmlformats.org/drawingml/2006/picture">
                        <pic:nvPicPr>
                          <pic:cNvPr id="490" name="rect_SpCnt_25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344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04" name="rect_SpCnt_257"/>
                  <wp:cNvGraphicFramePr/>
                  <a:graphic xmlns:a="http://schemas.openxmlformats.org/drawingml/2006/main">
                    <a:graphicData uri="http://schemas.openxmlformats.org/drawingml/2006/picture">
                      <pic:pic xmlns:pic="http://schemas.openxmlformats.org/drawingml/2006/picture">
                        <pic:nvPicPr>
                          <pic:cNvPr id="504" name="rect_SpCnt_25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231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3" name="rect_SpCnt_258"/>
                  <wp:cNvGraphicFramePr/>
                  <a:graphic xmlns:a="http://schemas.openxmlformats.org/drawingml/2006/main">
                    <a:graphicData uri="http://schemas.openxmlformats.org/drawingml/2006/picture">
                      <pic:pic xmlns:pic="http://schemas.openxmlformats.org/drawingml/2006/picture">
                        <pic:nvPicPr>
                          <pic:cNvPr id="493" name="rect_SpCnt_25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241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4" name="rect_SpCnt_259"/>
                  <wp:cNvGraphicFramePr/>
                  <a:graphic xmlns:a="http://schemas.openxmlformats.org/drawingml/2006/main">
                    <a:graphicData uri="http://schemas.openxmlformats.org/drawingml/2006/picture">
                      <pic:pic xmlns:pic="http://schemas.openxmlformats.org/drawingml/2006/picture">
                        <pic:nvPicPr>
                          <pic:cNvPr id="494" name="rect_SpCnt_25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251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5" name="rect_SpCnt_260"/>
                  <wp:cNvGraphicFramePr/>
                  <a:graphic xmlns:a="http://schemas.openxmlformats.org/drawingml/2006/main">
                    <a:graphicData uri="http://schemas.openxmlformats.org/drawingml/2006/picture">
                      <pic:pic xmlns:pic="http://schemas.openxmlformats.org/drawingml/2006/picture">
                        <pic:nvPicPr>
                          <pic:cNvPr id="495" name="rect_SpCnt_26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262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6" name="rect_SpCnt_261"/>
                  <wp:cNvGraphicFramePr/>
                  <a:graphic xmlns:a="http://schemas.openxmlformats.org/drawingml/2006/main">
                    <a:graphicData uri="http://schemas.openxmlformats.org/drawingml/2006/picture">
                      <pic:pic xmlns:pic="http://schemas.openxmlformats.org/drawingml/2006/picture">
                        <pic:nvPicPr>
                          <pic:cNvPr id="496" name="rect_SpCnt_26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272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7" name="rect_SpCnt_262"/>
                  <wp:cNvGraphicFramePr/>
                  <a:graphic xmlns:a="http://schemas.openxmlformats.org/drawingml/2006/main">
                    <a:graphicData uri="http://schemas.openxmlformats.org/drawingml/2006/picture">
                      <pic:pic xmlns:pic="http://schemas.openxmlformats.org/drawingml/2006/picture">
                        <pic:nvPicPr>
                          <pic:cNvPr id="497" name="rect_SpCnt_26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364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06" name="rect_SpCnt_263"/>
                  <wp:cNvGraphicFramePr/>
                  <a:graphic xmlns:a="http://schemas.openxmlformats.org/drawingml/2006/main">
                    <a:graphicData uri="http://schemas.openxmlformats.org/drawingml/2006/picture">
                      <pic:pic xmlns:pic="http://schemas.openxmlformats.org/drawingml/2006/picture">
                        <pic:nvPicPr>
                          <pic:cNvPr id="506" name="rect_SpCnt_26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 name="rect_SpCnt_264"/>
                  <wp:cNvGraphicFramePr/>
                  <a:graphic xmlns:a="http://schemas.openxmlformats.org/drawingml/2006/main">
                    <a:graphicData uri="http://schemas.openxmlformats.org/drawingml/2006/picture">
                      <pic:pic xmlns:pic="http://schemas.openxmlformats.org/drawingml/2006/picture">
                        <pic:nvPicPr>
                          <pic:cNvPr id="28" name="rect_SpCnt_26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1" name="rect_SpCnt_265"/>
                  <wp:cNvGraphicFramePr/>
                  <a:graphic xmlns:a="http://schemas.openxmlformats.org/drawingml/2006/main">
                    <a:graphicData uri="http://schemas.openxmlformats.org/drawingml/2006/picture">
                      <pic:pic xmlns:pic="http://schemas.openxmlformats.org/drawingml/2006/picture">
                        <pic:nvPicPr>
                          <pic:cNvPr id="31" name="rect_SpCnt_26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8" name="rect_SpCnt_266"/>
                  <wp:cNvGraphicFramePr/>
                  <a:graphic xmlns:a="http://schemas.openxmlformats.org/drawingml/2006/main">
                    <a:graphicData uri="http://schemas.openxmlformats.org/drawingml/2006/picture">
                      <pic:pic xmlns:pic="http://schemas.openxmlformats.org/drawingml/2006/picture">
                        <pic:nvPicPr>
                          <pic:cNvPr id="48" name="rect_SpCnt_26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84631562" name="rect_SpCnt_267"/>
                  <wp:cNvGraphicFramePr/>
                  <a:graphic xmlns:a="http://schemas.openxmlformats.org/drawingml/2006/main">
                    <a:graphicData uri="http://schemas.openxmlformats.org/drawingml/2006/picture">
                      <pic:pic xmlns:pic="http://schemas.openxmlformats.org/drawingml/2006/picture">
                        <pic:nvPicPr>
                          <pic:cNvPr id="1884631562" name="rect_SpCnt_26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46" name="rect_SpCnt_268"/>
                  <wp:cNvGraphicFramePr/>
                  <a:graphic xmlns:a="http://schemas.openxmlformats.org/drawingml/2006/main">
                    <a:graphicData uri="http://schemas.openxmlformats.org/drawingml/2006/picture">
                      <pic:pic xmlns:pic="http://schemas.openxmlformats.org/drawingml/2006/picture">
                        <pic:nvPicPr>
                          <pic:cNvPr id="46" name="rect_SpCnt_26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4" name="rect_SpCnt_269"/>
                  <wp:cNvGraphicFramePr/>
                  <a:graphic xmlns:a="http://schemas.openxmlformats.org/drawingml/2006/main">
                    <a:graphicData uri="http://schemas.openxmlformats.org/drawingml/2006/picture">
                      <pic:pic xmlns:pic="http://schemas.openxmlformats.org/drawingml/2006/picture">
                        <pic:nvPicPr>
                          <pic:cNvPr id="44" name="rect_SpCnt_26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807046021" name="rect_SpCnt_270"/>
                  <wp:cNvGraphicFramePr/>
                  <a:graphic xmlns:a="http://schemas.openxmlformats.org/drawingml/2006/main">
                    <a:graphicData uri="http://schemas.openxmlformats.org/drawingml/2006/picture">
                      <pic:pic xmlns:pic="http://schemas.openxmlformats.org/drawingml/2006/picture">
                        <pic:nvPicPr>
                          <pic:cNvPr id="807046021" name="rect_SpCnt_27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 name="rect_SpCnt_271"/>
                  <wp:cNvGraphicFramePr/>
                  <a:graphic xmlns:a="http://schemas.openxmlformats.org/drawingml/2006/main">
                    <a:graphicData uri="http://schemas.openxmlformats.org/drawingml/2006/picture">
                      <pic:pic xmlns:pic="http://schemas.openxmlformats.org/drawingml/2006/picture">
                        <pic:nvPicPr>
                          <pic:cNvPr id="27" name="rect_SpCnt_27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2" name="rect_SpCnt_272"/>
                  <wp:cNvGraphicFramePr/>
                  <a:graphic xmlns:a="http://schemas.openxmlformats.org/drawingml/2006/main">
                    <a:graphicData uri="http://schemas.openxmlformats.org/drawingml/2006/picture">
                      <pic:pic xmlns:pic="http://schemas.openxmlformats.org/drawingml/2006/picture">
                        <pic:nvPicPr>
                          <pic:cNvPr id="32" name="rect_SpCnt_27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 name="rect_SpCnt_273"/>
                  <wp:cNvGraphicFramePr/>
                  <a:graphic xmlns:a="http://schemas.openxmlformats.org/drawingml/2006/main">
                    <a:graphicData uri="http://schemas.openxmlformats.org/drawingml/2006/picture">
                      <pic:pic xmlns:pic="http://schemas.openxmlformats.org/drawingml/2006/picture">
                        <pic:nvPicPr>
                          <pic:cNvPr id="29" name="rect_SpCnt_27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0" name="rect_SpCnt_274"/>
                  <wp:cNvGraphicFramePr/>
                  <a:graphic xmlns:a="http://schemas.openxmlformats.org/drawingml/2006/main">
                    <a:graphicData uri="http://schemas.openxmlformats.org/drawingml/2006/picture">
                      <pic:pic xmlns:pic="http://schemas.openxmlformats.org/drawingml/2006/picture">
                        <pic:nvPicPr>
                          <pic:cNvPr id="30" name="rect_SpCnt_27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43" name="rect_SpCnt_275"/>
                  <wp:cNvGraphicFramePr/>
                  <a:graphic xmlns:a="http://schemas.openxmlformats.org/drawingml/2006/main">
                    <a:graphicData uri="http://schemas.openxmlformats.org/drawingml/2006/picture">
                      <pic:pic xmlns:pic="http://schemas.openxmlformats.org/drawingml/2006/picture">
                        <pic:nvPicPr>
                          <pic:cNvPr id="43" name="rect_SpCnt_27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45" name="rect_SpCnt_276"/>
                  <wp:cNvGraphicFramePr/>
                  <a:graphic xmlns:a="http://schemas.openxmlformats.org/drawingml/2006/main">
                    <a:graphicData uri="http://schemas.openxmlformats.org/drawingml/2006/picture">
                      <pic:pic xmlns:pic="http://schemas.openxmlformats.org/drawingml/2006/picture">
                        <pic:nvPicPr>
                          <pic:cNvPr id="45" name="rect_SpCnt_27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7" name="rect_SpCnt_277"/>
                  <wp:cNvGraphicFramePr/>
                  <a:graphic xmlns:a="http://schemas.openxmlformats.org/drawingml/2006/main">
                    <a:graphicData uri="http://schemas.openxmlformats.org/drawingml/2006/picture">
                      <pic:pic xmlns:pic="http://schemas.openxmlformats.org/drawingml/2006/picture">
                        <pic:nvPicPr>
                          <pic:cNvPr id="47" name="rect_SpCnt_27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33" name="rect_SpCnt_278"/>
                  <wp:cNvGraphicFramePr/>
                  <a:graphic xmlns:a="http://schemas.openxmlformats.org/drawingml/2006/main">
                    <a:graphicData uri="http://schemas.openxmlformats.org/drawingml/2006/picture">
                      <pic:pic xmlns:pic="http://schemas.openxmlformats.org/drawingml/2006/picture">
                        <pic:nvPicPr>
                          <pic:cNvPr id="33" name="rect_SpCnt_27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4" name="rect_SpCnt_279"/>
                  <wp:cNvGraphicFramePr/>
                  <a:graphic xmlns:a="http://schemas.openxmlformats.org/drawingml/2006/main">
                    <a:graphicData uri="http://schemas.openxmlformats.org/drawingml/2006/picture">
                      <pic:pic xmlns:pic="http://schemas.openxmlformats.org/drawingml/2006/picture">
                        <pic:nvPicPr>
                          <pic:cNvPr id="34" name="rect_SpCnt_27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37" name="rect_SpCnt_280"/>
                  <wp:cNvGraphicFramePr/>
                  <a:graphic xmlns:a="http://schemas.openxmlformats.org/drawingml/2006/main">
                    <a:graphicData uri="http://schemas.openxmlformats.org/drawingml/2006/picture">
                      <pic:pic xmlns:pic="http://schemas.openxmlformats.org/drawingml/2006/picture">
                        <pic:nvPicPr>
                          <pic:cNvPr id="37" name="rect_SpCnt_28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5" name="rect_SpCnt_281"/>
                  <wp:cNvGraphicFramePr/>
                  <a:graphic xmlns:a="http://schemas.openxmlformats.org/drawingml/2006/main">
                    <a:graphicData uri="http://schemas.openxmlformats.org/drawingml/2006/picture">
                      <pic:pic xmlns:pic="http://schemas.openxmlformats.org/drawingml/2006/picture">
                        <pic:nvPicPr>
                          <pic:cNvPr id="35" name="rect_SpCnt_28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36" name="rect_SpCnt_282"/>
                  <wp:cNvGraphicFramePr/>
                  <a:graphic xmlns:a="http://schemas.openxmlformats.org/drawingml/2006/main">
                    <a:graphicData uri="http://schemas.openxmlformats.org/drawingml/2006/picture">
                      <pic:pic xmlns:pic="http://schemas.openxmlformats.org/drawingml/2006/picture">
                        <pic:nvPicPr>
                          <pic:cNvPr id="36" name="rect_SpCnt_28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42" name="rect_SpCnt_283"/>
                  <wp:cNvGraphicFramePr/>
                  <a:graphic xmlns:a="http://schemas.openxmlformats.org/drawingml/2006/main">
                    <a:graphicData uri="http://schemas.openxmlformats.org/drawingml/2006/picture">
                      <pic:pic xmlns:pic="http://schemas.openxmlformats.org/drawingml/2006/picture">
                        <pic:nvPicPr>
                          <pic:cNvPr id="42" name="rect_SpCnt_28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83" name="rect_SpCnt_284"/>
                  <wp:cNvGraphicFramePr/>
                  <a:graphic xmlns:a="http://schemas.openxmlformats.org/drawingml/2006/main">
                    <a:graphicData uri="http://schemas.openxmlformats.org/drawingml/2006/picture">
                      <pic:pic xmlns:pic="http://schemas.openxmlformats.org/drawingml/2006/picture">
                        <pic:nvPicPr>
                          <pic:cNvPr id="83" name="rect_SpCnt_28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0" name="rect_SpCnt_285"/>
                  <wp:cNvGraphicFramePr/>
                  <a:graphic xmlns:a="http://schemas.openxmlformats.org/drawingml/2006/main">
                    <a:graphicData uri="http://schemas.openxmlformats.org/drawingml/2006/picture">
                      <pic:pic xmlns:pic="http://schemas.openxmlformats.org/drawingml/2006/picture">
                        <pic:nvPicPr>
                          <pic:cNvPr id="50" name="rect_SpCnt_28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00" name="rect_SpCnt_286"/>
                  <wp:cNvGraphicFramePr/>
                  <a:graphic xmlns:a="http://schemas.openxmlformats.org/drawingml/2006/main">
                    <a:graphicData uri="http://schemas.openxmlformats.org/drawingml/2006/picture">
                      <pic:pic xmlns:pic="http://schemas.openxmlformats.org/drawingml/2006/picture">
                        <pic:nvPicPr>
                          <pic:cNvPr id="100" name="rect_SpCnt_28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84" name="rect_SpCnt_287"/>
                  <wp:cNvGraphicFramePr/>
                  <a:graphic xmlns:a="http://schemas.openxmlformats.org/drawingml/2006/main">
                    <a:graphicData uri="http://schemas.openxmlformats.org/drawingml/2006/picture">
                      <pic:pic xmlns:pic="http://schemas.openxmlformats.org/drawingml/2006/picture">
                        <pic:nvPicPr>
                          <pic:cNvPr id="84" name="rect_SpCnt_28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96" name="rect_SpCnt_288"/>
                  <wp:cNvGraphicFramePr/>
                  <a:graphic xmlns:a="http://schemas.openxmlformats.org/drawingml/2006/main">
                    <a:graphicData uri="http://schemas.openxmlformats.org/drawingml/2006/picture">
                      <pic:pic xmlns:pic="http://schemas.openxmlformats.org/drawingml/2006/picture">
                        <pic:nvPicPr>
                          <pic:cNvPr id="96" name="rect_SpCnt_28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93" name="rect_SpCnt_289"/>
                  <wp:cNvGraphicFramePr/>
                  <a:graphic xmlns:a="http://schemas.openxmlformats.org/drawingml/2006/main">
                    <a:graphicData uri="http://schemas.openxmlformats.org/drawingml/2006/picture">
                      <pic:pic xmlns:pic="http://schemas.openxmlformats.org/drawingml/2006/picture">
                        <pic:nvPicPr>
                          <pic:cNvPr id="93" name="rect_SpCnt_28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01" name="rect_SpCnt_290"/>
                  <wp:cNvGraphicFramePr/>
                  <a:graphic xmlns:a="http://schemas.openxmlformats.org/drawingml/2006/main">
                    <a:graphicData uri="http://schemas.openxmlformats.org/drawingml/2006/picture">
                      <pic:pic xmlns:pic="http://schemas.openxmlformats.org/drawingml/2006/picture">
                        <pic:nvPicPr>
                          <pic:cNvPr id="101" name="rect_SpCnt_29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78" name="rect_SpCnt_291"/>
                  <wp:cNvGraphicFramePr/>
                  <a:graphic xmlns:a="http://schemas.openxmlformats.org/drawingml/2006/main">
                    <a:graphicData uri="http://schemas.openxmlformats.org/drawingml/2006/picture">
                      <pic:pic xmlns:pic="http://schemas.openxmlformats.org/drawingml/2006/picture">
                        <pic:nvPicPr>
                          <pic:cNvPr id="78" name="rect_SpCnt_29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81" name="rect_SpCnt_292"/>
                  <wp:cNvGraphicFramePr/>
                  <a:graphic xmlns:a="http://schemas.openxmlformats.org/drawingml/2006/main">
                    <a:graphicData uri="http://schemas.openxmlformats.org/drawingml/2006/picture">
                      <pic:pic xmlns:pic="http://schemas.openxmlformats.org/drawingml/2006/picture">
                        <pic:nvPicPr>
                          <pic:cNvPr id="81" name="rect_SpCnt_29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94" name="rect_SpCnt_293"/>
                  <wp:cNvGraphicFramePr/>
                  <a:graphic xmlns:a="http://schemas.openxmlformats.org/drawingml/2006/main">
                    <a:graphicData uri="http://schemas.openxmlformats.org/drawingml/2006/picture">
                      <pic:pic xmlns:pic="http://schemas.openxmlformats.org/drawingml/2006/picture">
                        <pic:nvPicPr>
                          <pic:cNvPr id="94" name="rect_SpCnt_29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97" name="rect_SpCnt_294"/>
                  <wp:cNvGraphicFramePr/>
                  <a:graphic xmlns:a="http://schemas.openxmlformats.org/drawingml/2006/main">
                    <a:graphicData uri="http://schemas.openxmlformats.org/drawingml/2006/picture">
                      <pic:pic xmlns:pic="http://schemas.openxmlformats.org/drawingml/2006/picture">
                        <pic:nvPicPr>
                          <pic:cNvPr id="97" name="rect_SpCnt_29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98" name="rect_SpCnt_295"/>
                  <wp:cNvGraphicFramePr/>
                  <a:graphic xmlns:a="http://schemas.openxmlformats.org/drawingml/2006/main">
                    <a:graphicData uri="http://schemas.openxmlformats.org/drawingml/2006/picture">
                      <pic:pic xmlns:pic="http://schemas.openxmlformats.org/drawingml/2006/picture">
                        <pic:nvPicPr>
                          <pic:cNvPr id="98" name="rect_SpCnt_29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02" name="rect_SpCnt_296"/>
                  <wp:cNvGraphicFramePr/>
                  <a:graphic xmlns:a="http://schemas.openxmlformats.org/drawingml/2006/main">
                    <a:graphicData uri="http://schemas.openxmlformats.org/drawingml/2006/picture">
                      <pic:pic xmlns:pic="http://schemas.openxmlformats.org/drawingml/2006/picture">
                        <pic:nvPicPr>
                          <pic:cNvPr id="102" name="rect_SpCnt_29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99" name="rect_SpCnt_297"/>
                  <wp:cNvGraphicFramePr/>
                  <a:graphic xmlns:a="http://schemas.openxmlformats.org/drawingml/2006/main">
                    <a:graphicData uri="http://schemas.openxmlformats.org/drawingml/2006/picture">
                      <pic:pic xmlns:pic="http://schemas.openxmlformats.org/drawingml/2006/picture">
                        <pic:nvPicPr>
                          <pic:cNvPr id="99" name="rect_SpCnt_29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89" name="rect_SpCnt_298"/>
                  <wp:cNvGraphicFramePr/>
                  <a:graphic xmlns:a="http://schemas.openxmlformats.org/drawingml/2006/main">
                    <a:graphicData uri="http://schemas.openxmlformats.org/drawingml/2006/picture">
                      <pic:pic xmlns:pic="http://schemas.openxmlformats.org/drawingml/2006/picture">
                        <pic:nvPicPr>
                          <pic:cNvPr id="89" name="rect_SpCnt_29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49" name="rect_SpCnt_299"/>
                  <wp:cNvGraphicFramePr/>
                  <a:graphic xmlns:a="http://schemas.openxmlformats.org/drawingml/2006/main">
                    <a:graphicData uri="http://schemas.openxmlformats.org/drawingml/2006/picture">
                      <pic:pic xmlns:pic="http://schemas.openxmlformats.org/drawingml/2006/picture">
                        <pic:nvPicPr>
                          <pic:cNvPr id="49" name="rect_SpCnt_29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90" name="rect_SpCnt_300"/>
                  <wp:cNvGraphicFramePr/>
                  <a:graphic xmlns:a="http://schemas.openxmlformats.org/drawingml/2006/main">
                    <a:graphicData uri="http://schemas.openxmlformats.org/drawingml/2006/picture">
                      <pic:pic xmlns:pic="http://schemas.openxmlformats.org/drawingml/2006/picture">
                        <pic:nvPicPr>
                          <pic:cNvPr id="90" name="rect_SpCnt_30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91" name="rect_SpCnt_301"/>
                  <wp:cNvGraphicFramePr/>
                  <a:graphic xmlns:a="http://schemas.openxmlformats.org/drawingml/2006/main">
                    <a:graphicData uri="http://schemas.openxmlformats.org/drawingml/2006/picture">
                      <pic:pic xmlns:pic="http://schemas.openxmlformats.org/drawingml/2006/picture">
                        <pic:nvPicPr>
                          <pic:cNvPr id="91" name="rect_SpCnt_30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 name="rect_SpCnt_302"/>
                  <wp:cNvGraphicFramePr/>
                  <a:graphic xmlns:a="http://schemas.openxmlformats.org/drawingml/2006/main">
                    <a:graphicData uri="http://schemas.openxmlformats.org/drawingml/2006/picture">
                      <pic:pic xmlns:pic="http://schemas.openxmlformats.org/drawingml/2006/picture">
                        <pic:nvPicPr>
                          <pic:cNvPr id="73" name="rect_SpCnt_30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1" name="rect_SpCnt_303"/>
                  <wp:cNvGraphicFramePr/>
                  <a:graphic xmlns:a="http://schemas.openxmlformats.org/drawingml/2006/main">
                    <a:graphicData uri="http://schemas.openxmlformats.org/drawingml/2006/picture">
                      <pic:pic xmlns:pic="http://schemas.openxmlformats.org/drawingml/2006/picture">
                        <pic:nvPicPr>
                          <pic:cNvPr id="51" name="rect_SpCnt_30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95" name="rect_SpCnt_304"/>
                  <wp:cNvGraphicFramePr/>
                  <a:graphic xmlns:a="http://schemas.openxmlformats.org/drawingml/2006/main">
                    <a:graphicData uri="http://schemas.openxmlformats.org/drawingml/2006/picture">
                      <pic:pic xmlns:pic="http://schemas.openxmlformats.org/drawingml/2006/picture">
                        <pic:nvPicPr>
                          <pic:cNvPr id="95" name="rect_SpCnt_30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2" name="rect_SpCnt_305"/>
                  <wp:cNvGraphicFramePr/>
                  <a:graphic xmlns:a="http://schemas.openxmlformats.org/drawingml/2006/main">
                    <a:graphicData uri="http://schemas.openxmlformats.org/drawingml/2006/picture">
                      <pic:pic xmlns:pic="http://schemas.openxmlformats.org/drawingml/2006/picture">
                        <pic:nvPicPr>
                          <pic:cNvPr id="52" name="rect_SpCnt_30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87" name="rect_SpCnt_306"/>
                  <wp:cNvGraphicFramePr/>
                  <a:graphic xmlns:a="http://schemas.openxmlformats.org/drawingml/2006/main">
                    <a:graphicData uri="http://schemas.openxmlformats.org/drawingml/2006/picture">
                      <pic:pic xmlns:pic="http://schemas.openxmlformats.org/drawingml/2006/picture">
                        <pic:nvPicPr>
                          <pic:cNvPr id="87" name="rect_SpCnt_30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6" name="rect_SpCnt_307"/>
                  <wp:cNvGraphicFramePr/>
                  <a:graphic xmlns:a="http://schemas.openxmlformats.org/drawingml/2006/main">
                    <a:graphicData uri="http://schemas.openxmlformats.org/drawingml/2006/picture">
                      <pic:pic xmlns:pic="http://schemas.openxmlformats.org/drawingml/2006/picture">
                        <pic:nvPicPr>
                          <pic:cNvPr id="76" name="rect_SpCnt_30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7" name="rect_SpCnt_308"/>
                  <wp:cNvGraphicFramePr/>
                  <a:graphic xmlns:a="http://schemas.openxmlformats.org/drawingml/2006/main">
                    <a:graphicData uri="http://schemas.openxmlformats.org/drawingml/2006/picture">
                      <pic:pic xmlns:pic="http://schemas.openxmlformats.org/drawingml/2006/picture">
                        <pic:nvPicPr>
                          <pic:cNvPr id="77" name="rect_SpCnt_30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80" name="rect_SpCnt_309"/>
                  <wp:cNvGraphicFramePr/>
                  <a:graphic xmlns:a="http://schemas.openxmlformats.org/drawingml/2006/main">
                    <a:graphicData uri="http://schemas.openxmlformats.org/drawingml/2006/picture">
                      <pic:pic xmlns:pic="http://schemas.openxmlformats.org/drawingml/2006/picture">
                        <pic:nvPicPr>
                          <pic:cNvPr id="80" name="rect_SpCnt_30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9" name="rect_SpCnt_310"/>
                  <wp:cNvGraphicFramePr/>
                  <a:graphic xmlns:a="http://schemas.openxmlformats.org/drawingml/2006/main">
                    <a:graphicData uri="http://schemas.openxmlformats.org/drawingml/2006/picture">
                      <pic:pic xmlns:pic="http://schemas.openxmlformats.org/drawingml/2006/picture">
                        <pic:nvPicPr>
                          <pic:cNvPr id="79" name="rect_SpCnt_31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82" name="rect_SpCnt_311"/>
                  <wp:cNvGraphicFramePr/>
                  <a:graphic xmlns:a="http://schemas.openxmlformats.org/drawingml/2006/main">
                    <a:graphicData uri="http://schemas.openxmlformats.org/drawingml/2006/picture">
                      <pic:pic xmlns:pic="http://schemas.openxmlformats.org/drawingml/2006/picture">
                        <pic:nvPicPr>
                          <pic:cNvPr id="82" name="rect_SpCnt_31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85" name="rect_SpCnt_312"/>
                  <wp:cNvGraphicFramePr/>
                  <a:graphic xmlns:a="http://schemas.openxmlformats.org/drawingml/2006/main">
                    <a:graphicData uri="http://schemas.openxmlformats.org/drawingml/2006/picture">
                      <pic:pic xmlns:pic="http://schemas.openxmlformats.org/drawingml/2006/picture">
                        <pic:nvPicPr>
                          <pic:cNvPr id="85" name="rect_SpCnt_31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86" name="rect_SpCnt_313"/>
                  <wp:cNvGraphicFramePr/>
                  <a:graphic xmlns:a="http://schemas.openxmlformats.org/drawingml/2006/main">
                    <a:graphicData uri="http://schemas.openxmlformats.org/drawingml/2006/picture">
                      <pic:pic xmlns:pic="http://schemas.openxmlformats.org/drawingml/2006/picture">
                        <pic:nvPicPr>
                          <pic:cNvPr id="86" name="rect_SpCnt_31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88" name="rect_SpCnt_314"/>
                  <wp:cNvGraphicFramePr/>
                  <a:graphic xmlns:a="http://schemas.openxmlformats.org/drawingml/2006/main">
                    <a:graphicData uri="http://schemas.openxmlformats.org/drawingml/2006/picture">
                      <pic:pic xmlns:pic="http://schemas.openxmlformats.org/drawingml/2006/picture">
                        <pic:nvPicPr>
                          <pic:cNvPr id="88" name="rect_SpCnt_31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92" name="rect_SpCnt_315"/>
                  <wp:cNvGraphicFramePr/>
                  <a:graphic xmlns:a="http://schemas.openxmlformats.org/drawingml/2006/main">
                    <a:graphicData uri="http://schemas.openxmlformats.org/drawingml/2006/picture">
                      <pic:pic xmlns:pic="http://schemas.openxmlformats.org/drawingml/2006/picture">
                        <pic:nvPicPr>
                          <pic:cNvPr id="92" name="rect_SpCnt_31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30" name="rect_SpCnt_316"/>
                  <wp:cNvGraphicFramePr/>
                  <a:graphic xmlns:a="http://schemas.openxmlformats.org/drawingml/2006/main">
                    <a:graphicData uri="http://schemas.openxmlformats.org/drawingml/2006/picture">
                      <pic:pic xmlns:pic="http://schemas.openxmlformats.org/drawingml/2006/picture">
                        <pic:nvPicPr>
                          <pic:cNvPr id="130" name="rect_SpCnt_31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11" name="rect_SpCnt_317"/>
                  <wp:cNvGraphicFramePr/>
                  <a:graphic xmlns:a="http://schemas.openxmlformats.org/drawingml/2006/main">
                    <a:graphicData uri="http://schemas.openxmlformats.org/drawingml/2006/picture">
                      <pic:pic xmlns:pic="http://schemas.openxmlformats.org/drawingml/2006/picture">
                        <pic:nvPicPr>
                          <pic:cNvPr id="111" name="rect_SpCnt_31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05" name="rect_SpCnt_318"/>
                  <wp:cNvGraphicFramePr/>
                  <a:graphic xmlns:a="http://schemas.openxmlformats.org/drawingml/2006/main">
                    <a:graphicData uri="http://schemas.openxmlformats.org/drawingml/2006/picture">
                      <pic:pic xmlns:pic="http://schemas.openxmlformats.org/drawingml/2006/picture">
                        <pic:nvPicPr>
                          <pic:cNvPr id="105" name="rect_SpCnt_31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32" name="rect_SpCnt_319"/>
                  <wp:cNvGraphicFramePr/>
                  <a:graphic xmlns:a="http://schemas.openxmlformats.org/drawingml/2006/main">
                    <a:graphicData uri="http://schemas.openxmlformats.org/drawingml/2006/picture">
                      <pic:pic xmlns:pic="http://schemas.openxmlformats.org/drawingml/2006/picture">
                        <pic:nvPicPr>
                          <pic:cNvPr id="132" name="rect_SpCnt_31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27" name="rect_SpCnt_320"/>
                  <wp:cNvGraphicFramePr/>
                  <a:graphic xmlns:a="http://schemas.openxmlformats.org/drawingml/2006/main">
                    <a:graphicData uri="http://schemas.openxmlformats.org/drawingml/2006/picture">
                      <pic:pic xmlns:pic="http://schemas.openxmlformats.org/drawingml/2006/picture">
                        <pic:nvPicPr>
                          <pic:cNvPr id="127" name="rect_SpCnt_32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06" name="rect_SpCnt_321"/>
                  <wp:cNvGraphicFramePr/>
                  <a:graphic xmlns:a="http://schemas.openxmlformats.org/drawingml/2006/main">
                    <a:graphicData uri="http://schemas.openxmlformats.org/drawingml/2006/picture">
                      <pic:pic xmlns:pic="http://schemas.openxmlformats.org/drawingml/2006/picture">
                        <pic:nvPicPr>
                          <pic:cNvPr id="106" name="rect_SpCnt_32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31" name="rect_SpCnt_322"/>
                  <wp:cNvGraphicFramePr/>
                  <a:graphic xmlns:a="http://schemas.openxmlformats.org/drawingml/2006/main">
                    <a:graphicData uri="http://schemas.openxmlformats.org/drawingml/2006/picture">
                      <pic:pic xmlns:pic="http://schemas.openxmlformats.org/drawingml/2006/picture">
                        <pic:nvPicPr>
                          <pic:cNvPr id="131" name="rect_SpCnt_32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28" name="rect_SpCnt_323"/>
                  <wp:cNvGraphicFramePr/>
                  <a:graphic xmlns:a="http://schemas.openxmlformats.org/drawingml/2006/main">
                    <a:graphicData uri="http://schemas.openxmlformats.org/drawingml/2006/picture">
                      <pic:pic xmlns:pic="http://schemas.openxmlformats.org/drawingml/2006/picture">
                        <pic:nvPicPr>
                          <pic:cNvPr id="128" name="rect_SpCnt_32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25" name="rect_SpCnt_324"/>
                  <wp:cNvGraphicFramePr/>
                  <a:graphic xmlns:a="http://schemas.openxmlformats.org/drawingml/2006/main">
                    <a:graphicData uri="http://schemas.openxmlformats.org/drawingml/2006/picture">
                      <pic:pic xmlns:pic="http://schemas.openxmlformats.org/drawingml/2006/picture">
                        <pic:nvPicPr>
                          <pic:cNvPr id="125" name="rect_SpCnt_32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18" name="rect_SpCnt_325"/>
                  <wp:cNvGraphicFramePr/>
                  <a:graphic xmlns:a="http://schemas.openxmlformats.org/drawingml/2006/main">
                    <a:graphicData uri="http://schemas.openxmlformats.org/drawingml/2006/picture">
                      <pic:pic xmlns:pic="http://schemas.openxmlformats.org/drawingml/2006/picture">
                        <pic:nvPicPr>
                          <pic:cNvPr id="118" name="rect_SpCnt_32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26" name="rect_SpCnt_326"/>
                  <wp:cNvGraphicFramePr/>
                  <a:graphic xmlns:a="http://schemas.openxmlformats.org/drawingml/2006/main">
                    <a:graphicData uri="http://schemas.openxmlformats.org/drawingml/2006/picture">
                      <pic:pic xmlns:pic="http://schemas.openxmlformats.org/drawingml/2006/picture">
                        <pic:nvPicPr>
                          <pic:cNvPr id="126" name="rect_SpCnt_32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33" name="rect_SpCnt_327"/>
                  <wp:cNvGraphicFramePr/>
                  <a:graphic xmlns:a="http://schemas.openxmlformats.org/drawingml/2006/main">
                    <a:graphicData uri="http://schemas.openxmlformats.org/drawingml/2006/picture">
                      <pic:pic xmlns:pic="http://schemas.openxmlformats.org/drawingml/2006/picture">
                        <pic:nvPicPr>
                          <pic:cNvPr id="133" name="rect_SpCnt_32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29" name="rect_SpCnt_328"/>
                  <wp:cNvGraphicFramePr/>
                  <a:graphic xmlns:a="http://schemas.openxmlformats.org/drawingml/2006/main">
                    <a:graphicData uri="http://schemas.openxmlformats.org/drawingml/2006/picture">
                      <pic:pic xmlns:pic="http://schemas.openxmlformats.org/drawingml/2006/picture">
                        <pic:nvPicPr>
                          <pic:cNvPr id="129" name="rect_SpCnt_32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34" name="rect_SpCnt_329"/>
                  <wp:cNvGraphicFramePr/>
                  <a:graphic xmlns:a="http://schemas.openxmlformats.org/drawingml/2006/main">
                    <a:graphicData uri="http://schemas.openxmlformats.org/drawingml/2006/picture">
                      <pic:pic xmlns:pic="http://schemas.openxmlformats.org/drawingml/2006/picture">
                        <pic:nvPicPr>
                          <pic:cNvPr id="134" name="rect_SpCnt_32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03" name="rect_SpCnt_330"/>
                  <wp:cNvGraphicFramePr/>
                  <a:graphic xmlns:a="http://schemas.openxmlformats.org/drawingml/2006/main">
                    <a:graphicData uri="http://schemas.openxmlformats.org/drawingml/2006/picture">
                      <pic:pic xmlns:pic="http://schemas.openxmlformats.org/drawingml/2006/picture">
                        <pic:nvPicPr>
                          <pic:cNvPr id="103" name="rect_SpCnt_33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04" name="rect_SpCnt_331"/>
                  <wp:cNvGraphicFramePr/>
                  <a:graphic xmlns:a="http://schemas.openxmlformats.org/drawingml/2006/main">
                    <a:graphicData uri="http://schemas.openxmlformats.org/drawingml/2006/picture">
                      <pic:pic xmlns:pic="http://schemas.openxmlformats.org/drawingml/2006/picture">
                        <pic:nvPicPr>
                          <pic:cNvPr id="104" name="rect_SpCnt_33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07" name="rect_SpCnt_332"/>
                  <wp:cNvGraphicFramePr/>
                  <a:graphic xmlns:a="http://schemas.openxmlformats.org/drawingml/2006/main">
                    <a:graphicData uri="http://schemas.openxmlformats.org/drawingml/2006/picture">
                      <pic:pic xmlns:pic="http://schemas.openxmlformats.org/drawingml/2006/picture">
                        <pic:nvPicPr>
                          <pic:cNvPr id="107" name="rect_SpCnt_33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24" name="rect_SpCnt_333"/>
                  <wp:cNvGraphicFramePr/>
                  <a:graphic xmlns:a="http://schemas.openxmlformats.org/drawingml/2006/main">
                    <a:graphicData uri="http://schemas.openxmlformats.org/drawingml/2006/picture">
                      <pic:pic xmlns:pic="http://schemas.openxmlformats.org/drawingml/2006/picture">
                        <pic:nvPicPr>
                          <pic:cNvPr id="124" name="rect_SpCnt_33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22" name="rect_SpCnt_334"/>
                  <wp:cNvGraphicFramePr/>
                  <a:graphic xmlns:a="http://schemas.openxmlformats.org/drawingml/2006/main">
                    <a:graphicData uri="http://schemas.openxmlformats.org/drawingml/2006/picture">
                      <pic:pic xmlns:pic="http://schemas.openxmlformats.org/drawingml/2006/picture">
                        <pic:nvPicPr>
                          <pic:cNvPr id="122" name="rect_SpCnt_33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17" name="rect_SpCnt_335"/>
                  <wp:cNvGraphicFramePr/>
                  <a:graphic xmlns:a="http://schemas.openxmlformats.org/drawingml/2006/main">
                    <a:graphicData uri="http://schemas.openxmlformats.org/drawingml/2006/picture">
                      <pic:pic xmlns:pic="http://schemas.openxmlformats.org/drawingml/2006/picture">
                        <pic:nvPicPr>
                          <pic:cNvPr id="117" name="rect_SpCnt_33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08" name="rect_SpCnt_336"/>
                  <wp:cNvGraphicFramePr/>
                  <a:graphic xmlns:a="http://schemas.openxmlformats.org/drawingml/2006/main">
                    <a:graphicData uri="http://schemas.openxmlformats.org/drawingml/2006/picture">
                      <pic:pic xmlns:pic="http://schemas.openxmlformats.org/drawingml/2006/picture">
                        <pic:nvPicPr>
                          <pic:cNvPr id="108" name="rect_SpCnt_33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16" name="rect_SpCnt_337"/>
                  <wp:cNvGraphicFramePr/>
                  <a:graphic xmlns:a="http://schemas.openxmlformats.org/drawingml/2006/main">
                    <a:graphicData uri="http://schemas.openxmlformats.org/drawingml/2006/picture">
                      <pic:pic xmlns:pic="http://schemas.openxmlformats.org/drawingml/2006/picture">
                        <pic:nvPicPr>
                          <pic:cNvPr id="116" name="rect_SpCnt_33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14" name="rect_SpCnt_338"/>
                  <wp:cNvGraphicFramePr/>
                  <a:graphic xmlns:a="http://schemas.openxmlformats.org/drawingml/2006/main">
                    <a:graphicData uri="http://schemas.openxmlformats.org/drawingml/2006/picture">
                      <pic:pic xmlns:pic="http://schemas.openxmlformats.org/drawingml/2006/picture">
                        <pic:nvPicPr>
                          <pic:cNvPr id="114" name="rect_SpCnt_33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09" name="rect_SpCnt_339"/>
                  <wp:cNvGraphicFramePr/>
                  <a:graphic xmlns:a="http://schemas.openxmlformats.org/drawingml/2006/main">
                    <a:graphicData uri="http://schemas.openxmlformats.org/drawingml/2006/picture">
                      <pic:pic xmlns:pic="http://schemas.openxmlformats.org/drawingml/2006/picture">
                        <pic:nvPicPr>
                          <pic:cNvPr id="109" name="rect_SpCnt_33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10" name="rect_SpCnt_340"/>
                  <wp:cNvGraphicFramePr/>
                  <a:graphic xmlns:a="http://schemas.openxmlformats.org/drawingml/2006/main">
                    <a:graphicData uri="http://schemas.openxmlformats.org/drawingml/2006/picture">
                      <pic:pic xmlns:pic="http://schemas.openxmlformats.org/drawingml/2006/picture">
                        <pic:nvPicPr>
                          <pic:cNvPr id="110" name="rect_SpCnt_34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12" name="rect_SpCnt_341"/>
                  <wp:cNvGraphicFramePr/>
                  <a:graphic xmlns:a="http://schemas.openxmlformats.org/drawingml/2006/main">
                    <a:graphicData uri="http://schemas.openxmlformats.org/drawingml/2006/picture">
                      <pic:pic xmlns:pic="http://schemas.openxmlformats.org/drawingml/2006/picture">
                        <pic:nvPicPr>
                          <pic:cNvPr id="112" name="rect_SpCnt_34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13" name="rect_SpCnt_342"/>
                  <wp:cNvGraphicFramePr/>
                  <a:graphic xmlns:a="http://schemas.openxmlformats.org/drawingml/2006/main">
                    <a:graphicData uri="http://schemas.openxmlformats.org/drawingml/2006/picture">
                      <pic:pic xmlns:pic="http://schemas.openxmlformats.org/drawingml/2006/picture">
                        <pic:nvPicPr>
                          <pic:cNvPr id="113" name="rect_SpCnt_34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15" name="rect_SpCnt_343"/>
                  <wp:cNvGraphicFramePr/>
                  <a:graphic xmlns:a="http://schemas.openxmlformats.org/drawingml/2006/main">
                    <a:graphicData uri="http://schemas.openxmlformats.org/drawingml/2006/picture">
                      <pic:pic xmlns:pic="http://schemas.openxmlformats.org/drawingml/2006/picture">
                        <pic:nvPicPr>
                          <pic:cNvPr id="115" name="rect_SpCnt_34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19" name="rect_SpCnt_344"/>
                  <wp:cNvGraphicFramePr/>
                  <a:graphic xmlns:a="http://schemas.openxmlformats.org/drawingml/2006/main">
                    <a:graphicData uri="http://schemas.openxmlformats.org/drawingml/2006/picture">
                      <pic:pic xmlns:pic="http://schemas.openxmlformats.org/drawingml/2006/picture">
                        <pic:nvPicPr>
                          <pic:cNvPr id="119" name="rect_SpCnt_34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20" name="rect_SpCnt_345"/>
                  <wp:cNvGraphicFramePr/>
                  <a:graphic xmlns:a="http://schemas.openxmlformats.org/drawingml/2006/main">
                    <a:graphicData uri="http://schemas.openxmlformats.org/drawingml/2006/picture">
                      <pic:pic xmlns:pic="http://schemas.openxmlformats.org/drawingml/2006/picture">
                        <pic:nvPicPr>
                          <pic:cNvPr id="120" name="rect_SpCnt_34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21" name="rect_SpCnt_346"/>
                  <wp:cNvGraphicFramePr/>
                  <a:graphic xmlns:a="http://schemas.openxmlformats.org/drawingml/2006/main">
                    <a:graphicData uri="http://schemas.openxmlformats.org/drawingml/2006/picture">
                      <pic:pic xmlns:pic="http://schemas.openxmlformats.org/drawingml/2006/picture">
                        <pic:nvPicPr>
                          <pic:cNvPr id="121" name="rect_SpCnt_34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23" name="rect_SpCnt_347"/>
                  <wp:cNvGraphicFramePr/>
                  <a:graphic xmlns:a="http://schemas.openxmlformats.org/drawingml/2006/main">
                    <a:graphicData uri="http://schemas.openxmlformats.org/drawingml/2006/picture">
                      <pic:pic xmlns:pic="http://schemas.openxmlformats.org/drawingml/2006/picture">
                        <pic:nvPicPr>
                          <pic:cNvPr id="123" name="rect_SpCnt_34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51" name="rect_SpCnt_348"/>
                  <wp:cNvGraphicFramePr/>
                  <a:graphic xmlns:a="http://schemas.openxmlformats.org/drawingml/2006/main">
                    <a:graphicData uri="http://schemas.openxmlformats.org/drawingml/2006/picture">
                      <pic:pic xmlns:pic="http://schemas.openxmlformats.org/drawingml/2006/picture">
                        <pic:nvPicPr>
                          <pic:cNvPr id="151" name="rect_SpCnt_34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38" name="rect_SpCnt_349"/>
                  <wp:cNvGraphicFramePr/>
                  <a:graphic xmlns:a="http://schemas.openxmlformats.org/drawingml/2006/main">
                    <a:graphicData uri="http://schemas.openxmlformats.org/drawingml/2006/picture">
                      <pic:pic xmlns:pic="http://schemas.openxmlformats.org/drawingml/2006/picture">
                        <pic:nvPicPr>
                          <pic:cNvPr id="138" name="rect_SpCnt_34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44" name="rect_SpCnt_350"/>
                  <wp:cNvGraphicFramePr/>
                  <a:graphic xmlns:a="http://schemas.openxmlformats.org/drawingml/2006/main">
                    <a:graphicData uri="http://schemas.openxmlformats.org/drawingml/2006/picture">
                      <pic:pic xmlns:pic="http://schemas.openxmlformats.org/drawingml/2006/picture">
                        <pic:nvPicPr>
                          <pic:cNvPr id="144" name="rect_SpCnt_35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55" name="rect_SpCnt_351"/>
                  <wp:cNvGraphicFramePr/>
                  <a:graphic xmlns:a="http://schemas.openxmlformats.org/drawingml/2006/main">
                    <a:graphicData uri="http://schemas.openxmlformats.org/drawingml/2006/picture">
                      <pic:pic xmlns:pic="http://schemas.openxmlformats.org/drawingml/2006/picture">
                        <pic:nvPicPr>
                          <pic:cNvPr id="155" name="rect_SpCnt_35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50" name="rect_SpCnt_352"/>
                  <wp:cNvGraphicFramePr/>
                  <a:graphic xmlns:a="http://schemas.openxmlformats.org/drawingml/2006/main">
                    <a:graphicData uri="http://schemas.openxmlformats.org/drawingml/2006/picture">
                      <pic:pic xmlns:pic="http://schemas.openxmlformats.org/drawingml/2006/picture">
                        <pic:nvPicPr>
                          <pic:cNvPr id="150" name="rect_SpCnt_35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37" name="rect_SpCnt_353"/>
                  <wp:cNvGraphicFramePr/>
                  <a:graphic xmlns:a="http://schemas.openxmlformats.org/drawingml/2006/main">
                    <a:graphicData uri="http://schemas.openxmlformats.org/drawingml/2006/picture">
                      <pic:pic xmlns:pic="http://schemas.openxmlformats.org/drawingml/2006/picture">
                        <pic:nvPicPr>
                          <pic:cNvPr id="137" name="rect_SpCnt_35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47" name="rect_SpCnt_354"/>
                  <wp:cNvGraphicFramePr/>
                  <a:graphic xmlns:a="http://schemas.openxmlformats.org/drawingml/2006/main">
                    <a:graphicData uri="http://schemas.openxmlformats.org/drawingml/2006/picture">
                      <pic:pic xmlns:pic="http://schemas.openxmlformats.org/drawingml/2006/picture">
                        <pic:nvPicPr>
                          <pic:cNvPr id="147" name="rect_SpCnt_35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58" name="rect_SpCnt_355"/>
                  <wp:cNvGraphicFramePr/>
                  <a:graphic xmlns:a="http://schemas.openxmlformats.org/drawingml/2006/main">
                    <a:graphicData uri="http://schemas.openxmlformats.org/drawingml/2006/picture">
                      <pic:pic xmlns:pic="http://schemas.openxmlformats.org/drawingml/2006/picture">
                        <pic:nvPicPr>
                          <pic:cNvPr id="158" name="rect_SpCnt_35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43" name="rect_SpCnt_356"/>
                  <wp:cNvGraphicFramePr/>
                  <a:graphic xmlns:a="http://schemas.openxmlformats.org/drawingml/2006/main">
                    <a:graphicData uri="http://schemas.openxmlformats.org/drawingml/2006/picture">
                      <pic:pic xmlns:pic="http://schemas.openxmlformats.org/drawingml/2006/picture">
                        <pic:nvPicPr>
                          <pic:cNvPr id="143" name="rect_SpCnt_35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52" name="rect_SpCnt_357"/>
                  <wp:cNvGraphicFramePr/>
                  <a:graphic xmlns:a="http://schemas.openxmlformats.org/drawingml/2006/main">
                    <a:graphicData uri="http://schemas.openxmlformats.org/drawingml/2006/picture">
                      <pic:pic xmlns:pic="http://schemas.openxmlformats.org/drawingml/2006/picture">
                        <pic:nvPicPr>
                          <pic:cNvPr id="152" name="rect_SpCnt_35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48" name="rect_SpCnt_358"/>
                  <wp:cNvGraphicFramePr/>
                  <a:graphic xmlns:a="http://schemas.openxmlformats.org/drawingml/2006/main">
                    <a:graphicData uri="http://schemas.openxmlformats.org/drawingml/2006/picture">
                      <pic:pic xmlns:pic="http://schemas.openxmlformats.org/drawingml/2006/picture">
                        <pic:nvPicPr>
                          <pic:cNvPr id="148" name="rect_SpCnt_35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45" name="rect_SpCnt_359"/>
                  <wp:cNvGraphicFramePr/>
                  <a:graphic xmlns:a="http://schemas.openxmlformats.org/drawingml/2006/main">
                    <a:graphicData uri="http://schemas.openxmlformats.org/drawingml/2006/picture">
                      <pic:pic xmlns:pic="http://schemas.openxmlformats.org/drawingml/2006/picture">
                        <pic:nvPicPr>
                          <pic:cNvPr id="145" name="rect_SpCnt_35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53" name="rect_SpCnt_360"/>
                  <wp:cNvGraphicFramePr/>
                  <a:graphic xmlns:a="http://schemas.openxmlformats.org/drawingml/2006/main">
                    <a:graphicData uri="http://schemas.openxmlformats.org/drawingml/2006/picture">
                      <pic:pic xmlns:pic="http://schemas.openxmlformats.org/drawingml/2006/picture">
                        <pic:nvPicPr>
                          <pic:cNvPr id="153" name="rect_SpCnt_36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46" name="rect_SpCnt_361"/>
                  <wp:cNvGraphicFramePr/>
                  <a:graphic xmlns:a="http://schemas.openxmlformats.org/drawingml/2006/main">
                    <a:graphicData uri="http://schemas.openxmlformats.org/drawingml/2006/picture">
                      <pic:pic xmlns:pic="http://schemas.openxmlformats.org/drawingml/2006/picture">
                        <pic:nvPicPr>
                          <pic:cNvPr id="146" name="rect_SpCnt_36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57" name="rect_SpCnt_362"/>
                  <wp:cNvGraphicFramePr/>
                  <a:graphic xmlns:a="http://schemas.openxmlformats.org/drawingml/2006/main">
                    <a:graphicData uri="http://schemas.openxmlformats.org/drawingml/2006/picture">
                      <pic:pic xmlns:pic="http://schemas.openxmlformats.org/drawingml/2006/picture">
                        <pic:nvPicPr>
                          <pic:cNvPr id="157" name="rect_SpCnt_36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54" name="rect_SpCnt_363"/>
                  <wp:cNvGraphicFramePr/>
                  <a:graphic xmlns:a="http://schemas.openxmlformats.org/drawingml/2006/main">
                    <a:graphicData uri="http://schemas.openxmlformats.org/drawingml/2006/picture">
                      <pic:pic xmlns:pic="http://schemas.openxmlformats.org/drawingml/2006/picture">
                        <pic:nvPicPr>
                          <pic:cNvPr id="154" name="rect_SpCnt_36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49" name="rect_SpCnt_364"/>
                  <wp:cNvGraphicFramePr/>
                  <a:graphic xmlns:a="http://schemas.openxmlformats.org/drawingml/2006/main">
                    <a:graphicData uri="http://schemas.openxmlformats.org/drawingml/2006/picture">
                      <pic:pic xmlns:pic="http://schemas.openxmlformats.org/drawingml/2006/picture">
                        <pic:nvPicPr>
                          <pic:cNvPr id="149" name="rect_SpCnt_36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59" name="rect_SpCnt_365"/>
                  <wp:cNvGraphicFramePr/>
                  <a:graphic xmlns:a="http://schemas.openxmlformats.org/drawingml/2006/main">
                    <a:graphicData uri="http://schemas.openxmlformats.org/drawingml/2006/picture">
                      <pic:pic xmlns:pic="http://schemas.openxmlformats.org/drawingml/2006/picture">
                        <pic:nvPicPr>
                          <pic:cNvPr id="159" name="rect_SpCnt_36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56" name="rect_SpCnt_366"/>
                  <wp:cNvGraphicFramePr/>
                  <a:graphic xmlns:a="http://schemas.openxmlformats.org/drawingml/2006/main">
                    <a:graphicData uri="http://schemas.openxmlformats.org/drawingml/2006/picture">
                      <pic:pic xmlns:pic="http://schemas.openxmlformats.org/drawingml/2006/picture">
                        <pic:nvPicPr>
                          <pic:cNvPr id="156" name="rect_SpCnt_366"/>
                          <pic:cNvPicPr/>
                        </pic:nvPicPr>
                        <pic:blipFill>
                          <a:blip r:embed="rId19"/>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60" name="rect_SpCnt_367"/>
                  <wp:cNvGraphicFramePr/>
                  <a:graphic xmlns:a="http://schemas.openxmlformats.org/drawingml/2006/main">
                    <a:graphicData uri="http://schemas.openxmlformats.org/drawingml/2006/picture">
                      <pic:pic xmlns:pic="http://schemas.openxmlformats.org/drawingml/2006/picture">
                        <pic:nvPicPr>
                          <pic:cNvPr id="160" name="rect_SpCnt_367"/>
                          <pic:cNvPicPr/>
                        </pic:nvPicPr>
                        <pic:blipFill>
                          <a:blip r:embed="rId20"/>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61" name="rect_SpCnt_368"/>
                  <wp:cNvGraphicFramePr/>
                  <a:graphic xmlns:a="http://schemas.openxmlformats.org/drawingml/2006/main">
                    <a:graphicData uri="http://schemas.openxmlformats.org/drawingml/2006/picture">
                      <pic:pic xmlns:pic="http://schemas.openxmlformats.org/drawingml/2006/picture">
                        <pic:nvPicPr>
                          <pic:cNvPr id="161" name="rect_SpCnt_368"/>
                          <pic:cNvPicPr/>
                        </pic:nvPicPr>
                        <pic:blipFill>
                          <a:blip r:embed="rId21"/>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62" name="rect_SpCnt_369"/>
                  <wp:cNvGraphicFramePr/>
                  <a:graphic xmlns:a="http://schemas.openxmlformats.org/drawingml/2006/main">
                    <a:graphicData uri="http://schemas.openxmlformats.org/drawingml/2006/picture">
                      <pic:pic xmlns:pic="http://schemas.openxmlformats.org/drawingml/2006/picture">
                        <pic:nvPicPr>
                          <pic:cNvPr id="162" name="rect_SpCnt_36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39" name="rect_SpCnt_370"/>
                  <wp:cNvGraphicFramePr/>
                  <a:graphic xmlns:a="http://schemas.openxmlformats.org/drawingml/2006/main">
                    <a:graphicData uri="http://schemas.openxmlformats.org/drawingml/2006/picture">
                      <pic:pic xmlns:pic="http://schemas.openxmlformats.org/drawingml/2006/picture">
                        <pic:nvPicPr>
                          <pic:cNvPr id="139" name="rect_SpCnt_37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63" name="rect_SpCnt_371"/>
                  <wp:cNvGraphicFramePr/>
                  <a:graphic xmlns:a="http://schemas.openxmlformats.org/drawingml/2006/main">
                    <a:graphicData uri="http://schemas.openxmlformats.org/drawingml/2006/picture">
                      <pic:pic xmlns:pic="http://schemas.openxmlformats.org/drawingml/2006/picture">
                        <pic:nvPicPr>
                          <pic:cNvPr id="163" name="rect_SpCnt_37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64" name="rect_SpCnt_372"/>
                  <wp:cNvGraphicFramePr/>
                  <a:graphic xmlns:a="http://schemas.openxmlformats.org/drawingml/2006/main">
                    <a:graphicData uri="http://schemas.openxmlformats.org/drawingml/2006/picture">
                      <pic:pic xmlns:pic="http://schemas.openxmlformats.org/drawingml/2006/picture">
                        <pic:nvPicPr>
                          <pic:cNvPr id="164" name="rect_SpCnt_37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65" name="rect_SpCnt_373"/>
                  <wp:cNvGraphicFramePr/>
                  <a:graphic xmlns:a="http://schemas.openxmlformats.org/drawingml/2006/main">
                    <a:graphicData uri="http://schemas.openxmlformats.org/drawingml/2006/picture">
                      <pic:pic xmlns:pic="http://schemas.openxmlformats.org/drawingml/2006/picture">
                        <pic:nvPicPr>
                          <pic:cNvPr id="165" name="rect_SpCnt_37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35" name="rect_SpCnt_374"/>
                  <wp:cNvGraphicFramePr/>
                  <a:graphic xmlns:a="http://schemas.openxmlformats.org/drawingml/2006/main">
                    <a:graphicData uri="http://schemas.openxmlformats.org/drawingml/2006/picture">
                      <pic:pic xmlns:pic="http://schemas.openxmlformats.org/drawingml/2006/picture">
                        <pic:nvPicPr>
                          <pic:cNvPr id="135" name="rect_SpCnt_37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42" name="rect_SpCnt_375"/>
                  <wp:cNvGraphicFramePr/>
                  <a:graphic xmlns:a="http://schemas.openxmlformats.org/drawingml/2006/main">
                    <a:graphicData uri="http://schemas.openxmlformats.org/drawingml/2006/picture">
                      <pic:pic xmlns:pic="http://schemas.openxmlformats.org/drawingml/2006/picture">
                        <pic:nvPicPr>
                          <pic:cNvPr id="142" name="rect_SpCnt_37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66" name="rect_SpCnt_376"/>
                  <wp:cNvGraphicFramePr/>
                  <a:graphic xmlns:a="http://schemas.openxmlformats.org/drawingml/2006/main">
                    <a:graphicData uri="http://schemas.openxmlformats.org/drawingml/2006/picture">
                      <pic:pic xmlns:pic="http://schemas.openxmlformats.org/drawingml/2006/picture">
                        <pic:nvPicPr>
                          <pic:cNvPr id="166" name="rect_SpCnt_37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36" name="rect_SpCnt_377"/>
                  <wp:cNvGraphicFramePr/>
                  <a:graphic xmlns:a="http://schemas.openxmlformats.org/drawingml/2006/main">
                    <a:graphicData uri="http://schemas.openxmlformats.org/drawingml/2006/picture">
                      <pic:pic xmlns:pic="http://schemas.openxmlformats.org/drawingml/2006/picture">
                        <pic:nvPicPr>
                          <pic:cNvPr id="136" name="rect_SpCnt_37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40" name="rect_SpCnt_378"/>
                  <wp:cNvGraphicFramePr/>
                  <a:graphic xmlns:a="http://schemas.openxmlformats.org/drawingml/2006/main">
                    <a:graphicData uri="http://schemas.openxmlformats.org/drawingml/2006/picture">
                      <pic:pic xmlns:pic="http://schemas.openxmlformats.org/drawingml/2006/picture">
                        <pic:nvPicPr>
                          <pic:cNvPr id="140" name="rect_SpCnt_37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41" name="rect_SpCnt_379"/>
                  <wp:cNvGraphicFramePr/>
                  <a:graphic xmlns:a="http://schemas.openxmlformats.org/drawingml/2006/main">
                    <a:graphicData uri="http://schemas.openxmlformats.org/drawingml/2006/picture">
                      <pic:pic xmlns:pic="http://schemas.openxmlformats.org/drawingml/2006/picture">
                        <pic:nvPicPr>
                          <pic:cNvPr id="141" name="rect_SpCnt_37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67" name="rect_SpCnt_380"/>
                  <wp:cNvGraphicFramePr/>
                  <a:graphic xmlns:a="http://schemas.openxmlformats.org/drawingml/2006/main">
                    <a:graphicData uri="http://schemas.openxmlformats.org/drawingml/2006/picture">
                      <pic:pic xmlns:pic="http://schemas.openxmlformats.org/drawingml/2006/picture">
                        <pic:nvPicPr>
                          <pic:cNvPr id="167" name="rect_SpCnt_38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77" name="rect_SpCnt_381"/>
                  <wp:cNvGraphicFramePr/>
                  <a:graphic xmlns:a="http://schemas.openxmlformats.org/drawingml/2006/main">
                    <a:graphicData uri="http://schemas.openxmlformats.org/drawingml/2006/picture">
                      <pic:pic xmlns:pic="http://schemas.openxmlformats.org/drawingml/2006/picture">
                        <pic:nvPicPr>
                          <pic:cNvPr id="177" name="rect_SpCnt_38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68" name="rect_SpCnt_382"/>
                  <wp:cNvGraphicFramePr/>
                  <a:graphic xmlns:a="http://schemas.openxmlformats.org/drawingml/2006/main">
                    <a:graphicData uri="http://schemas.openxmlformats.org/drawingml/2006/picture">
                      <pic:pic xmlns:pic="http://schemas.openxmlformats.org/drawingml/2006/picture">
                        <pic:nvPicPr>
                          <pic:cNvPr id="168" name="rect_SpCnt_38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69" name="rect_SpCnt_383"/>
                  <wp:cNvGraphicFramePr/>
                  <a:graphic xmlns:a="http://schemas.openxmlformats.org/drawingml/2006/main">
                    <a:graphicData uri="http://schemas.openxmlformats.org/drawingml/2006/picture">
                      <pic:pic xmlns:pic="http://schemas.openxmlformats.org/drawingml/2006/picture">
                        <pic:nvPicPr>
                          <pic:cNvPr id="169" name="rect_SpCnt_38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73" name="rect_SpCnt_384"/>
                  <wp:cNvGraphicFramePr/>
                  <a:graphic xmlns:a="http://schemas.openxmlformats.org/drawingml/2006/main">
                    <a:graphicData uri="http://schemas.openxmlformats.org/drawingml/2006/picture">
                      <pic:pic xmlns:pic="http://schemas.openxmlformats.org/drawingml/2006/picture">
                        <pic:nvPicPr>
                          <pic:cNvPr id="173" name="rect_SpCnt_38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74" name="rect_SpCnt_385"/>
                  <wp:cNvGraphicFramePr/>
                  <a:graphic xmlns:a="http://schemas.openxmlformats.org/drawingml/2006/main">
                    <a:graphicData uri="http://schemas.openxmlformats.org/drawingml/2006/picture">
                      <pic:pic xmlns:pic="http://schemas.openxmlformats.org/drawingml/2006/picture">
                        <pic:nvPicPr>
                          <pic:cNvPr id="174" name="rect_SpCnt_38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71" name="rect_SpCnt_386"/>
                  <wp:cNvGraphicFramePr/>
                  <a:graphic xmlns:a="http://schemas.openxmlformats.org/drawingml/2006/main">
                    <a:graphicData uri="http://schemas.openxmlformats.org/drawingml/2006/picture">
                      <pic:pic xmlns:pic="http://schemas.openxmlformats.org/drawingml/2006/picture">
                        <pic:nvPicPr>
                          <pic:cNvPr id="171" name="rect_SpCnt_38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75" name="rect_SpCnt_387"/>
                  <wp:cNvGraphicFramePr/>
                  <a:graphic xmlns:a="http://schemas.openxmlformats.org/drawingml/2006/main">
                    <a:graphicData uri="http://schemas.openxmlformats.org/drawingml/2006/picture">
                      <pic:pic xmlns:pic="http://schemas.openxmlformats.org/drawingml/2006/picture">
                        <pic:nvPicPr>
                          <pic:cNvPr id="175" name="rect_SpCnt_38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76" name="rect_SpCnt_388"/>
                  <wp:cNvGraphicFramePr/>
                  <a:graphic xmlns:a="http://schemas.openxmlformats.org/drawingml/2006/main">
                    <a:graphicData uri="http://schemas.openxmlformats.org/drawingml/2006/picture">
                      <pic:pic xmlns:pic="http://schemas.openxmlformats.org/drawingml/2006/picture">
                        <pic:nvPicPr>
                          <pic:cNvPr id="176" name="rect_SpCnt_38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79" name="rect_SpCnt_389"/>
                  <wp:cNvGraphicFramePr/>
                  <a:graphic xmlns:a="http://schemas.openxmlformats.org/drawingml/2006/main">
                    <a:graphicData uri="http://schemas.openxmlformats.org/drawingml/2006/picture">
                      <pic:pic xmlns:pic="http://schemas.openxmlformats.org/drawingml/2006/picture">
                        <pic:nvPicPr>
                          <pic:cNvPr id="179" name="rect_SpCnt_38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70" name="rect_SpCnt_390"/>
                  <wp:cNvGraphicFramePr/>
                  <a:graphic xmlns:a="http://schemas.openxmlformats.org/drawingml/2006/main">
                    <a:graphicData uri="http://schemas.openxmlformats.org/drawingml/2006/picture">
                      <pic:pic xmlns:pic="http://schemas.openxmlformats.org/drawingml/2006/picture">
                        <pic:nvPicPr>
                          <pic:cNvPr id="170" name="rect_SpCnt_39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78" name="rect_SpCnt_391"/>
                  <wp:cNvGraphicFramePr/>
                  <a:graphic xmlns:a="http://schemas.openxmlformats.org/drawingml/2006/main">
                    <a:graphicData uri="http://schemas.openxmlformats.org/drawingml/2006/picture">
                      <pic:pic xmlns:pic="http://schemas.openxmlformats.org/drawingml/2006/picture">
                        <pic:nvPicPr>
                          <pic:cNvPr id="178" name="rect_SpCnt_39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72" name="rect_SpCnt_392"/>
                  <wp:cNvGraphicFramePr/>
                  <a:graphic xmlns:a="http://schemas.openxmlformats.org/drawingml/2006/main">
                    <a:graphicData uri="http://schemas.openxmlformats.org/drawingml/2006/picture">
                      <pic:pic xmlns:pic="http://schemas.openxmlformats.org/drawingml/2006/picture">
                        <pic:nvPicPr>
                          <pic:cNvPr id="172" name="rect_SpCnt_39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97" name="rect_SpCnt_393"/>
                  <wp:cNvGraphicFramePr/>
                  <a:graphic xmlns:a="http://schemas.openxmlformats.org/drawingml/2006/main">
                    <a:graphicData uri="http://schemas.openxmlformats.org/drawingml/2006/picture">
                      <pic:pic xmlns:pic="http://schemas.openxmlformats.org/drawingml/2006/picture">
                        <pic:nvPicPr>
                          <pic:cNvPr id="197" name="rect_SpCnt_39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7" name="rect_SpCnt_394"/>
                  <wp:cNvGraphicFramePr/>
                  <a:graphic xmlns:a="http://schemas.openxmlformats.org/drawingml/2006/main">
                    <a:graphicData uri="http://schemas.openxmlformats.org/drawingml/2006/picture">
                      <pic:pic xmlns:pic="http://schemas.openxmlformats.org/drawingml/2006/picture">
                        <pic:nvPicPr>
                          <pic:cNvPr id="187" name="rect_SpCnt_39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1" name="rect_SpCnt_395"/>
                  <wp:cNvGraphicFramePr/>
                  <a:graphic xmlns:a="http://schemas.openxmlformats.org/drawingml/2006/main">
                    <a:graphicData uri="http://schemas.openxmlformats.org/drawingml/2006/picture">
                      <pic:pic xmlns:pic="http://schemas.openxmlformats.org/drawingml/2006/picture">
                        <pic:nvPicPr>
                          <pic:cNvPr id="181" name="rect_SpCnt_39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96" name="rect_SpCnt_396"/>
                  <wp:cNvGraphicFramePr/>
                  <a:graphic xmlns:a="http://schemas.openxmlformats.org/drawingml/2006/main">
                    <a:graphicData uri="http://schemas.openxmlformats.org/drawingml/2006/picture">
                      <pic:pic xmlns:pic="http://schemas.openxmlformats.org/drawingml/2006/picture">
                        <pic:nvPicPr>
                          <pic:cNvPr id="196" name="rect_SpCnt_39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93" name="rect_SpCnt_397"/>
                  <wp:cNvGraphicFramePr/>
                  <a:graphic xmlns:a="http://schemas.openxmlformats.org/drawingml/2006/main">
                    <a:graphicData uri="http://schemas.openxmlformats.org/drawingml/2006/picture">
                      <pic:pic xmlns:pic="http://schemas.openxmlformats.org/drawingml/2006/picture">
                        <pic:nvPicPr>
                          <pic:cNvPr id="193" name="rect_SpCnt_39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8" name="rect_SpCnt_398"/>
                  <wp:cNvGraphicFramePr/>
                  <a:graphic xmlns:a="http://schemas.openxmlformats.org/drawingml/2006/main">
                    <a:graphicData uri="http://schemas.openxmlformats.org/drawingml/2006/picture">
                      <pic:pic xmlns:pic="http://schemas.openxmlformats.org/drawingml/2006/picture">
                        <pic:nvPicPr>
                          <pic:cNvPr id="188" name="rect_SpCnt_39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9" name="rect_SpCnt_399"/>
                  <wp:cNvGraphicFramePr/>
                  <a:graphic xmlns:a="http://schemas.openxmlformats.org/drawingml/2006/main">
                    <a:graphicData uri="http://schemas.openxmlformats.org/drawingml/2006/picture">
                      <pic:pic xmlns:pic="http://schemas.openxmlformats.org/drawingml/2006/picture">
                        <pic:nvPicPr>
                          <pic:cNvPr id="189" name="rect_SpCnt_39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90" name="rect_SpCnt_400"/>
                  <wp:cNvGraphicFramePr/>
                  <a:graphic xmlns:a="http://schemas.openxmlformats.org/drawingml/2006/main">
                    <a:graphicData uri="http://schemas.openxmlformats.org/drawingml/2006/picture">
                      <pic:pic xmlns:pic="http://schemas.openxmlformats.org/drawingml/2006/picture">
                        <pic:nvPicPr>
                          <pic:cNvPr id="190" name="rect_SpCnt_40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91" name="rect_SpCnt_401"/>
                  <wp:cNvGraphicFramePr/>
                  <a:graphic xmlns:a="http://schemas.openxmlformats.org/drawingml/2006/main">
                    <a:graphicData uri="http://schemas.openxmlformats.org/drawingml/2006/picture">
                      <pic:pic xmlns:pic="http://schemas.openxmlformats.org/drawingml/2006/picture">
                        <pic:nvPicPr>
                          <pic:cNvPr id="191" name="rect_SpCnt_40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92" name="rect_SpCnt_402"/>
                  <wp:cNvGraphicFramePr/>
                  <a:graphic xmlns:a="http://schemas.openxmlformats.org/drawingml/2006/main">
                    <a:graphicData uri="http://schemas.openxmlformats.org/drawingml/2006/picture">
                      <pic:pic xmlns:pic="http://schemas.openxmlformats.org/drawingml/2006/picture">
                        <pic:nvPicPr>
                          <pic:cNvPr id="192" name="rect_SpCnt_40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0" name="rect_SpCnt_403"/>
                  <wp:cNvGraphicFramePr/>
                  <a:graphic xmlns:a="http://schemas.openxmlformats.org/drawingml/2006/main">
                    <a:graphicData uri="http://schemas.openxmlformats.org/drawingml/2006/picture">
                      <pic:pic xmlns:pic="http://schemas.openxmlformats.org/drawingml/2006/picture">
                        <pic:nvPicPr>
                          <pic:cNvPr id="180" name="rect_SpCnt_40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5" name="rect_SpCnt_404"/>
                  <wp:cNvGraphicFramePr/>
                  <a:graphic xmlns:a="http://schemas.openxmlformats.org/drawingml/2006/main">
                    <a:graphicData uri="http://schemas.openxmlformats.org/drawingml/2006/picture">
                      <pic:pic xmlns:pic="http://schemas.openxmlformats.org/drawingml/2006/picture">
                        <pic:nvPicPr>
                          <pic:cNvPr id="185" name="rect_SpCnt_40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2" name="rect_SpCnt_405"/>
                  <wp:cNvGraphicFramePr/>
                  <a:graphic xmlns:a="http://schemas.openxmlformats.org/drawingml/2006/main">
                    <a:graphicData uri="http://schemas.openxmlformats.org/drawingml/2006/picture">
                      <pic:pic xmlns:pic="http://schemas.openxmlformats.org/drawingml/2006/picture">
                        <pic:nvPicPr>
                          <pic:cNvPr id="182" name="rect_SpCnt_40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94" name="rect_SpCnt_406"/>
                  <wp:cNvGraphicFramePr/>
                  <a:graphic xmlns:a="http://schemas.openxmlformats.org/drawingml/2006/main">
                    <a:graphicData uri="http://schemas.openxmlformats.org/drawingml/2006/picture">
                      <pic:pic xmlns:pic="http://schemas.openxmlformats.org/drawingml/2006/picture">
                        <pic:nvPicPr>
                          <pic:cNvPr id="194" name="rect_SpCnt_40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195" name="rect_SpCnt_407"/>
                  <wp:cNvGraphicFramePr/>
                  <a:graphic xmlns:a="http://schemas.openxmlformats.org/drawingml/2006/main">
                    <a:graphicData uri="http://schemas.openxmlformats.org/drawingml/2006/picture">
                      <pic:pic xmlns:pic="http://schemas.openxmlformats.org/drawingml/2006/picture">
                        <pic:nvPicPr>
                          <pic:cNvPr id="195" name="rect_SpCnt_40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3" name="rect_SpCnt_408"/>
                  <wp:cNvGraphicFramePr/>
                  <a:graphic xmlns:a="http://schemas.openxmlformats.org/drawingml/2006/main">
                    <a:graphicData uri="http://schemas.openxmlformats.org/drawingml/2006/picture">
                      <pic:pic xmlns:pic="http://schemas.openxmlformats.org/drawingml/2006/picture">
                        <pic:nvPicPr>
                          <pic:cNvPr id="183" name="rect_SpCnt_40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4" name="rect_SpCnt_409"/>
                  <wp:cNvGraphicFramePr/>
                  <a:graphic xmlns:a="http://schemas.openxmlformats.org/drawingml/2006/main">
                    <a:graphicData uri="http://schemas.openxmlformats.org/drawingml/2006/picture">
                      <pic:pic xmlns:pic="http://schemas.openxmlformats.org/drawingml/2006/picture">
                        <pic:nvPicPr>
                          <pic:cNvPr id="184" name="rect_SpCnt_40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186" name="rect_SpCnt_410"/>
                  <wp:cNvGraphicFramePr/>
                  <a:graphic xmlns:a="http://schemas.openxmlformats.org/drawingml/2006/main">
                    <a:graphicData uri="http://schemas.openxmlformats.org/drawingml/2006/picture">
                      <pic:pic xmlns:pic="http://schemas.openxmlformats.org/drawingml/2006/picture">
                        <pic:nvPicPr>
                          <pic:cNvPr id="186" name="rect_SpCnt_41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26" name="rect_SpCnt_411"/>
                  <wp:cNvGraphicFramePr/>
                  <a:graphic xmlns:a="http://schemas.openxmlformats.org/drawingml/2006/main">
                    <a:graphicData uri="http://schemas.openxmlformats.org/drawingml/2006/picture">
                      <pic:pic xmlns:pic="http://schemas.openxmlformats.org/drawingml/2006/picture">
                        <pic:nvPicPr>
                          <pic:cNvPr id="226" name="rect_SpCnt_41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21" name="rect_SpCnt_412"/>
                  <wp:cNvGraphicFramePr/>
                  <a:graphic xmlns:a="http://schemas.openxmlformats.org/drawingml/2006/main">
                    <a:graphicData uri="http://schemas.openxmlformats.org/drawingml/2006/picture">
                      <pic:pic xmlns:pic="http://schemas.openxmlformats.org/drawingml/2006/picture">
                        <pic:nvPicPr>
                          <pic:cNvPr id="221" name="rect_SpCnt_41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22" name="rect_SpCnt_413"/>
                  <wp:cNvGraphicFramePr/>
                  <a:graphic xmlns:a="http://schemas.openxmlformats.org/drawingml/2006/main">
                    <a:graphicData uri="http://schemas.openxmlformats.org/drawingml/2006/picture">
                      <pic:pic xmlns:pic="http://schemas.openxmlformats.org/drawingml/2006/picture">
                        <pic:nvPicPr>
                          <pic:cNvPr id="222" name="rect_SpCnt_41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28" name="rect_SpCnt_414"/>
                  <wp:cNvGraphicFramePr/>
                  <a:graphic xmlns:a="http://schemas.openxmlformats.org/drawingml/2006/main">
                    <a:graphicData uri="http://schemas.openxmlformats.org/drawingml/2006/picture">
                      <pic:pic xmlns:pic="http://schemas.openxmlformats.org/drawingml/2006/picture">
                        <pic:nvPicPr>
                          <pic:cNvPr id="228" name="rect_SpCnt_41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476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23" name="rect_SpCnt_415"/>
                  <wp:cNvGraphicFramePr/>
                  <a:graphic xmlns:a="http://schemas.openxmlformats.org/drawingml/2006/main">
                    <a:graphicData uri="http://schemas.openxmlformats.org/drawingml/2006/picture">
                      <pic:pic xmlns:pic="http://schemas.openxmlformats.org/drawingml/2006/picture">
                        <pic:nvPicPr>
                          <pic:cNvPr id="223" name="rect_SpCnt_41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00" name="rect_SpCnt_416"/>
                  <wp:cNvGraphicFramePr/>
                  <a:graphic xmlns:a="http://schemas.openxmlformats.org/drawingml/2006/main">
                    <a:graphicData uri="http://schemas.openxmlformats.org/drawingml/2006/picture">
                      <pic:pic xmlns:pic="http://schemas.openxmlformats.org/drawingml/2006/picture">
                        <pic:nvPicPr>
                          <pic:cNvPr id="200" name="rect_SpCnt_41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12" name="rect_SpCnt_417"/>
                  <wp:cNvGraphicFramePr/>
                  <a:graphic xmlns:a="http://schemas.openxmlformats.org/drawingml/2006/main">
                    <a:graphicData uri="http://schemas.openxmlformats.org/drawingml/2006/picture">
                      <pic:pic xmlns:pic="http://schemas.openxmlformats.org/drawingml/2006/picture">
                        <pic:nvPicPr>
                          <pic:cNvPr id="212" name="rect_SpCnt_41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198" name="rect_SpCnt_418"/>
                  <wp:cNvGraphicFramePr/>
                  <a:graphic xmlns:a="http://schemas.openxmlformats.org/drawingml/2006/main">
                    <a:graphicData uri="http://schemas.openxmlformats.org/drawingml/2006/picture">
                      <pic:pic xmlns:pic="http://schemas.openxmlformats.org/drawingml/2006/picture">
                        <pic:nvPicPr>
                          <pic:cNvPr id="198" name="rect_SpCnt_41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24" name="rect_SpCnt_419"/>
                  <wp:cNvGraphicFramePr/>
                  <a:graphic xmlns:a="http://schemas.openxmlformats.org/drawingml/2006/main">
                    <a:graphicData uri="http://schemas.openxmlformats.org/drawingml/2006/picture">
                      <pic:pic xmlns:pic="http://schemas.openxmlformats.org/drawingml/2006/picture">
                        <pic:nvPicPr>
                          <pic:cNvPr id="224" name="rect_SpCnt_41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09" name="rect_SpCnt_420"/>
                  <wp:cNvGraphicFramePr/>
                  <a:graphic xmlns:a="http://schemas.openxmlformats.org/drawingml/2006/main">
                    <a:graphicData uri="http://schemas.openxmlformats.org/drawingml/2006/picture">
                      <pic:pic xmlns:pic="http://schemas.openxmlformats.org/drawingml/2006/picture">
                        <pic:nvPicPr>
                          <pic:cNvPr id="209" name="rect_SpCnt_42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03" name="rect_SpCnt_421"/>
                  <wp:cNvGraphicFramePr/>
                  <a:graphic xmlns:a="http://schemas.openxmlformats.org/drawingml/2006/main">
                    <a:graphicData uri="http://schemas.openxmlformats.org/drawingml/2006/picture">
                      <pic:pic xmlns:pic="http://schemas.openxmlformats.org/drawingml/2006/picture">
                        <pic:nvPicPr>
                          <pic:cNvPr id="203" name="rect_SpCnt_42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27" name="rect_SpCnt_422"/>
                  <wp:cNvGraphicFramePr/>
                  <a:graphic xmlns:a="http://schemas.openxmlformats.org/drawingml/2006/main">
                    <a:graphicData uri="http://schemas.openxmlformats.org/drawingml/2006/picture">
                      <pic:pic xmlns:pic="http://schemas.openxmlformats.org/drawingml/2006/picture">
                        <pic:nvPicPr>
                          <pic:cNvPr id="227" name="rect_SpCnt_42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538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29" name="rect_SpCnt_423"/>
                  <wp:cNvGraphicFramePr/>
                  <a:graphic xmlns:a="http://schemas.openxmlformats.org/drawingml/2006/main">
                    <a:graphicData uri="http://schemas.openxmlformats.org/drawingml/2006/picture">
                      <pic:pic xmlns:pic="http://schemas.openxmlformats.org/drawingml/2006/picture">
                        <pic:nvPicPr>
                          <pic:cNvPr id="229" name="rect_SpCnt_42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302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06" name="rect_SpCnt_424"/>
                  <wp:cNvGraphicFramePr/>
                  <a:graphic xmlns:a="http://schemas.openxmlformats.org/drawingml/2006/main">
                    <a:graphicData uri="http://schemas.openxmlformats.org/drawingml/2006/picture">
                      <pic:pic xmlns:pic="http://schemas.openxmlformats.org/drawingml/2006/picture">
                        <pic:nvPicPr>
                          <pic:cNvPr id="206" name="rect_SpCnt_42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04" name="rect_SpCnt_425"/>
                  <wp:cNvGraphicFramePr/>
                  <a:graphic xmlns:a="http://schemas.openxmlformats.org/drawingml/2006/main">
                    <a:graphicData uri="http://schemas.openxmlformats.org/drawingml/2006/picture">
                      <pic:pic xmlns:pic="http://schemas.openxmlformats.org/drawingml/2006/picture">
                        <pic:nvPicPr>
                          <pic:cNvPr id="204" name="rect_SpCnt_42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497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25" name="rect_SpCnt_426"/>
                  <wp:cNvGraphicFramePr/>
                  <a:graphic xmlns:a="http://schemas.openxmlformats.org/drawingml/2006/main">
                    <a:graphicData uri="http://schemas.openxmlformats.org/drawingml/2006/picture">
                      <pic:pic xmlns:pic="http://schemas.openxmlformats.org/drawingml/2006/picture">
                        <pic:nvPicPr>
                          <pic:cNvPr id="225" name="rect_SpCnt_42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05" name="rect_SpCnt_427"/>
                  <wp:cNvGraphicFramePr/>
                  <a:graphic xmlns:a="http://schemas.openxmlformats.org/drawingml/2006/main">
                    <a:graphicData uri="http://schemas.openxmlformats.org/drawingml/2006/picture">
                      <pic:pic xmlns:pic="http://schemas.openxmlformats.org/drawingml/2006/picture">
                        <pic:nvPicPr>
                          <pic:cNvPr id="205" name="rect_SpCnt_42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20" name="rect_SpCnt_428"/>
                  <wp:cNvGraphicFramePr/>
                  <a:graphic xmlns:a="http://schemas.openxmlformats.org/drawingml/2006/main">
                    <a:graphicData uri="http://schemas.openxmlformats.org/drawingml/2006/picture">
                      <pic:pic xmlns:pic="http://schemas.openxmlformats.org/drawingml/2006/picture">
                        <pic:nvPicPr>
                          <pic:cNvPr id="220" name="rect_SpCnt_42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17" name="rect_SpCnt_429"/>
                  <wp:cNvGraphicFramePr/>
                  <a:graphic xmlns:a="http://schemas.openxmlformats.org/drawingml/2006/main">
                    <a:graphicData uri="http://schemas.openxmlformats.org/drawingml/2006/picture">
                      <pic:pic xmlns:pic="http://schemas.openxmlformats.org/drawingml/2006/picture">
                        <pic:nvPicPr>
                          <pic:cNvPr id="217" name="rect_SpCnt_42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07" name="rect_SpCnt_430"/>
                  <wp:cNvGraphicFramePr/>
                  <a:graphic xmlns:a="http://schemas.openxmlformats.org/drawingml/2006/main">
                    <a:graphicData uri="http://schemas.openxmlformats.org/drawingml/2006/picture">
                      <pic:pic xmlns:pic="http://schemas.openxmlformats.org/drawingml/2006/picture">
                        <pic:nvPicPr>
                          <pic:cNvPr id="207" name="rect_SpCnt_43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08" name="rect_SpCnt_431"/>
                  <wp:cNvGraphicFramePr/>
                  <a:graphic xmlns:a="http://schemas.openxmlformats.org/drawingml/2006/main">
                    <a:graphicData uri="http://schemas.openxmlformats.org/drawingml/2006/picture">
                      <pic:pic xmlns:pic="http://schemas.openxmlformats.org/drawingml/2006/picture">
                        <pic:nvPicPr>
                          <pic:cNvPr id="208" name="rect_SpCnt_43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10" name="rect_SpCnt_432"/>
                  <wp:cNvGraphicFramePr/>
                  <a:graphic xmlns:a="http://schemas.openxmlformats.org/drawingml/2006/main">
                    <a:graphicData uri="http://schemas.openxmlformats.org/drawingml/2006/picture">
                      <pic:pic xmlns:pic="http://schemas.openxmlformats.org/drawingml/2006/picture">
                        <pic:nvPicPr>
                          <pic:cNvPr id="210" name="rect_SpCnt_43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15" name="rect_SpCnt_433"/>
                  <wp:cNvGraphicFramePr/>
                  <a:graphic xmlns:a="http://schemas.openxmlformats.org/drawingml/2006/main">
                    <a:graphicData uri="http://schemas.openxmlformats.org/drawingml/2006/picture">
                      <pic:pic xmlns:pic="http://schemas.openxmlformats.org/drawingml/2006/picture">
                        <pic:nvPicPr>
                          <pic:cNvPr id="215" name="rect_SpCnt_43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11" name="rect_SpCnt_434"/>
                  <wp:cNvGraphicFramePr/>
                  <a:graphic xmlns:a="http://schemas.openxmlformats.org/drawingml/2006/main">
                    <a:graphicData uri="http://schemas.openxmlformats.org/drawingml/2006/picture">
                      <pic:pic xmlns:pic="http://schemas.openxmlformats.org/drawingml/2006/picture">
                        <pic:nvPicPr>
                          <pic:cNvPr id="211" name="rect_SpCnt_43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199" name="rect_SpCnt_435"/>
                  <wp:cNvGraphicFramePr/>
                  <a:graphic xmlns:a="http://schemas.openxmlformats.org/drawingml/2006/main">
                    <a:graphicData uri="http://schemas.openxmlformats.org/drawingml/2006/picture">
                      <pic:pic xmlns:pic="http://schemas.openxmlformats.org/drawingml/2006/picture">
                        <pic:nvPicPr>
                          <pic:cNvPr id="199" name="rect_SpCnt_43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374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13" name="rect_SpCnt_436"/>
                  <wp:cNvGraphicFramePr/>
                  <a:graphic xmlns:a="http://schemas.openxmlformats.org/drawingml/2006/main">
                    <a:graphicData uri="http://schemas.openxmlformats.org/drawingml/2006/picture">
                      <pic:pic xmlns:pic="http://schemas.openxmlformats.org/drawingml/2006/picture">
                        <pic:nvPicPr>
                          <pic:cNvPr id="213" name="rect_SpCnt_43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384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14" name="rect_SpCnt_437"/>
                  <wp:cNvGraphicFramePr/>
                  <a:graphic xmlns:a="http://schemas.openxmlformats.org/drawingml/2006/main">
                    <a:graphicData uri="http://schemas.openxmlformats.org/drawingml/2006/picture">
                      <pic:pic xmlns:pic="http://schemas.openxmlformats.org/drawingml/2006/picture">
                        <pic:nvPicPr>
                          <pic:cNvPr id="214" name="rect_SpCnt_43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01" name="rect_SpCnt_438"/>
                  <wp:cNvGraphicFramePr/>
                  <a:graphic xmlns:a="http://schemas.openxmlformats.org/drawingml/2006/main">
                    <a:graphicData uri="http://schemas.openxmlformats.org/drawingml/2006/picture">
                      <pic:pic xmlns:pic="http://schemas.openxmlformats.org/drawingml/2006/picture">
                        <pic:nvPicPr>
                          <pic:cNvPr id="201" name="rect_SpCnt_43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16" name="rect_SpCnt_439"/>
                  <wp:cNvGraphicFramePr/>
                  <a:graphic xmlns:a="http://schemas.openxmlformats.org/drawingml/2006/main">
                    <a:graphicData uri="http://schemas.openxmlformats.org/drawingml/2006/picture">
                      <pic:pic xmlns:pic="http://schemas.openxmlformats.org/drawingml/2006/picture">
                        <pic:nvPicPr>
                          <pic:cNvPr id="216" name="rect_SpCnt_43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18" name="rect_SpCnt_440"/>
                  <wp:cNvGraphicFramePr/>
                  <a:graphic xmlns:a="http://schemas.openxmlformats.org/drawingml/2006/main">
                    <a:graphicData uri="http://schemas.openxmlformats.org/drawingml/2006/picture">
                      <pic:pic xmlns:pic="http://schemas.openxmlformats.org/drawingml/2006/picture">
                        <pic:nvPicPr>
                          <pic:cNvPr id="218" name="rect_SpCnt_44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19" name="rect_SpCnt_441"/>
                  <wp:cNvGraphicFramePr/>
                  <a:graphic xmlns:a="http://schemas.openxmlformats.org/drawingml/2006/main">
                    <a:graphicData uri="http://schemas.openxmlformats.org/drawingml/2006/picture">
                      <pic:pic xmlns:pic="http://schemas.openxmlformats.org/drawingml/2006/picture">
                        <pic:nvPicPr>
                          <pic:cNvPr id="219" name="rect_SpCnt_44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02" name="rect_SpCnt_442"/>
                  <wp:cNvGraphicFramePr/>
                  <a:graphic xmlns:a="http://schemas.openxmlformats.org/drawingml/2006/main">
                    <a:graphicData uri="http://schemas.openxmlformats.org/drawingml/2006/picture">
                      <pic:pic xmlns:pic="http://schemas.openxmlformats.org/drawingml/2006/picture">
                        <pic:nvPicPr>
                          <pic:cNvPr id="202" name="rect_SpCnt_44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845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59" name="rect_SpCnt_443"/>
                  <wp:cNvGraphicFramePr/>
                  <a:graphic xmlns:a="http://schemas.openxmlformats.org/drawingml/2006/main">
                    <a:graphicData uri="http://schemas.openxmlformats.org/drawingml/2006/picture">
                      <pic:pic xmlns:pic="http://schemas.openxmlformats.org/drawingml/2006/picture">
                        <pic:nvPicPr>
                          <pic:cNvPr id="259" name="rect_SpCnt_44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30" name="rect_SpCnt_444"/>
                  <wp:cNvGraphicFramePr/>
                  <a:graphic xmlns:a="http://schemas.openxmlformats.org/drawingml/2006/main">
                    <a:graphicData uri="http://schemas.openxmlformats.org/drawingml/2006/picture">
                      <pic:pic xmlns:pic="http://schemas.openxmlformats.org/drawingml/2006/picture">
                        <pic:nvPicPr>
                          <pic:cNvPr id="230" name="rect_SpCnt_44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37" name="rect_SpCnt_445"/>
                  <wp:cNvGraphicFramePr/>
                  <a:graphic xmlns:a="http://schemas.openxmlformats.org/drawingml/2006/main">
                    <a:graphicData uri="http://schemas.openxmlformats.org/drawingml/2006/picture">
                      <pic:pic xmlns:pic="http://schemas.openxmlformats.org/drawingml/2006/picture">
                        <pic:nvPicPr>
                          <pic:cNvPr id="237" name="rect_SpCnt_44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54" name="rect_SpCnt_446"/>
                  <wp:cNvGraphicFramePr/>
                  <a:graphic xmlns:a="http://schemas.openxmlformats.org/drawingml/2006/main">
                    <a:graphicData uri="http://schemas.openxmlformats.org/drawingml/2006/picture">
                      <pic:pic xmlns:pic="http://schemas.openxmlformats.org/drawingml/2006/picture">
                        <pic:nvPicPr>
                          <pic:cNvPr id="254" name="rect_SpCnt_44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41" name="rect_SpCnt_447"/>
                  <wp:cNvGraphicFramePr/>
                  <a:graphic xmlns:a="http://schemas.openxmlformats.org/drawingml/2006/main">
                    <a:graphicData uri="http://schemas.openxmlformats.org/drawingml/2006/picture">
                      <pic:pic xmlns:pic="http://schemas.openxmlformats.org/drawingml/2006/picture">
                        <pic:nvPicPr>
                          <pic:cNvPr id="241" name="rect_SpCnt_44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32" name="rect_SpCnt_448"/>
                  <wp:cNvGraphicFramePr/>
                  <a:graphic xmlns:a="http://schemas.openxmlformats.org/drawingml/2006/main">
                    <a:graphicData uri="http://schemas.openxmlformats.org/drawingml/2006/picture">
                      <pic:pic xmlns:pic="http://schemas.openxmlformats.org/drawingml/2006/picture">
                        <pic:nvPicPr>
                          <pic:cNvPr id="232" name="rect_SpCnt_44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47" name="rect_SpCnt_449"/>
                  <wp:cNvGraphicFramePr/>
                  <a:graphic xmlns:a="http://schemas.openxmlformats.org/drawingml/2006/main">
                    <a:graphicData uri="http://schemas.openxmlformats.org/drawingml/2006/picture">
                      <pic:pic xmlns:pic="http://schemas.openxmlformats.org/drawingml/2006/picture">
                        <pic:nvPicPr>
                          <pic:cNvPr id="247" name="rect_SpCnt_44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58" name="rect_SpCnt_450"/>
                  <wp:cNvGraphicFramePr/>
                  <a:graphic xmlns:a="http://schemas.openxmlformats.org/drawingml/2006/main">
                    <a:graphicData uri="http://schemas.openxmlformats.org/drawingml/2006/picture">
                      <pic:pic xmlns:pic="http://schemas.openxmlformats.org/drawingml/2006/picture">
                        <pic:nvPicPr>
                          <pic:cNvPr id="258" name="rect_SpCnt_45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53" name="rect_SpCnt_451"/>
                  <wp:cNvGraphicFramePr/>
                  <a:graphic xmlns:a="http://schemas.openxmlformats.org/drawingml/2006/main">
                    <a:graphicData uri="http://schemas.openxmlformats.org/drawingml/2006/picture">
                      <pic:pic xmlns:pic="http://schemas.openxmlformats.org/drawingml/2006/picture">
                        <pic:nvPicPr>
                          <pic:cNvPr id="253" name="rect_SpCnt_45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804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55" name="rect_SpCnt_452"/>
                  <wp:cNvGraphicFramePr/>
                  <a:graphic xmlns:a="http://schemas.openxmlformats.org/drawingml/2006/main">
                    <a:graphicData uri="http://schemas.openxmlformats.org/drawingml/2006/picture">
                      <pic:pic xmlns:pic="http://schemas.openxmlformats.org/drawingml/2006/picture">
                        <pic:nvPicPr>
                          <pic:cNvPr id="255" name="rect_SpCnt_45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42" name="rect_SpCnt_453"/>
                  <wp:cNvGraphicFramePr/>
                  <a:graphic xmlns:a="http://schemas.openxmlformats.org/drawingml/2006/main">
                    <a:graphicData uri="http://schemas.openxmlformats.org/drawingml/2006/picture">
                      <pic:pic xmlns:pic="http://schemas.openxmlformats.org/drawingml/2006/picture">
                        <pic:nvPicPr>
                          <pic:cNvPr id="242" name="rect_SpCnt_45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43" name="rect_SpCnt_454"/>
                  <wp:cNvGraphicFramePr/>
                  <a:graphic xmlns:a="http://schemas.openxmlformats.org/drawingml/2006/main">
                    <a:graphicData uri="http://schemas.openxmlformats.org/drawingml/2006/picture">
                      <pic:pic xmlns:pic="http://schemas.openxmlformats.org/drawingml/2006/picture">
                        <pic:nvPicPr>
                          <pic:cNvPr id="243" name="rect_SpCnt_45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46" name="rect_SpCnt_455"/>
                  <wp:cNvGraphicFramePr/>
                  <a:graphic xmlns:a="http://schemas.openxmlformats.org/drawingml/2006/main">
                    <a:graphicData uri="http://schemas.openxmlformats.org/drawingml/2006/picture">
                      <pic:pic xmlns:pic="http://schemas.openxmlformats.org/drawingml/2006/picture">
                        <pic:nvPicPr>
                          <pic:cNvPr id="246" name="rect_SpCnt_45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45" name="rect_SpCnt_456"/>
                  <wp:cNvGraphicFramePr/>
                  <a:graphic xmlns:a="http://schemas.openxmlformats.org/drawingml/2006/main">
                    <a:graphicData uri="http://schemas.openxmlformats.org/drawingml/2006/picture">
                      <pic:pic xmlns:pic="http://schemas.openxmlformats.org/drawingml/2006/picture">
                        <pic:nvPicPr>
                          <pic:cNvPr id="245" name="rect_SpCnt_45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40" name="rect_SpCnt_457"/>
                  <wp:cNvGraphicFramePr/>
                  <a:graphic xmlns:a="http://schemas.openxmlformats.org/drawingml/2006/main">
                    <a:graphicData uri="http://schemas.openxmlformats.org/drawingml/2006/picture">
                      <pic:pic xmlns:pic="http://schemas.openxmlformats.org/drawingml/2006/picture">
                        <pic:nvPicPr>
                          <pic:cNvPr id="240" name="rect_SpCnt_45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33" name="rect_SpCnt_458"/>
                  <wp:cNvGraphicFramePr/>
                  <a:graphic xmlns:a="http://schemas.openxmlformats.org/drawingml/2006/main">
                    <a:graphicData uri="http://schemas.openxmlformats.org/drawingml/2006/picture">
                      <pic:pic xmlns:pic="http://schemas.openxmlformats.org/drawingml/2006/picture">
                        <pic:nvPicPr>
                          <pic:cNvPr id="233" name="rect_SpCnt_45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34" name="rect_SpCnt_459"/>
                  <wp:cNvGraphicFramePr/>
                  <a:graphic xmlns:a="http://schemas.openxmlformats.org/drawingml/2006/main">
                    <a:graphicData uri="http://schemas.openxmlformats.org/drawingml/2006/picture">
                      <pic:pic xmlns:pic="http://schemas.openxmlformats.org/drawingml/2006/picture">
                        <pic:nvPicPr>
                          <pic:cNvPr id="234" name="rect_SpCnt_45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60" name="rect_SpCnt_460"/>
                  <wp:cNvGraphicFramePr/>
                  <a:graphic xmlns:a="http://schemas.openxmlformats.org/drawingml/2006/main">
                    <a:graphicData uri="http://schemas.openxmlformats.org/drawingml/2006/picture">
                      <pic:pic xmlns:pic="http://schemas.openxmlformats.org/drawingml/2006/picture">
                        <pic:nvPicPr>
                          <pic:cNvPr id="260" name="rect_SpCnt_46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61" name="rect_SpCnt_461"/>
                  <wp:cNvGraphicFramePr/>
                  <a:graphic xmlns:a="http://schemas.openxmlformats.org/drawingml/2006/main">
                    <a:graphicData uri="http://schemas.openxmlformats.org/drawingml/2006/picture">
                      <pic:pic xmlns:pic="http://schemas.openxmlformats.org/drawingml/2006/picture">
                        <pic:nvPicPr>
                          <pic:cNvPr id="261" name="rect_SpCnt_46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56" name="rect_SpCnt_462"/>
                  <wp:cNvGraphicFramePr/>
                  <a:graphic xmlns:a="http://schemas.openxmlformats.org/drawingml/2006/main">
                    <a:graphicData uri="http://schemas.openxmlformats.org/drawingml/2006/picture">
                      <pic:pic xmlns:pic="http://schemas.openxmlformats.org/drawingml/2006/picture">
                        <pic:nvPicPr>
                          <pic:cNvPr id="256" name="rect_SpCnt_46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48" name="rect_SpCnt_463"/>
                  <wp:cNvGraphicFramePr/>
                  <a:graphic xmlns:a="http://schemas.openxmlformats.org/drawingml/2006/main">
                    <a:graphicData uri="http://schemas.openxmlformats.org/drawingml/2006/picture">
                      <pic:pic xmlns:pic="http://schemas.openxmlformats.org/drawingml/2006/picture">
                        <pic:nvPicPr>
                          <pic:cNvPr id="248" name="rect_SpCnt_46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44" name="rect_SpCnt_464"/>
                  <wp:cNvGraphicFramePr/>
                  <a:graphic xmlns:a="http://schemas.openxmlformats.org/drawingml/2006/main">
                    <a:graphicData uri="http://schemas.openxmlformats.org/drawingml/2006/picture">
                      <pic:pic xmlns:pic="http://schemas.openxmlformats.org/drawingml/2006/picture">
                        <pic:nvPicPr>
                          <pic:cNvPr id="244" name="rect_SpCnt_46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57" name="rect_SpCnt_465"/>
                  <wp:cNvGraphicFramePr/>
                  <a:graphic xmlns:a="http://schemas.openxmlformats.org/drawingml/2006/main">
                    <a:graphicData uri="http://schemas.openxmlformats.org/drawingml/2006/picture">
                      <pic:pic xmlns:pic="http://schemas.openxmlformats.org/drawingml/2006/picture">
                        <pic:nvPicPr>
                          <pic:cNvPr id="257" name="rect_SpCnt_46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49" name="rect_SpCnt_466"/>
                  <wp:cNvGraphicFramePr/>
                  <a:graphic xmlns:a="http://schemas.openxmlformats.org/drawingml/2006/main">
                    <a:graphicData uri="http://schemas.openxmlformats.org/drawingml/2006/picture">
                      <pic:pic xmlns:pic="http://schemas.openxmlformats.org/drawingml/2006/picture">
                        <pic:nvPicPr>
                          <pic:cNvPr id="249" name="rect_SpCnt_46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31" name="rect_SpCnt_467"/>
                  <wp:cNvGraphicFramePr/>
                  <a:graphic xmlns:a="http://schemas.openxmlformats.org/drawingml/2006/main">
                    <a:graphicData uri="http://schemas.openxmlformats.org/drawingml/2006/picture">
                      <pic:pic xmlns:pic="http://schemas.openxmlformats.org/drawingml/2006/picture">
                        <pic:nvPicPr>
                          <pic:cNvPr id="231" name="rect_SpCnt_46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50" name="rect_SpCnt_468"/>
                  <wp:cNvGraphicFramePr/>
                  <a:graphic xmlns:a="http://schemas.openxmlformats.org/drawingml/2006/main">
                    <a:graphicData uri="http://schemas.openxmlformats.org/drawingml/2006/picture">
                      <pic:pic xmlns:pic="http://schemas.openxmlformats.org/drawingml/2006/picture">
                        <pic:nvPicPr>
                          <pic:cNvPr id="250" name="rect_SpCnt_46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599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35" name="rect_SpCnt_469"/>
                  <wp:cNvGraphicFramePr/>
                  <a:graphic xmlns:a="http://schemas.openxmlformats.org/drawingml/2006/main">
                    <a:graphicData uri="http://schemas.openxmlformats.org/drawingml/2006/picture">
                      <pic:pic xmlns:pic="http://schemas.openxmlformats.org/drawingml/2006/picture">
                        <pic:nvPicPr>
                          <pic:cNvPr id="235" name="rect_SpCnt_46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36" name="rect_SpCnt_470"/>
                  <wp:cNvGraphicFramePr/>
                  <a:graphic xmlns:a="http://schemas.openxmlformats.org/drawingml/2006/main">
                    <a:graphicData uri="http://schemas.openxmlformats.org/drawingml/2006/picture">
                      <pic:pic xmlns:pic="http://schemas.openxmlformats.org/drawingml/2006/picture">
                        <pic:nvPicPr>
                          <pic:cNvPr id="236" name="rect_SpCnt_47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763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51" name="rect_SpCnt_471"/>
                  <wp:cNvGraphicFramePr/>
                  <a:graphic xmlns:a="http://schemas.openxmlformats.org/drawingml/2006/main">
                    <a:graphicData uri="http://schemas.openxmlformats.org/drawingml/2006/picture">
                      <pic:pic xmlns:pic="http://schemas.openxmlformats.org/drawingml/2006/picture">
                        <pic:nvPicPr>
                          <pic:cNvPr id="251" name="rect_SpCnt_47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52" name="rect_SpCnt_472"/>
                  <wp:cNvGraphicFramePr/>
                  <a:graphic xmlns:a="http://schemas.openxmlformats.org/drawingml/2006/main">
                    <a:graphicData uri="http://schemas.openxmlformats.org/drawingml/2006/picture">
                      <pic:pic xmlns:pic="http://schemas.openxmlformats.org/drawingml/2006/picture">
                        <pic:nvPicPr>
                          <pic:cNvPr id="252" name="rect_SpCnt_47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38" name="rect_SpCnt_473"/>
                  <wp:cNvGraphicFramePr/>
                  <a:graphic xmlns:a="http://schemas.openxmlformats.org/drawingml/2006/main">
                    <a:graphicData uri="http://schemas.openxmlformats.org/drawingml/2006/picture">
                      <pic:pic xmlns:pic="http://schemas.openxmlformats.org/drawingml/2006/picture">
                        <pic:nvPicPr>
                          <pic:cNvPr id="238" name="rect_SpCnt_47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39" name="rect_SpCnt_474"/>
                  <wp:cNvGraphicFramePr/>
                  <a:graphic xmlns:a="http://schemas.openxmlformats.org/drawingml/2006/main">
                    <a:graphicData uri="http://schemas.openxmlformats.org/drawingml/2006/picture">
                      <pic:pic xmlns:pic="http://schemas.openxmlformats.org/drawingml/2006/picture">
                        <pic:nvPicPr>
                          <pic:cNvPr id="239" name="rect_SpCnt_47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101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4" name="rect_SpCnt_475"/>
                  <wp:cNvGraphicFramePr/>
                  <a:graphic xmlns:a="http://schemas.openxmlformats.org/drawingml/2006/main">
                    <a:graphicData uri="http://schemas.openxmlformats.org/drawingml/2006/picture">
                      <pic:pic xmlns:pic="http://schemas.openxmlformats.org/drawingml/2006/picture">
                        <pic:nvPicPr>
                          <pic:cNvPr id="284" name="rect_SpCnt_47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183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2" name="rect_SpCnt_476"/>
                  <wp:cNvGraphicFramePr/>
                  <a:graphic xmlns:a="http://schemas.openxmlformats.org/drawingml/2006/main">
                    <a:graphicData uri="http://schemas.openxmlformats.org/drawingml/2006/picture">
                      <pic:pic xmlns:pic="http://schemas.openxmlformats.org/drawingml/2006/picture">
                        <pic:nvPicPr>
                          <pic:cNvPr id="292" name="rect_SpCnt_47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173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1" name="rect_SpCnt_477"/>
                  <wp:cNvGraphicFramePr/>
                  <a:graphic xmlns:a="http://schemas.openxmlformats.org/drawingml/2006/main">
                    <a:graphicData uri="http://schemas.openxmlformats.org/drawingml/2006/picture">
                      <pic:pic xmlns:pic="http://schemas.openxmlformats.org/drawingml/2006/picture">
                        <pic:nvPicPr>
                          <pic:cNvPr id="291" name="rect_SpCnt_47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121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6" name="rect_SpCnt_478"/>
                  <wp:cNvGraphicFramePr/>
                  <a:graphic xmlns:a="http://schemas.openxmlformats.org/drawingml/2006/main">
                    <a:graphicData uri="http://schemas.openxmlformats.org/drawingml/2006/picture">
                      <pic:pic xmlns:pic="http://schemas.openxmlformats.org/drawingml/2006/picture">
                        <pic:nvPicPr>
                          <pic:cNvPr id="286" name="rect_SpCnt_47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906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65" name="rect_SpCnt_479"/>
                  <wp:cNvGraphicFramePr/>
                  <a:graphic xmlns:a="http://schemas.openxmlformats.org/drawingml/2006/main">
                    <a:graphicData uri="http://schemas.openxmlformats.org/drawingml/2006/picture">
                      <pic:pic xmlns:pic="http://schemas.openxmlformats.org/drawingml/2006/picture">
                        <pic:nvPicPr>
                          <pic:cNvPr id="265" name="rect_SpCnt_47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070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1" name="rect_SpCnt_480"/>
                  <wp:cNvGraphicFramePr/>
                  <a:graphic xmlns:a="http://schemas.openxmlformats.org/drawingml/2006/main">
                    <a:graphicData uri="http://schemas.openxmlformats.org/drawingml/2006/picture">
                      <pic:pic xmlns:pic="http://schemas.openxmlformats.org/drawingml/2006/picture">
                        <pic:nvPicPr>
                          <pic:cNvPr id="281" name="rect_SpCnt_48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080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2" name="rect_SpCnt_481"/>
                  <wp:cNvGraphicFramePr/>
                  <a:graphic xmlns:a="http://schemas.openxmlformats.org/drawingml/2006/main">
                    <a:graphicData uri="http://schemas.openxmlformats.org/drawingml/2006/picture">
                      <pic:pic xmlns:pic="http://schemas.openxmlformats.org/drawingml/2006/picture">
                        <pic:nvPicPr>
                          <pic:cNvPr id="282" name="rect_SpCnt_48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132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7" name="rect_SpCnt_482"/>
                  <wp:cNvGraphicFramePr/>
                  <a:graphic xmlns:a="http://schemas.openxmlformats.org/drawingml/2006/main">
                    <a:graphicData uri="http://schemas.openxmlformats.org/drawingml/2006/picture">
                      <pic:pic xmlns:pic="http://schemas.openxmlformats.org/drawingml/2006/picture">
                        <pic:nvPicPr>
                          <pic:cNvPr id="287" name="rect_SpCnt_48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193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3" name="rect_SpCnt_483"/>
                  <wp:cNvGraphicFramePr/>
                  <a:graphic xmlns:a="http://schemas.openxmlformats.org/drawingml/2006/main">
                    <a:graphicData uri="http://schemas.openxmlformats.org/drawingml/2006/picture">
                      <pic:pic xmlns:pic="http://schemas.openxmlformats.org/drawingml/2006/picture">
                        <pic:nvPicPr>
                          <pic:cNvPr id="293" name="rect_SpCnt_48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886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63" name="rect_SpCnt_484"/>
                  <wp:cNvGraphicFramePr/>
                  <a:graphic xmlns:a="http://schemas.openxmlformats.org/drawingml/2006/main">
                    <a:graphicData uri="http://schemas.openxmlformats.org/drawingml/2006/picture">
                      <pic:pic xmlns:pic="http://schemas.openxmlformats.org/drawingml/2006/picture">
                        <pic:nvPicPr>
                          <pic:cNvPr id="263" name="rect_SpCnt_48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947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69" name="rect_SpCnt_485"/>
                  <wp:cNvGraphicFramePr/>
                  <a:graphic xmlns:a="http://schemas.openxmlformats.org/drawingml/2006/main">
                    <a:graphicData uri="http://schemas.openxmlformats.org/drawingml/2006/picture">
                      <pic:pic xmlns:pic="http://schemas.openxmlformats.org/drawingml/2006/picture">
                        <pic:nvPicPr>
                          <pic:cNvPr id="269" name="rect_SpCnt_48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019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6" name="rect_SpCnt_486"/>
                  <wp:cNvGraphicFramePr/>
                  <a:graphic xmlns:a="http://schemas.openxmlformats.org/drawingml/2006/main">
                    <a:graphicData uri="http://schemas.openxmlformats.org/drawingml/2006/picture">
                      <pic:pic xmlns:pic="http://schemas.openxmlformats.org/drawingml/2006/picture">
                        <pic:nvPicPr>
                          <pic:cNvPr id="276" name="rect_SpCnt_48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62" name="rect_SpCnt_487"/>
                  <wp:cNvGraphicFramePr/>
                  <a:graphic xmlns:a="http://schemas.openxmlformats.org/drawingml/2006/main">
                    <a:graphicData uri="http://schemas.openxmlformats.org/drawingml/2006/picture">
                      <pic:pic xmlns:pic="http://schemas.openxmlformats.org/drawingml/2006/picture">
                        <pic:nvPicPr>
                          <pic:cNvPr id="262" name="rect_SpCnt_48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029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7" name="rect_SpCnt_488"/>
                  <wp:cNvGraphicFramePr/>
                  <a:graphic xmlns:a="http://schemas.openxmlformats.org/drawingml/2006/main">
                    <a:graphicData uri="http://schemas.openxmlformats.org/drawingml/2006/picture">
                      <pic:pic xmlns:pic="http://schemas.openxmlformats.org/drawingml/2006/picture">
                        <pic:nvPicPr>
                          <pic:cNvPr id="277" name="rect_SpCnt_48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896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64" name="rect_SpCnt_489"/>
                  <wp:cNvGraphicFramePr/>
                  <a:graphic xmlns:a="http://schemas.openxmlformats.org/drawingml/2006/main">
                    <a:graphicData uri="http://schemas.openxmlformats.org/drawingml/2006/picture">
                      <pic:pic xmlns:pic="http://schemas.openxmlformats.org/drawingml/2006/picture">
                        <pic:nvPicPr>
                          <pic:cNvPr id="264" name="rect_SpCnt_48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917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66" name="rect_SpCnt_490"/>
                  <wp:cNvGraphicFramePr/>
                  <a:graphic xmlns:a="http://schemas.openxmlformats.org/drawingml/2006/main">
                    <a:graphicData uri="http://schemas.openxmlformats.org/drawingml/2006/picture">
                      <pic:pic xmlns:pic="http://schemas.openxmlformats.org/drawingml/2006/picture">
                        <pic:nvPicPr>
                          <pic:cNvPr id="266" name="rect_SpCnt_49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927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67" name="rect_SpCnt_491"/>
                  <wp:cNvGraphicFramePr/>
                  <a:graphic xmlns:a="http://schemas.openxmlformats.org/drawingml/2006/main">
                    <a:graphicData uri="http://schemas.openxmlformats.org/drawingml/2006/picture">
                      <pic:pic xmlns:pic="http://schemas.openxmlformats.org/drawingml/2006/picture">
                        <pic:nvPicPr>
                          <pic:cNvPr id="267" name="rect_SpCnt_49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937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68" name="rect_SpCnt_492"/>
                  <wp:cNvGraphicFramePr/>
                  <a:graphic xmlns:a="http://schemas.openxmlformats.org/drawingml/2006/main">
                    <a:graphicData uri="http://schemas.openxmlformats.org/drawingml/2006/picture">
                      <pic:pic xmlns:pic="http://schemas.openxmlformats.org/drawingml/2006/picture">
                        <pic:nvPicPr>
                          <pic:cNvPr id="268" name="rect_SpCnt_49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142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8" name="rect_SpCnt_493"/>
                  <wp:cNvGraphicFramePr/>
                  <a:graphic xmlns:a="http://schemas.openxmlformats.org/drawingml/2006/main">
                    <a:graphicData uri="http://schemas.openxmlformats.org/drawingml/2006/picture">
                      <pic:pic xmlns:pic="http://schemas.openxmlformats.org/drawingml/2006/picture">
                        <pic:nvPicPr>
                          <pic:cNvPr id="288" name="rect_SpCnt_49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958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0" name="rect_SpCnt_494"/>
                  <wp:cNvGraphicFramePr/>
                  <a:graphic xmlns:a="http://schemas.openxmlformats.org/drawingml/2006/main">
                    <a:graphicData uri="http://schemas.openxmlformats.org/drawingml/2006/picture">
                      <pic:pic xmlns:pic="http://schemas.openxmlformats.org/drawingml/2006/picture">
                        <pic:nvPicPr>
                          <pic:cNvPr id="270" name="rect_SpCnt_49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968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1" name="rect_SpCnt_495"/>
                  <wp:cNvGraphicFramePr/>
                  <a:graphic xmlns:a="http://schemas.openxmlformats.org/drawingml/2006/main">
                    <a:graphicData uri="http://schemas.openxmlformats.org/drawingml/2006/picture">
                      <pic:pic xmlns:pic="http://schemas.openxmlformats.org/drawingml/2006/picture">
                        <pic:nvPicPr>
                          <pic:cNvPr id="271" name="rect_SpCnt_49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978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2" name="rect_SpCnt_496"/>
                  <wp:cNvGraphicFramePr/>
                  <a:graphic xmlns:a="http://schemas.openxmlformats.org/drawingml/2006/main">
                    <a:graphicData uri="http://schemas.openxmlformats.org/drawingml/2006/picture">
                      <pic:pic xmlns:pic="http://schemas.openxmlformats.org/drawingml/2006/picture">
                        <pic:nvPicPr>
                          <pic:cNvPr id="272" name="rect_SpCnt_49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111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5" name="rect_SpCnt_497"/>
                  <wp:cNvGraphicFramePr/>
                  <a:graphic xmlns:a="http://schemas.openxmlformats.org/drawingml/2006/main">
                    <a:graphicData uri="http://schemas.openxmlformats.org/drawingml/2006/picture">
                      <pic:pic xmlns:pic="http://schemas.openxmlformats.org/drawingml/2006/picture">
                        <pic:nvPicPr>
                          <pic:cNvPr id="285" name="rect_SpCnt_49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988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3" name="rect_SpCnt_498"/>
                  <wp:cNvGraphicFramePr/>
                  <a:graphic xmlns:a="http://schemas.openxmlformats.org/drawingml/2006/main">
                    <a:graphicData uri="http://schemas.openxmlformats.org/drawingml/2006/picture">
                      <pic:pic xmlns:pic="http://schemas.openxmlformats.org/drawingml/2006/picture">
                        <pic:nvPicPr>
                          <pic:cNvPr id="273" name="rect_SpCnt_49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8999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4" name="rect_SpCnt_499"/>
                  <wp:cNvGraphicFramePr/>
                  <a:graphic xmlns:a="http://schemas.openxmlformats.org/drawingml/2006/main">
                    <a:graphicData uri="http://schemas.openxmlformats.org/drawingml/2006/picture">
                      <pic:pic xmlns:pic="http://schemas.openxmlformats.org/drawingml/2006/picture">
                        <pic:nvPicPr>
                          <pic:cNvPr id="274" name="rect_SpCnt_49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152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9" name="rect_SpCnt_500"/>
                  <wp:cNvGraphicFramePr/>
                  <a:graphic xmlns:a="http://schemas.openxmlformats.org/drawingml/2006/main">
                    <a:graphicData uri="http://schemas.openxmlformats.org/drawingml/2006/picture">
                      <pic:pic xmlns:pic="http://schemas.openxmlformats.org/drawingml/2006/picture">
                        <pic:nvPicPr>
                          <pic:cNvPr id="289" name="rect_SpCnt_50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040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8" name="rect_SpCnt_501"/>
                  <wp:cNvGraphicFramePr/>
                  <a:graphic xmlns:a="http://schemas.openxmlformats.org/drawingml/2006/main">
                    <a:graphicData uri="http://schemas.openxmlformats.org/drawingml/2006/picture">
                      <pic:pic xmlns:pic="http://schemas.openxmlformats.org/drawingml/2006/picture">
                        <pic:nvPicPr>
                          <pic:cNvPr id="278" name="rect_SpCnt_50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050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9" name="rect_SpCnt_502"/>
                  <wp:cNvGraphicFramePr/>
                  <a:graphic xmlns:a="http://schemas.openxmlformats.org/drawingml/2006/main">
                    <a:graphicData uri="http://schemas.openxmlformats.org/drawingml/2006/picture">
                      <pic:pic xmlns:pic="http://schemas.openxmlformats.org/drawingml/2006/picture">
                        <pic:nvPicPr>
                          <pic:cNvPr id="279" name="rect_SpCnt_50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060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0" name="rect_SpCnt_503"/>
                  <wp:cNvGraphicFramePr/>
                  <a:graphic xmlns:a="http://schemas.openxmlformats.org/drawingml/2006/main">
                    <a:graphicData uri="http://schemas.openxmlformats.org/drawingml/2006/picture">
                      <pic:pic xmlns:pic="http://schemas.openxmlformats.org/drawingml/2006/picture">
                        <pic:nvPicPr>
                          <pic:cNvPr id="280" name="rect_SpCnt_50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162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0" name="rect_SpCnt_504"/>
                  <wp:cNvGraphicFramePr/>
                  <a:graphic xmlns:a="http://schemas.openxmlformats.org/drawingml/2006/main">
                    <a:graphicData uri="http://schemas.openxmlformats.org/drawingml/2006/picture">
                      <pic:pic xmlns:pic="http://schemas.openxmlformats.org/drawingml/2006/picture">
                        <pic:nvPicPr>
                          <pic:cNvPr id="290" name="rect_SpCnt_50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009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75" name="rect_SpCnt_505"/>
                  <wp:cNvGraphicFramePr/>
                  <a:graphic xmlns:a="http://schemas.openxmlformats.org/drawingml/2006/main">
                    <a:graphicData uri="http://schemas.openxmlformats.org/drawingml/2006/picture">
                      <pic:pic xmlns:pic="http://schemas.openxmlformats.org/drawingml/2006/picture">
                        <pic:nvPicPr>
                          <pic:cNvPr id="275" name="rect_SpCnt_50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091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83" name="rect_SpCnt_506"/>
                  <wp:cNvGraphicFramePr/>
                  <a:graphic xmlns:a="http://schemas.openxmlformats.org/drawingml/2006/main">
                    <a:graphicData uri="http://schemas.openxmlformats.org/drawingml/2006/picture">
                      <pic:pic xmlns:pic="http://schemas.openxmlformats.org/drawingml/2006/picture">
                        <pic:nvPicPr>
                          <pic:cNvPr id="283" name="rect_SpCnt_50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234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7" name="rect_SpCnt_507"/>
                  <wp:cNvGraphicFramePr/>
                  <a:graphic xmlns:a="http://schemas.openxmlformats.org/drawingml/2006/main">
                    <a:graphicData uri="http://schemas.openxmlformats.org/drawingml/2006/picture">
                      <pic:pic xmlns:pic="http://schemas.openxmlformats.org/drawingml/2006/picture">
                        <pic:nvPicPr>
                          <pic:cNvPr id="297" name="rect_SpCnt_50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275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301" name="rect_SpCnt_508"/>
                  <wp:cNvGraphicFramePr/>
                  <a:graphic xmlns:a="http://schemas.openxmlformats.org/drawingml/2006/main">
                    <a:graphicData uri="http://schemas.openxmlformats.org/drawingml/2006/picture">
                      <pic:pic xmlns:pic="http://schemas.openxmlformats.org/drawingml/2006/picture">
                        <pic:nvPicPr>
                          <pic:cNvPr id="301" name="rect_SpCnt_50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203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4" name="rect_SpCnt_509"/>
                  <wp:cNvGraphicFramePr/>
                  <a:graphic xmlns:a="http://schemas.openxmlformats.org/drawingml/2006/main">
                    <a:graphicData uri="http://schemas.openxmlformats.org/drawingml/2006/picture">
                      <pic:pic xmlns:pic="http://schemas.openxmlformats.org/drawingml/2006/picture">
                        <pic:nvPicPr>
                          <pic:cNvPr id="294" name="rect_SpCnt_50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214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5" name="rect_SpCnt_510"/>
                  <wp:cNvGraphicFramePr/>
                  <a:graphic xmlns:a="http://schemas.openxmlformats.org/drawingml/2006/main">
                    <a:graphicData uri="http://schemas.openxmlformats.org/drawingml/2006/picture">
                      <pic:pic xmlns:pic="http://schemas.openxmlformats.org/drawingml/2006/picture">
                        <pic:nvPicPr>
                          <pic:cNvPr id="295" name="rect_SpCnt_51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224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6" name="rect_SpCnt_511"/>
                  <wp:cNvGraphicFramePr/>
                  <a:graphic xmlns:a="http://schemas.openxmlformats.org/drawingml/2006/main">
                    <a:graphicData uri="http://schemas.openxmlformats.org/drawingml/2006/picture">
                      <pic:pic xmlns:pic="http://schemas.openxmlformats.org/drawingml/2006/picture">
                        <pic:nvPicPr>
                          <pic:cNvPr id="296" name="rect_SpCnt_51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8" name="rect_SpCnt_512"/>
                  <wp:cNvGraphicFramePr/>
                  <a:graphic xmlns:a="http://schemas.openxmlformats.org/drawingml/2006/main">
                    <a:graphicData uri="http://schemas.openxmlformats.org/drawingml/2006/picture">
                      <pic:pic xmlns:pic="http://schemas.openxmlformats.org/drawingml/2006/picture">
                        <pic:nvPicPr>
                          <pic:cNvPr id="298" name="rect_SpCnt_51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299" name="rect_SpCnt_513"/>
                  <wp:cNvGraphicFramePr/>
                  <a:graphic xmlns:a="http://schemas.openxmlformats.org/drawingml/2006/main">
                    <a:graphicData uri="http://schemas.openxmlformats.org/drawingml/2006/picture">
                      <pic:pic xmlns:pic="http://schemas.openxmlformats.org/drawingml/2006/picture">
                        <pic:nvPicPr>
                          <pic:cNvPr id="299" name="rect_SpCnt_51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19265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300" name="rect_SpCnt_514"/>
                  <wp:cNvGraphicFramePr/>
                  <a:graphic xmlns:a="http://schemas.openxmlformats.org/drawingml/2006/main">
                    <a:graphicData uri="http://schemas.openxmlformats.org/drawingml/2006/picture">
                      <pic:pic xmlns:pic="http://schemas.openxmlformats.org/drawingml/2006/picture">
                        <pic:nvPicPr>
                          <pic:cNvPr id="300" name="rect_SpCnt_51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152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83" name="rect_SpCnt_515"/>
                  <wp:cNvGraphicFramePr/>
                  <a:graphic xmlns:a="http://schemas.openxmlformats.org/drawingml/2006/main">
                    <a:graphicData uri="http://schemas.openxmlformats.org/drawingml/2006/picture">
                      <pic:pic xmlns:pic="http://schemas.openxmlformats.org/drawingml/2006/picture">
                        <pic:nvPicPr>
                          <pic:cNvPr id="583" name="rect_SpCnt_51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193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87" name="rect_SpCnt_516"/>
                  <wp:cNvGraphicFramePr/>
                  <a:graphic xmlns:a="http://schemas.openxmlformats.org/drawingml/2006/main">
                    <a:graphicData uri="http://schemas.openxmlformats.org/drawingml/2006/picture">
                      <pic:pic xmlns:pic="http://schemas.openxmlformats.org/drawingml/2006/picture">
                        <pic:nvPicPr>
                          <pic:cNvPr id="587" name="rect_SpCnt_51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163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84" name="rect_SpCnt_517"/>
                  <wp:cNvGraphicFramePr/>
                  <a:graphic xmlns:a="http://schemas.openxmlformats.org/drawingml/2006/main">
                    <a:graphicData uri="http://schemas.openxmlformats.org/drawingml/2006/picture">
                      <pic:pic xmlns:pic="http://schemas.openxmlformats.org/drawingml/2006/picture">
                        <pic:nvPicPr>
                          <pic:cNvPr id="584" name="rect_SpCnt_51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183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86" name="rect_SpCnt_518"/>
                  <wp:cNvGraphicFramePr/>
                  <a:graphic xmlns:a="http://schemas.openxmlformats.org/drawingml/2006/main">
                    <a:graphicData uri="http://schemas.openxmlformats.org/drawingml/2006/picture">
                      <pic:pic xmlns:pic="http://schemas.openxmlformats.org/drawingml/2006/picture">
                        <pic:nvPicPr>
                          <pic:cNvPr id="586" name="rect_SpCnt_51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112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79" name="rect_SpCnt_519"/>
                  <wp:cNvGraphicFramePr/>
                  <a:graphic xmlns:a="http://schemas.openxmlformats.org/drawingml/2006/main">
                    <a:graphicData uri="http://schemas.openxmlformats.org/drawingml/2006/picture">
                      <pic:pic xmlns:pic="http://schemas.openxmlformats.org/drawingml/2006/picture">
                        <pic:nvPicPr>
                          <pic:cNvPr id="579" name="rect_SpCnt_51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122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80" name="rect_SpCnt_520"/>
                  <wp:cNvGraphicFramePr/>
                  <a:graphic xmlns:a="http://schemas.openxmlformats.org/drawingml/2006/main">
                    <a:graphicData uri="http://schemas.openxmlformats.org/drawingml/2006/picture">
                      <pic:pic xmlns:pic="http://schemas.openxmlformats.org/drawingml/2006/picture">
                        <pic:nvPicPr>
                          <pic:cNvPr id="580" name="rect_SpCnt_52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132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81" name="rect_SpCnt_521"/>
                  <wp:cNvGraphicFramePr/>
                  <a:graphic xmlns:a="http://schemas.openxmlformats.org/drawingml/2006/main">
                    <a:graphicData uri="http://schemas.openxmlformats.org/drawingml/2006/picture">
                      <pic:pic xmlns:pic="http://schemas.openxmlformats.org/drawingml/2006/picture">
                        <pic:nvPicPr>
                          <pic:cNvPr id="581" name="rect_SpCnt_52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173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85" name="rect_SpCnt_522"/>
                  <wp:cNvGraphicFramePr/>
                  <a:graphic xmlns:a="http://schemas.openxmlformats.org/drawingml/2006/main">
                    <a:graphicData uri="http://schemas.openxmlformats.org/drawingml/2006/picture">
                      <pic:pic xmlns:pic="http://schemas.openxmlformats.org/drawingml/2006/picture">
                        <pic:nvPicPr>
                          <pic:cNvPr id="585" name="rect_SpCnt_52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142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82" name="rect_SpCnt_523"/>
                  <wp:cNvGraphicFramePr/>
                  <a:graphic xmlns:a="http://schemas.openxmlformats.org/drawingml/2006/main">
                    <a:graphicData uri="http://schemas.openxmlformats.org/drawingml/2006/picture">
                      <pic:pic xmlns:pic="http://schemas.openxmlformats.org/drawingml/2006/picture">
                        <pic:nvPicPr>
                          <pic:cNvPr id="582" name="rect_SpCnt_52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368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04" name="rect_SpCnt_524"/>
                  <wp:cNvGraphicFramePr/>
                  <a:graphic xmlns:a="http://schemas.openxmlformats.org/drawingml/2006/main">
                    <a:graphicData uri="http://schemas.openxmlformats.org/drawingml/2006/picture">
                      <pic:pic xmlns:pic="http://schemas.openxmlformats.org/drawingml/2006/picture">
                        <pic:nvPicPr>
                          <pic:cNvPr id="604" name="rect_SpCnt_52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245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92" name="rect_SpCnt_525"/>
                  <wp:cNvGraphicFramePr/>
                  <a:graphic xmlns:a="http://schemas.openxmlformats.org/drawingml/2006/main">
                    <a:graphicData uri="http://schemas.openxmlformats.org/drawingml/2006/picture">
                      <pic:pic xmlns:pic="http://schemas.openxmlformats.org/drawingml/2006/picture">
                        <pic:nvPicPr>
                          <pic:cNvPr id="592" name="rect_SpCnt_52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378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05" name="rect_SpCnt_526"/>
                  <wp:cNvGraphicFramePr/>
                  <a:graphic xmlns:a="http://schemas.openxmlformats.org/drawingml/2006/main">
                    <a:graphicData uri="http://schemas.openxmlformats.org/drawingml/2006/picture">
                      <pic:pic xmlns:pic="http://schemas.openxmlformats.org/drawingml/2006/picture">
                        <pic:nvPicPr>
                          <pic:cNvPr id="605" name="rect_SpCnt_52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286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96" name="rect_SpCnt_527"/>
                  <wp:cNvGraphicFramePr/>
                  <a:graphic xmlns:a="http://schemas.openxmlformats.org/drawingml/2006/main">
                    <a:graphicData uri="http://schemas.openxmlformats.org/drawingml/2006/picture">
                      <pic:pic xmlns:pic="http://schemas.openxmlformats.org/drawingml/2006/picture">
                        <pic:nvPicPr>
                          <pic:cNvPr id="596" name="rect_SpCnt_52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275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95" name="rect_SpCnt_528"/>
                  <wp:cNvGraphicFramePr/>
                  <a:graphic xmlns:a="http://schemas.openxmlformats.org/drawingml/2006/main">
                    <a:graphicData uri="http://schemas.openxmlformats.org/drawingml/2006/picture">
                      <pic:pic xmlns:pic="http://schemas.openxmlformats.org/drawingml/2006/picture">
                        <pic:nvPicPr>
                          <pic:cNvPr id="595" name="rect_SpCnt_52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306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98" name="rect_SpCnt_529"/>
                  <wp:cNvGraphicFramePr/>
                  <a:graphic xmlns:a="http://schemas.openxmlformats.org/drawingml/2006/main">
                    <a:graphicData uri="http://schemas.openxmlformats.org/drawingml/2006/picture">
                      <pic:pic xmlns:pic="http://schemas.openxmlformats.org/drawingml/2006/picture">
                        <pic:nvPicPr>
                          <pic:cNvPr id="598" name="rect_SpCnt_52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347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02" name="rect_SpCnt_530"/>
                  <wp:cNvGraphicFramePr/>
                  <a:graphic xmlns:a="http://schemas.openxmlformats.org/drawingml/2006/main">
                    <a:graphicData uri="http://schemas.openxmlformats.org/drawingml/2006/picture">
                      <pic:pic xmlns:pic="http://schemas.openxmlformats.org/drawingml/2006/picture">
                        <pic:nvPicPr>
                          <pic:cNvPr id="602" name="rect_SpCnt_53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296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97" name="rect_SpCnt_531"/>
                  <wp:cNvGraphicFramePr/>
                  <a:graphic xmlns:a="http://schemas.openxmlformats.org/drawingml/2006/main">
                    <a:graphicData uri="http://schemas.openxmlformats.org/drawingml/2006/picture">
                      <pic:pic xmlns:pic="http://schemas.openxmlformats.org/drawingml/2006/picture">
                        <pic:nvPicPr>
                          <pic:cNvPr id="597" name="rect_SpCnt_53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204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88" name="rect_SpCnt_532"/>
                  <wp:cNvGraphicFramePr/>
                  <a:graphic xmlns:a="http://schemas.openxmlformats.org/drawingml/2006/main">
                    <a:graphicData uri="http://schemas.openxmlformats.org/drawingml/2006/picture">
                      <pic:pic xmlns:pic="http://schemas.openxmlformats.org/drawingml/2006/picture">
                        <pic:nvPicPr>
                          <pic:cNvPr id="588" name="rect_SpCnt_53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388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06" name="rect_SpCnt_533"/>
                  <wp:cNvGraphicFramePr/>
                  <a:graphic xmlns:a="http://schemas.openxmlformats.org/drawingml/2006/main">
                    <a:graphicData uri="http://schemas.openxmlformats.org/drawingml/2006/picture">
                      <pic:pic xmlns:pic="http://schemas.openxmlformats.org/drawingml/2006/picture">
                        <pic:nvPicPr>
                          <pic:cNvPr id="606" name="rect_SpCnt_53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255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93" name="rect_SpCnt_534"/>
                  <wp:cNvGraphicFramePr/>
                  <a:graphic xmlns:a="http://schemas.openxmlformats.org/drawingml/2006/main">
                    <a:graphicData uri="http://schemas.openxmlformats.org/drawingml/2006/picture">
                      <pic:pic xmlns:pic="http://schemas.openxmlformats.org/drawingml/2006/picture">
                        <pic:nvPicPr>
                          <pic:cNvPr id="593" name="rect_SpCnt_53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316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99" name="rect_SpCnt_535"/>
                  <wp:cNvGraphicFramePr/>
                  <a:graphic xmlns:a="http://schemas.openxmlformats.org/drawingml/2006/main">
                    <a:graphicData uri="http://schemas.openxmlformats.org/drawingml/2006/picture">
                      <pic:pic xmlns:pic="http://schemas.openxmlformats.org/drawingml/2006/picture">
                        <pic:nvPicPr>
                          <pic:cNvPr id="599" name="rect_SpCnt_53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214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89" name="rect_SpCnt_536"/>
                  <wp:cNvGraphicFramePr/>
                  <a:graphic xmlns:a="http://schemas.openxmlformats.org/drawingml/2006/main">
                    <a:graphicData uri="http://schemas.openxmlformats.org/drawingml/2006/picture">
                      <pic:pic xmlns:pic="http://schemas.openxmlformats.org/drawingml/2006/picture">
                        <pic:nvPicPr>
                          <pic:cNvPr id="589" name="rect_SpCnt_536"/>
                          <pic:cNvPicPr/>
                        </pic:nvPicPr>
                        <pic:blipFill>
                          <a:blip r:embed="rId22"/>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224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90" name="rect_SpCnt_537"/>
                  <wp:cNvGraphicFramePr/>
                  <a:graphic xmlns:a="http://schemas.openxmlformats.org/drawingml/2006/main">
                    <a:graphicData uri="http://schemas.openxmlformats.org/drawingml/2006/picture">
                      <pic:pic xmlns:pic="http://schemas.openxmlformats.org/drawingml/2006/picture">
                        <pic:nvPicPr>
                          <pic:cNvPr id="590" name="rect_SpCnt_53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265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94" name="rect_SpCnt_538"/>
                  <wp:cNvGraphicFramePr/>
                  <a:graphic xmlns:a="http://schemas.openxmlformats.org/drawingml/2006/main">
                    <a:graphicData uri="http://schemas.openxmlformats.org/drawingml/2006/picture">
                      <pic:pic xmlns:pic="http://schemas.openxmlformats.org/drawingml/2006/picture">
                        <pic:nvPicPr>
                          <pic:cNvPr id="594" name="rect_SpCnt_53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327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00" name="rect_SpCnt_539"/>
                  <wp:cNvGraphicFramePr/>
                  <a:graphic xmlns:a="http://schemas.openxmlformats.org/drawingml/2006/main">
                    <a:graphicData uri="http://schemas.openxmlformats.org/drawingml/2006/picture">
                      <pic:pic xmlns:pic="http://schemas.openxmlformats.org/drawingml/2006/picture">
                        <pic:nvPicPr>
                          <pic:cNvPr id="600" name="rect_SpCnt_53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337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01" name="rect_SpCnt_540"/>
                  <wp:cNvGraphicFramePr/>
                  <a:graphic xmlns:a="http://schemas.openxmlformats.org/drawingml/2006/main">
                    <a:graphicData uri="http://schemas.openxmlformats.org/drawingml/2006/picture">
                      <pic:pic xmlns:pic="http://schemas.openxmlformats.org/drawingml/2006/picture">
                        <pic:nvPicPr>
                          <pic:cNvPr id="601" name="rect_SpCnt_54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234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91" name="rect_SpCnt_541"/>
                  <wp:cNvGraphicFramePr/>
                  <a:graphic xmlns:a="http://schemas.openxmlformats.org/drawingml/2006/main">
                    <a:graphicData uri="http://schemas.openxmlformats.org/drawingml/2006/picture">
                      <pic:pic xmlns:pic="http://schemas.openxmlformats.org/drawingml/2006/picture">
                        <pic:nvPicPr>
                          <pic:cNvPr id="591" name="rect_SpCnt_54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357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03" name="rect_SpCnt_542"/>
                  <wp:cNvGraphicFramePr/>
                  <a:graphic xmlns:a="http://schemas.openxmlformats.org/drawingml/2006/main">
                    <a:graphicData uri="http://schemas.openxmlformats.org/drawingml/2006/picture">
                      <pic:pic xmlns:pic="http://schemas.openxmlformats.org/drawingml/2006/picture">
                        <pic:nvPicPr>
                          <pic:cNvPr id="603" name="rect_SpCnt_54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429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10" name="rect_SpCnt_543"/>
                  <wp:cNvGraphicFramePr/>
                  <a:graphic xmlns:a="http://schemas.openxmlformats.org/drawingml/2006/main">
                    <a:graphicData uri="http://schemas.openxmlformats.org/drawingml/2006/picture">
                      <pic:pic xmlns:pic="http://schemas.openxmlformats.org/drawingml/2006/picture">
                        <pic:nvPicPr>
                          <pic:cNvPr id="610" name="rect_SpCnt_54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664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33" name="rect_SpCnt_544"/>
                  <wp:cNvGraphicFramePr/>
                  <a:graphic xmlns:a="http://schemas.openxmlformats.org/drawingml/2006/main">
                    <a:graphicData uri="http://schemas.openxmlformats.org/drawingml/2006/picture">
                      <pic:pic xmlns:pic="http://schemas.openxmlformats.org/drawingml/2006/picture">
                        <pic:nvPicPr>
                          <pic:cNvPr id="633" name="rect_SpCnt_54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531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20" name="rect_SpCnt_545"/>
                  <wp:cNvGraphicFramePr/>
                  <a:graphic xmlns:a="http://schemas.openxmlformats.org/drawingml/2006/main">
                    <a:graphicData uri="http://schemas.openxmlformats.org/drawingml/2006/picture">
                      <pic:pic xmlns:pic="http://schemas.openxmlformats.org/drawingml/2006/picture">
                        <pic:nvPicPr>
                          <pic:cNvPr id="620" name="rect_SpCnt_54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644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31" name="rect_SpCnt_546"/>
                  <wp:cNvGraphicFramePr/>
                  <a:graphic xmlns:a="http://schemas.openxmlformats.org/drawingml/2006/main">
                    <a:graphicData uri="http://schemas.openxmlformats.org/drawingml/2006/picture">
                      <pic:pic xmlns:pic="http://schemas.openxmlformats.org/drawingml/2006/picture">
                        <pic:nvPicPr>
                          <pic:cNvPr id="631" name="rect_SpCnt_54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439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11" name="rect_SpCnt_547"/>
                  <wp:cNvGraphicFramePr/>
                  <a:graphic xmlns:a="http://schemas.openxmlformats.org/drawingml/2006/main">
                    <a:graphicData uri="http://schemas.openxmlformats.org/drawingml/2006/picture">
                      <pic:pic xmlns:pic="http://schemas.openxmlformats.org/drawingml/2006/picture">
                        <pic:nvPicPr>
                          <pic:cNvPr id="611" name="rect_SpCnt_54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675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34" name="rect_SpCnt_548"/>
                  <wp:cNvGraphicFramePr/>
                  <a:graphic xmlns:a="http://schemas.openxmlformats.org/drawingml/2006/main">
                    <a:graphicData uri="http://schemas.openxmlformats.org/drawingml/2006/picture">
                      <pic:pic xmlns:pic="http://schemas.openxmlformats.org/drawingml/2006/picture">
                        <pic:nvPicPr>
                          <pic:cNvPr id="634" name="rect_SpCnt_54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521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19" name="rect_SpCnt_549"/>
                  <wp:cNvGraphicFramePr/>
                  <a:graphic xmlns:a="http://schemas.openxmlformats.org/drawingml/2006/main">
                    <a:graphicData uri="http://schemas.openxmlformats.org/drawingml/2006/picture">
                      <pic:pic xmlns:pic="http://schemas.openxmlformats.org/drawingml/2006/picture">
                        <pic:nvPicPr>
                          <pic:cNvPr id="619" name="rect_SpCnt_54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419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09" name="rect_SpCnt_550"/>
                  <wp:cNvGraphicFramePr/>
                  <a:graphic xmlns:a="http://schemas.openxmlformats.org/drawingml/2006/main">
                    <a:graphicData uri="http://schemas.openxmlformats.org/drawingml/2006/picture">
                      <pic:pic xmlns:pic="http://schemas.openxmlformats.org/drawingml/2006/picture">
                        <pic:nvPicPr>
                          <pic:cNvPr id="609" name="rect_SpCnt_55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408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08" name="rect_SpCnt_551"/>
                  <wp:cNvGraphicFramePr/>
                  <a:graphic xmlns:a="http://schemas.openxmlformats.org/drawingml/2006/main">
                    <a:graphicData uri="http://schemas.openxmlformats.org/drawingml/2006/picture">
                      <pic:pic xmlns:pic="http://schemas.openxmlformats.org/drawingml/2006/picture">
                        <pic:nvPicPr>
                          <pic:cNvPr id="608" name="rect_SpCnt_55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624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29" name="rect_SpCnt_552"/>
                  <wp:cNvGraphicFramePr/>
                  <a:graphic xmlns:a="http://schemas.openxmlformats.org/drawingml/2006/main">
                    <a:graphicData uri="http://schemas.openxmlformats.org/drawingml/2006/picture">
                      <pic:pic xmlns:pic="http://schemas.openxmlformats.org/drawingml/2006/picture">
                        <pic:nvPicPr>
                          <pic:cNvPr id="629" name="rect_SpCnt_55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542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21" name="rect_SpCnt_553"/>
                  <wp:cNvGraphicFramePr/>
                  <a:graphic xmlns:a="http://schemas.openxmlformats.org/drawingml/2006/main">
                    <a:graphicData uri="http://schemas.openxmlformats.org/drawingml/2006/picture">
                      <pic:pic xmlns:pic="http://schemas.openxmlformats.org/drawingml/2006/picture">
                        <pic:nvPicPr>
                          <pic:cNvPr id="621" name="rect_SpCnt_55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552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22" name="rect_SpCnt_554"/>
                  <wp:cNvGraphicFramePr/>
                  <a:graphic xmlns:a="http://schemas.openxmlformats.org/drawingml/2006/main">
                    <a:graphicData uri="http://schemas.openxmlformats.org/drawingml/2006/picture">
                      <pic:pic xmlns:pic="http://schemas.openxmlformats.org/drawingml/2006/picture">
                        <pic:nvPicPr>
                          <pic:cNvPr id="622" name="rect_SpCnt_55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562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23" name="rect_SpCnt_555"/>
                  <wp:cNvGraphicFramePr/>
                  <a:graphic xmlns:a="http://schemas.openxmlformats.org/drawingml/2006/main">
                    <a:graphicData uri="http://schemas.openxmlformats.org/drawingml/2006/picture">
                      <pic:pic xmlns:pic="http://schemas.openxmlformats.org/drawingml/2006/picture">
                        <pic:nvPicPr>
                          <pic:cNvPr id="623" name="rect_SpCnt_55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685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35" name="rect_SpCnt_556"/>
                  <wp:cNvGraphicFramePr/>
                  <a:graphic xmlns:a="http://schemas.openxmlformats.org/drawingml/2006/main">
                    <a:graphicData uri="http://schemas.openxmlformats.org/drawingml/2006/picture">
                      <pic:pic xmlns:pic="http://schemas.openxmlformats.org/drawingml/2006/picture">
                        <pic:nvPicPr>
                          <pic:cNvPr id="635" name="rect_SpCnt_55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695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36" name="rect_SpCnt_557"/>
                  <wp:cNvGraphicFramePr/>
                  <a:graphic xmlns:a="http://schemas.openxmlformats.org/drawingml/2006/main">
                    <a:graphicData uri="http://schemas.openxmlformats.org/drawingml/2006/picture">
                      <pic:pic xmlns:pic="http://schemas.openxmlformats.org/drawingml/2006/picture">
                        <pic:nvPicPr>
                          <pic:cNvPr id="636" name="rect_SpCnt_55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705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37" name="rect_SpCnt_558"/>
                  <wp:cNvGraphicFramePr/>
                  <a:graphic xmlns:a="http://schemas.openxmlformats.org/drawingml/2006/main">
                    <a:graphicData uri="http://schemas.openxmlformats.org/drawingml/2006/picture">
                      <pic:pic xmlns:pic="http://schemas.openxmlformats.org/drawingml/2006/picture">
                        <pic:nvPicPr>
                          <pic:cNvPr id="637" name="rect_SpCnt_55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716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38" name="rect_SpCnt_559"/>
                  <wp:cNvGraphicFramePr/>
                  <a:graphic xmlns:a="http://schemas.openxmlformats.org/drawingml/2006/main">
                    <a:graphicData uri="http://schemas.openxmlformats.org/drawingml/2006/picture">
                      <pic:pic xmlns:pic="http://schemas.openxmlformats.org/drawingml/2006/picture">
                        <pic:nvPicPr>
                          <pic:cNvPr id="638" name="rect_SpCnt_55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398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07" name="rect_SpCnt_560"/>
                  <wp:cNvGraphicFramePr/>
                  <a:graphic xmlns:a="http://schemas.openxmlformats.org/drawingml/2006/main">
                    <a:graphicData uri="http://schemas.openxmlformats.org/drawingml/2006/picture">
                      <pic:pic xmlns:pic="http://schemas.openxmlformats.org/drawingml/2006/picture">
                        <pic:nvPicPr>
                          <pic:cNvPr id="607" name="rect_SpCnt_56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470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14" name="rect_SpCnt_561"/>
                  <wp:cNvGraphicFramePr/>
                  <a:graphic xmlns:a="http://schemas.openxmlformats.org/drawingml/2006/main">
                    <a:graphicData uri="http://schemas.openxmlformats.org/drawingml/2006/picture">
                      <pic:pic xmlns:pic="http://schemas.openxmlformats.org/drawingml/2006/picture">
                        <pic:nvPicPr>
                          <pic:cNvPr id="614" name="rect_SpCnt_56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634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30" name="rect_SpCnt_562"/>
                  <wp:cNvGraphicFramePr/>
                  <a:graphic xmlns:a="http://schemas.openxmlformats.org/drawingml/2006/main">
                    <a:graphicData uri="http://schemas.openxmlformats.org/drawingml/2006/picture">
                      <pic:pic xmlns:pic="http://schemas.openxmlformats.org/drawingml/2006/picture">
                        <pic:nvPicPr>
                          <pic:cNvPr id="630" name="rect_SpCnt_56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449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12" name="rect_SpCnt_563"/>
                  <wp:cNvGraphicFramePr/>
                  <a:graphic xmlns:a="http://schemas.openxmlformats.org/drawingml/2006/main">
                    <a:graphicData uri="http://schemas.openxmlformats.org/drawingml/2006/picture">
                      <pic:pic xmlns:pic="http://schemas.openxmlformats.org/drawingml/2006/picture">
                        <pic:nvPicPr>
                          <pic:cNvPr id="612" name="rect_SpCnt_56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572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24" name="rect_SpCnt_564"/>
                  <wp:cNvGraphicFramePr/>
                  <a:graphic xmlns:a="http://schemas.openxmlformats.org/drawingml/2006/main">
                    <a:graphicData uri="http://schemas.openxmlformats.org/drawingml/2006/picture">
                      <pic:pic xmlns:pic="http://schemas.openxmlformats.org/drawingml/2006/picture">
                        <pic:nvPicPr>
                          <pic:cNvPr id="624" name="rect_SpCnt_56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460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13" name="rect_SpCnt_565"/>
                  <wp:cNvGraphicFramePr/>
                  <a:graphic xmlns:a="http://schemas.openxmlformats.org/drawingml/2006/main">
                    <a:graphicData uri="http://schemas.openxmlformats.org/drawingml/2006/picture">
                      <pic:pic xmlns:pic="http://schemas.openxmlformats.org/drawingml/2006/picture">
                        <pic:nvPicPr>
                          <pic:cNvPr id="613" name="rect_SpCnt_56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593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26" name="rect_SpCnt_566"/>
                  <wp:cNvGraphicFramePr/>
                  <a:graphic xmlns:a="http://schemas.openxmlformats.org/drawingml/2006/main">
                    <a:graphicData uri="http://schemas.openxmlformats.org/drawingml/2006/picture">
                      <pic:pic xmlns:pic="http://schemas.openxmlformats.org/drawingml/2006/picture">
                        <pic:nvPicPr>
                          <pic:cNvPr id="626" name="rect_SpCnt_56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480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15" name="rect_SpCnt_567"/>
                  <wp:cNvGraphicFramePr/>
                  <a:graphic xmlns:a="http://schemas.openxmlformats.org/drawingml/2006/main">
                    <a:graphicData uri="http://schemas.openxmlformats.org/drawingml/2006/picture">
                      <pic:pic xmlns:pic="http://schemas.openxmlformats.org/drawingml/2006/picture">
                        <pic:nvPicPr>
                          <pic:cNvPr id="615" name="rect_SpCnt_56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583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25" name="rect_SpCnt_568"/>
                  <wp:cNvGraphicFramePr/>
                  <a:graphic xmlns:a="http://schemas.openxmlformats.org/drawingml/2006/main">
                    <a:graphicData uri="http://schemas.openxmlformats.org/drawingml/2006/picture">
                      <pic:pic xmlns:pic="http://schemas.openxmlformats.org/drawingml/2006/picture">
                        <pic:nvPicPr>
                          <pic:cNvPr id="625" name="rect_SpCnt_56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603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27" name="rect_SpCnt_569"/>
                  <wp:cNvGraphicFramePr/>
                  <a:graphic xmlns:a="http://schemas.openxmlformats.org/drawingml/2006/main">
                    <a:graphicData uri="http://schemas.openxmlformats.org/drawingml/2006/picture">
                      <pic:pic xmlns:pic="http://schemas.openxmlformats.org/drawingml/2006/picture">
                        <pic:nvPicPr>
                          <pic:cNvPr id="627" name="rect_SpCnt_56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490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16" name="rect_SpCnt_570"/>
                  <wp:cNvGraphicFramePr/>
                  <a:graphic xmlns:a="http://schemas.openxmlformats.org/drawingml/2006/main">
                    <a:graphicData uri="http://schemas.openxmlformats.org/drawingml/2006/picture">
                      <pic:pic xmlns:pic="http://schemas.openxmlformats.org/drawingml/2006/picture">
                        <pic:nvPicPr>
                          <pic:cNvPr id="616" name="rect_SpCnt_57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501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17" name="rect_SpCnt_571"/>
                  <wp:cNvGraphicFramePr/>
                  <a:graphic xmlns:a="http://schemas.openxmlformats.org/drawingml/2006/main">
                    <a:graphicData uri="http://schemas.openxmlformats.org/drawingml/2006/picture">
                      <pic:pic xmlns:pic="http://schemas.openxmlformats.org/drawingml/2006/picture">
                        <pic:nvPicPr>
                          <pic:cNvPr id="617" name="rect_SpCnt_57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613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28" name="rect_SpCnt_572"/>
                  <wp:cNvGraphicFramePr/>
                  <a:graphic xmlns:a="http://schemas.openxmlformats.org/drawingml/2006/main">
                    <a:graphicData uri="http://schemas.openxmlformats.org/drawingml/2006/picture">
                      <pic:pic xmlns:pic="http://schemas.openxmlformats.org/drawingml/2006/picture">
                        <pic:nvPicPr>
                          <pic:cNvPr id="628" name="rect_SpCnt_57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511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18" name="rect_SpCnt_573"/>
                  <wp:cNvGraphicFramePr/>
                  <a:graphic xmlns:a="http://schemas.openxmlformats.org/drawingml/2006/main">
                    <a:graphicData uri="http://schemas.openxmlformats.org/drawingml/2006/picture">
                      <pic:pic xmlns:pic="http://schemas.openxmlformats.org/drawingml/2006/picture">
                        <pic:nvPicPr>
                          <pic:cNvPr id="618" name="rect_SpCnt_57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654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32" name="rect_SpCnt_574"/>
                  <wp:cNvGraphicFramePr/>
                  <a:graphic xmlns:a="http://schemas.openxmlformats.org/drawingml/2006/main">
                    <a:graphicData uri="http://schemas.openxmlformats.org/drawingml/2006/picture">
                      <pic:pic xmlns:pic="http://schemas.openxmlformats.org/drawingml/2006/picture">
                        <pic:nvPicPr>
                          <pic:cNvPr id="632" name="rect_SpCnt_57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757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42" name="rect_SpCnt_575"/>
                  <wp:cNvGraphicFramePr/>
                  <a:graphic xmlns:a="http://schemas.openxmlformats.org/drawingml/2006/main">
                    <a:graphicData uri="http://schemas.openxmlformats.org/drawingml/2006/picture">
                      <pic:pic xmlns:pic="http://schemas.openxmlformats.org/drawingml/2006/picture">
                        <pic:nvPicPr>
                          <pic:cNvPr id="642" name="rect_SpCnt_57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900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56" name="rect_SpCnt_576"/>
                  <wp:cNvGraphicFramePr/>
                  <a:graphic xmlns:a="http://schemas.openxmlformats.org/drawingml/2006/main">
                    <a:graphicData uri="http://schemas.openxmlformats.org/drawingml/2006/picture">
                      <pic:pic xmlns:pic="http://schemas.openxmlformats.org/drawingml/2006/picture">
                        <pic:nvPicPr>
                          <pic:cNvPr id="656" name="rect_SpCnt_57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787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45" name="rect_SpCnt_577"/>
                  <wp:cNvGraphicFramePr/>
                  <a:graphic xmlns:a="http://schemas.openxmlformats.org/drawingml/2006/main">
                    <a:graphicData uri="http://schemas.openxmlformats.org/drawingml/2006/picture">
                      <pic:pic xmlns:pic="http://schemas.openxmlformats.org/drawingml/2006/picture">
                        <pic:nvPicPr>
                          <pic:cNvPr id="645" name="rect_SpCnt_57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869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53" name="rect_SpCnt_578"/>
                  <wp:cNvGraphicFramePr/>
                  <a:graphic xmlns:a="http://schemas.openxmlformats.org/drawingml/2006/main">
                    <a:graphicData uri="http://schemas.openxmlformats.org/drawingml/2006/picture">
                      <pic:pic xmlns:pic="http://schemas.openxmlformats.org/drawingml/2006/picture">
                        <pic:nvPicPr>
                          <pic:cNvPr id="653" name="rect_SpCnt_57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890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55" name="rect_SpCnt_579"/>
                  <wp:cNvGraphicFramePr/>
                  <a:graphic xmlns:a="http://schemas.openxmlformats.org/drawingml/2006/main">
                    <a:graphicData uri="http://schemas.openxmlformats.org/drawingml/2006/picture">
                      <pic:pic xmlns:pic="http://schemas.openxmlformats.org/drawingml/2006/picture">
                        <pic:nvPicPr>
                          <pic:cNvPr id="655" name="rect_SpCnt_57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746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41" name="rect_SpCnt_580"/>
                  <wp:cNvGraphicFramePr/>
                  <a:graphic xmlns:a="http://schemas.openxmlformats.org/drawingml/2006/main">
                    <a:graphicData uri="http://schemas.openxmlformats.org/drawingml/2006/picture">
                      <pic:pic xmlns:pic="http://schemas.openxmlformats.org/drawingml/2006/picture">
                        <pic:nvPicPr>
                          <pic:cNvPr id="641" name="rect_SpCnt_58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972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63" name="rect_SpCnt_581"/>
                  <wp:cNvGraphicFramePr/>
                  <a:graphic xmlns:a="http://schemas.openxmlformats.org/drawingml/2006/main">
                    <a:graphicData uri="http://schemas.openxmlformats.org/drawingml/2006/picture">
                      <pic:pic xmlns:pic="http://schemas.openxmlformats.org/drawingml/2006/picture">
                        <pic:nvPicPr>
                          <pic:cNvPr id="663" name="rect_SpCnt_58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767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43" name="rect_SpCnt_582"/>
                  <wp:cNvGraphicFramePr/>
                  <a:graphic xmlns:a="http://schemas.openxmlformats.org/drawingml/2006/main">
                    <a:graphicData uri="http://schemas.openxmlformats.org/drawingml/2006/picture">
                      <pic:pic xmlns:pic="http://schemas.openxmlformats.org/drawingml/2006/picture">
                        <pic:nvPicPr>
                          <pic:cNvPr id="643" name="rect_SpCnt_58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798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46" name="rect_SpCnt_583"/>
                  <wp:cNvGraphicFramePr/>
                  <a:graphic xmlns:a="http://schemas.openxmlformats.org/drawingml/2006/main">
                    <a:graphicData uri="http://schemas.openxmlformats.org/drawingml/2006/picture">
                      <pic:pic xmlns:pic="http://schemas.openxmlformats.org/drawingml/2006/picture">
                        <pic:nvPicPr>
                          <pic:cNvPr id="646" name="rect_SpCnt_58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910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57" name="rect_SpCnt_584"/>
                  <wp:cNvGraphicFramePr/>
                  <a:graphic xmlns:a="http://schemas.openxmlformats.org/drawingml/2006/main">
                    <a:graphicData uri="http://schemas.openxmlformats.org/drawingml/2006/picture">
                      <pic:pic xmlns:pic="http://schemas.openxmlformats.org/drawingml/2006/picture">
                        <pic:nvPicPr>
                          <pic:cNvPr id="657" name="rect_SpCnt_58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777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44" name="rect_SpCnt_585"/>
                  <wp:cNvGraphicFramePr/>
                  <a:graphic xmlns:a="http://schemas.openxmlformats.org/drawingml/2006/main">
                    <a:graphicData uri="http://schemas.openxmlformats.org/drawingml/2006/picture">
                      <pic:pic xmlns:pic="http://schemas.openxmlformats.org/drawingml/2006/picture">
                        <pic:nvPicPr>
                          <pic:cNvPr id="644" name="rect_SpCnt_58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941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60" name="rect_SpCnt_586"/>
                  <wp:cNvGraphicFramePr/>
                  <a:graphic xmlns:a="http://schemas.openxmlformats.org/drawingml/2006/main">
                    <a:graphicData uri="http://schemas.openxmlformats.org/drawingml/2006/picture">
                      <pic:pic xmlns:pic="http://schemas.openxmlformats.org/drawingml/2006/picture">
                        <pic:nvPicPr>
                          <pic:cNvPr id="660" name="rect_SpCnt_58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849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51" name="rect_SpCnt_587"/>
                  <wp:cNvGraphicFramePr/>
                  <a:graphic xmlns:a="http://schemas.openxmlformats.org/drawingml/2006/main">
                    <a:graphicData uri="http://schemas.openxmlformats.org/drawingml/2006/picture">
                      <pic:pic xmlns:pic="http://schemas.openxmlformats.org/drawingml/2006/picture">
                        <pic:nvPicPr>
                          <pic:cNvPr id="651" name="rect_SpCnt_58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808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47" name="rect_SpCnt_588"/>
                  <wp:cNvGraphicFramePr/>
                  <a:graphic xmlns:a="http://schemas.openxmlformats.org/drawingml/2006/main">
                    <a:graphicData uri="http://schemas.openxmlformats.org/drawingml/2006/picture">
                      <pic:pic xmlns:pic="http://schemas.openxmlformats.org/drawingml/2006/picture">
                        <pic:nvPicPr>
                          <pic:cNvPr id="647" name="rect_SpCnt_58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818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48" name="rect_SpCnt_589"/>
                  <wp:cNvGraphicFramePr/>
                  <a:graphic xmlns:a="http://schemas.openxmlformats.org/drawingml/2006/main">
                    <a:graphicData uri="http://schemas.openxmlformats.org/drawingml/2006/picture">
                      <pic:pic xmlns:pic="http://schemas.openxmlformats.org/drawingml/2006/picture">
                        <pic:nvPicPr>
                          <pic:cNvPr id="648" name="rect_SpCnt_58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982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64" name="rect_SpCnt_590"/>
                  <wp:cNvGraphicFramePr/>
                  <a:graphic xmlns:a="http://schemas.openxmlformats.org/drawingml/2006/main">
                    <a:graphicData uri="http://schemas.openxmlformats.org/drawingml/2006/picture">
                      <pic:pic xmlns:pic="http://schemas.openxmlformats.org/drawingml/2006/picture">
                        <pic:nvPicPr>
                          <pic:cNvPr id="664" name="rect_SpCnt_59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880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54" name="rect_SpCnt_591"/>
                  <wp:cNvGraphicFramePr/>
                  <a:graphic xmlns:a="http://schemas.openxmlformats.org/drawingml/2006/main">
                    <a:graphicData uri="http://schemas.openxmlformats.org/drawingml/2006/picture">
                      <pic:pic xmlns:pic="http://schemas.openxmlformats.org/drawingml/2006/picture">
                        <pic:nvPicPr>
                          <pic:cNvPr id="654" name="rect_SpCnt_59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961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62" name="rect_SpCnt_592"/>
                  <wp:cNvGraphicFramePr/>
                  <a:graphic xmlns:a="http://schemas.openxmlformats.org/drawingml/2006/main">
                    <a:graphicData uri="http://schemas.openxmlformats.org/drawingml/2006/picture">
                      <pic:pic xmlns:pic="http://schemas.openxmlformats.org/drawingml/2006/picture">
                        <pic:nvPicPr>
                          <pic:cNvPr id="662" name="rect_SpCnt_59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828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49" name="rect_SpCnt_593"/>
                  <wp:cNvGraphicFramePr/>
                  <a:graphic xmlns:a="http://schemas.openxmlformats.org/drawingml/2006/main">
                    <a:graphicData uri="http://schemas.openxmlformats.org/drawingml/2006/picture">
                      <pic:pic xmlns:pic="http://schemas.openxmlformats.org/drawingml/2006/picture">
                        <pic:nvPicPr>
                          <pic:cNvPr id="649" name="rect_SpCnt_59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920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58" name="rect_SpCnt_594"/>
                  <wp:cNvGraphicFramePr/>
                  <a:graphic xmlns:a="http://schemas.openxmlformats.org/drawingml/2006/main">
                    <a:graphicData uri="http://schemas.openxmlformats.org/drawingml/2006/picture">
                      <pic:pic xmlns:pic="http://schemas.openxmlformats.org/drawingml/2006/picture">
                        <pic:nvPicPr>
                          <pic:cNvPr id="658" name="rect_SpCnt_59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931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59" name="rect_SpCnt_595"/>
                  <wp:cNvGraphicFramePr/>
                  <a:graphic xmlns:a="http://schemas.openxmlformats.org/drawingml/2006/main">
                    <a:graphicData uri="http://schemas.openxmlformats.org/drawingml/2006/picture">
                      <pic:pic xmlns:pic="http://schemas.openxmlformats.org/drawingml/2006/picture">
                        <pic:nvPicPr>
                          <pic:cNvPr id="659" name="rect_SpCnt_59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951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61" name="rect_SpCnt_596"/>
                  <wp:cNvGraphicFramePr/>
                  <a:graphic xmlns:a="http://schemas.openxmlformats.org/drawingml/2006/main">
                    <a:graphicData uri="http://schemas.openxmlformats.org/drawingml/2006/picture">
                      <pic:pic xmlns:pic="http://schemas.openxmlformats.org/drawingml/2006/picture">
                        <pic:nvPicPr>
                          <pic:cNvPr id="661" name="rect_SpCnt_59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839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50" name="rect_SpCnt_597"/>
                  <wp:cNvGraphicFramePr/>
                  <a:graphic xmlns:a="http://schemas.openxmlformats.org/drawingml/2006/main">
                    <a:graphicData uri="http://schemas.openxmlformats.org/drawingml/2006/picture">
                      <pic:pic xmlns:pic="http://schemas.openxmlformats.org/drawingml/2006/picture">
                        <pic:nvPicPr>
                          <pic:cNvPr id="650" name="rect_SpCnt_59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726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39" name="rect_SpCnt_598"/>
                  <wp:cNvGraphicFramePr/>
                  <a:graphic xmlns:a="http://schemas.openxmlformats.org/drawingml/2006/main">
                    <a:graphicData uri="http://schemas.openxmlformats.org/drawingml/2006/picture">
                      <pic:pic xmlns:pic="http://schemas.openxmlformats.org/drawingml/2006/picture">
                        <pic:nvPicPr>
                          <pic:cNvPr id="639" name="rect_SpCnt_59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736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40" name="rect_SpCnt_599"/>
                  <wp:cNvGraphicFramePr/>
                  <a:graphic xmlns:a="http://schemas.openxmlformats.org/drawingml/2006/main">
                    <a:graphicData uri="http://schemas.openxmlformats.org/drawingml/2006/picture">
                      <pic:pic xmlns:pic="http://schemas.openxmlformats.org/drawingml/2006/picture">
                        <pic:nvPicPr>
                          <pic:cNvPr id="640" name="rect_SpCnt_59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859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52" name="rect_SpCnt_600"/>
                  <wp:cNvGraphicFramePr/>
                  <a:graphic xmlns:a="http://schemas.openxmlformats.org/drawingml/2006/main">
                    <a:graphicData uri="http://schemas.openxmlformats.org/drawingml/2006/picture">
                      <pic:pic xmlns:pic="http://schemas.openxmlformats.org/drawingml/2006/picture">
                        <pic:nvPicPr>
                          <pic:cNvPr id="652" name="rect_SpCnt_60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023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68" name="rect_SpCnt_601"/>
                  <wp:cNvGraphicFramePr/>
                  <a:graphic xmlns:a="http://schemas.openxmlformats.org/drawingml/2006/main">
                    <a:graphicData uri="http://schemas.openxmlformats.org/drawingml/2006/picture">
                      <pic:pic xmlns:pic="http://schemas.openxmlformats.org/drawingml/2006/picture">
                        <pic:nvPicPr>
                          <pic:cNvPr id="668" name="rect_SpCnt_60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992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65" name="rect_SpCnt_602"/>
                  <wp:cNvGraphicFramePr/>
                  <a:graphic xmlns:a="http://schemas.openxmlformats.org/drawingml/2006/main">
                    <a:graphicData uri="http://schemas.openxmlformats.org/drawingml/2006/picture">
                      <pic:pic xmlns:pic="http://schemas.openxmlformats.org/drawingml/2006/picture">
                        <pic:nvPicPr>
                          <pic:cNvPr id="665" name="rect_SpCnt_60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156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81" name="rect_SpCnt_603"/>
                  <wp:cNvGraphicFramePr/>
                  <a:graphic xmlns:a="http://schemas.openxmlformats.org/drawingml/2006/main">
                    <a:graphicData uri="http://schemas.openxmlformats.org/drawingml/2006/picture">
                      <pic:pic xmlns:pic="http://schemas.openxmlformats.org/drawingml/2006/picture">
                        <pic:nvPicPr>
                          <pic:cNvPr id="681" name="rect_SpCnt_60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217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87" name="rect_SpCnt_604"/>
                  <wp:cNvGraphicFramePr/>
                  <a:graphic xmlns:a="http://schemas.openxmlformats.org/drawingml/2006/main">
                    <a:graphicData uri="http://schemas.openxmlformats.org/drawingml/2006/picture">
                      <pic:pic xmlns:pic="http://schemas.openxmlformats.org/drawingml/2006/picture">
                        <pic:nvPicPr>
                          <pic:cNvPr id="687" name="rect_SpCnt_60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228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88" name="rect_SpCnt_605"/>
                  <wp:cNvGraphicFramePr/>
                  <a:graphic xmlns:a="http://schemas.openxmlformats.org/drawingml/2006/main">
                    <a:graphicData uri="http://schemas.openxmlformats.org/drawingml/2006/picture">
                      <pic:pic xmlns:pic="http://schemas.openxmlformats.org/drawingml/2006/picture">
                        <pic:nvPicPr>
                          <pic:cNvPr id="688" name="rect_SpCnt_60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166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82" name="rect_SpCnt_606"/>
                  <wp:cNvGraphicFramePr/>
                  <a:graphic xmlns:a="http://schemas.openxmlformats.org/drawingml/2006/main">
                    <a:graphicData uri="http://schemas.openxmlformats.org/drawingml/2006/picture">
                      <pic:pic xmlns:pic="http://schemas.openxmlformats.org/drawingml/2006/picture">
                        <pic:nvPicPr>
                          <pic:cNvPr id="682" name="rect_SpCnt_60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238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89" name="rect_SpCnt_607"/>
                  <wp:cNvGraphicFramePr/>
                  <a:graphic xmlns:a="http://schemas.openxmlformats.org/drawingml/2006/main">
                    <a:graphicData uri="http://schemas.openxmlformats.org/drawingml/2006/picture">
                      <pic:pic xmlns:pic="http://schemas.openxmlformats.org/drawingml/2006/picture">
                        <pic:nvPicPr>
                          <pic:cNvPr id="689" name="rect_SpCnt_60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105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76" name="rect_SpCnt_608"/>
                  <wp:cNvGraphicFramePr/>
                  <a:graphic xmlns:a="http://schemas.openxmlformats.org/drawingml/2006/main">
                    <a:graphicData uri="http://schemas.openxmlformats.org/drawingml/2006/picture">
                      <pic:pic xmlns:pic="http://schemas.openxmlformats.org/drawingml/2006/picture">
                        <pic:nvPicPr>
                          <pic:cNvPr id="676" name="rect_SpCnt_60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002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66" name="rect_SpCnt_609"/>
                  <wp:cNvGraphicFramePr/>
                  <a:graphic xmlns:a="http://schemas.openxmlformats.org/drawingml/2006/main">
                    <a:graphicData uri="http://schemas.openxmlformats.org/drawingml/2006/picture">
                      <pic:pic xmlns:pic="http://schemas.openxmlformats.org/drawingml/2006/picture">
                        <pic:nvPicPr>
                          <pic:cNvPr id="666" name="rect_SpCnt_60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033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69" name="rect_SpCnt_610"/>
                  <wp:cNvGraphicFramePr/>
                  <a:graphic xmlns:a="http://schemas.openxmlformats.org/drawingml/2006/main">
                    <a:graphicData uri="http://schemas.openxmlformats.org/drawingml/2006/picture">
                      <pic:pic xmlns:pic="http://schemas.openxmlformats.org/drawingml/2006/picture">
                        <pic:nvPicPr>
                          <pic:cNvPr id="669" name="rect_SpCnt_61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279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93" name="rect_SpCnt_611"/>
                  <wp:cNvGraphicFramePr/>
                  <a:graphic xmlns:a="http://schemas.openxmlformats.org/drawingml/2006/main">
                    <a:graphicData uri="http://schemas.openxmlformats.org/drawingml/2006/picture">
                      <pic:pic xmlns:pic="http://schemas.openxmlformats.org/drawingml/2006/picture">
                        <pic:nvPicPr>
                          <pic:cNvPr id="693" name="rect_SpCnt_61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187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84" name="rect_SpCnt_612"/>
                  <wp:cNvGraphicFramePr/>
                  <a:graphic xmlns:a="http://schemas.openxmlformats.org/drawingml/2006/main">
                    <a:graphicData uri="http://schemas.openxmlformats.org/drawingml/2006/picture">
                      <pic:pic xmlns:pic="http://schemas.openxmlformats.org/drawingml/2006/picture">
                        <pic:nvPicPr>
                          <pic:cNvPr id="684" name="rect_SpCnt_61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115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77" name="rect_SpCnt_613"/>
                  <wp:cNvGraphicFramePr/>
                  <a:graphic xmlns:a="http://schemas.openxmlformats.org/drawingml/2006/main">
                    <a:graphicData uri="http://schemas.openxmlformats.org/drawingml/2006/picture">
                      <pic:pic xmlns:pic="http://schemas.openxmlformats.org/drawingml/2006/picture">
                        <pic:nvPicPr>
                          <pic:cNvPr id="677" name="rect_SpCnt_61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095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75" name="rect_SpCnt_614"/>
                  <wp:cNvGraphicFramePr/>
                  <a:graphic xmlns:a="http://schemas.openxmlformats.org/drawingml/2006/main">
                    <a:graphicData uri="http://schemas.openxmlformats.org/drawingml/2006/picture">
                      <pic:pic xmlns:pic="http://schemas.openxmlformats.org/drawingml/2006/picture">
                        <pic:nvPicPr>
                          <pic:cNvPr id="675" name="rect_SpCnt_61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176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83" name="rect_SpCnt_615"/>
                  <wp:cNvGraphicFramePr/>
                  <a:graphic xmlns:a="http://schemas.openxmlformats.org/drawingml/2006/main">
                    <a:graphicData uri="http://schemas.openxmlformats.org/drawingml/2006/picture">
                      <pic:pic xmlns:pic="http://schemas.openxmlformats.org/drawingml/2006/picture">
                        <pic:nvPicPr>
                          <pic:cNvPr id="683" name="rect_SpCnt_61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013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67" name="rect_SpCnt_616"/>
                  <wp:cNvGraphicFramePr/>
                  <a:graphic xmlns:a="http://schemas.openxmlformats.org/drawingml/2006/main">
                    <a:graphicData uri="http://schemas.openxmlformats.org/drawingml/2006/picture">
                      <pic:pic xmlns:pic="http://schemas.openxmlformats.org/drawingml/2006/picture">
                        <pic:nvPicPr>
                          <pic:cNvPr id="667" name="rect_SpCnt_61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197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85" name="rect_SpCnt_617"/>
                  <wp:cNvGraphicFramePr/>
                  <a:graphic xmlns:a="http://schemas.openxmlformats.org/drawingml/2006/main">
                    <a:graphicData uri="http://schemas.openxmlformats.org/drawingml/2006/picture">
                      <pic:pic xmlns:pic="http://schemas.openxmlformats.org/drawingml/2006/picture">
                        <pic:nvPicPr>
                          <pic:cNvPr id="685" name="rect_SpCnt_61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207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86" name="rect_SpCnt_618"/>
                  <wp:cNvGraphicFramePr/>
                  <a:graphic xmlns:a="http://schemas.openxmlformats.org/drawingml/2006/main">
                    <a:graphicData uri="http://schemas.openxmlformats.org/drawingml/2006/picture">
                      <pic:pic xmlns:pic="http://schemas.openxmlformats.org/drawingml/2006/picture">
                        <pic:nvPicPr>
                          <pic:cNvPr id="686" name="rect_SpCnt_61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248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90" name="rect_SpCnt_619"/>
                  <wp:cNvGraphicFramePr/>
                  <a:graphic xmlns:a="http://schemas.openxmlformats.org/drawingml/2006/main">
                    <a:graphicData uri="http://schemas.openxmlformats.org/drawingml/2006/picture">
                      <pic:pic xmlns:pic="http://schemas.openxmlformats.org/drawingml/2006/picture">
                        <pic:nvPicPr>
                          <pic:cNvPr id="690" name="rect_SpCnt_619"/>
                          <pic:cNvPicPr/>
                        </pic:nvPicPr>
                        <pic:blipFill>
                          <a:blip r:embed="rId23"/>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258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91" name="rect_SpCnt_620"/>
                  <wp:cNvGraphicFramePr/>
                  <a:graphic xmlns:a="http://schemas.openxmlformats.org/drawingml/2006/main">
                    <a:graphicData uri="http://schemas.openxmlformats.org/drawingml/2006/picture">
                      <pic:pic xmlns:pic="http://schemas.openxmlformats.org/drawingml/2006/picture">
                        <pic:nvPicPr>
                          <pic:cNvPr id="691" name="rect_SpCnt_62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084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74" name="rect_SpCnt_621"/>
                  <wp:cNvGraphicFramePr/>
                  <a:graphic xmlns:a="http://schemas.openxmlformats.org/drawingml/2006/main">
                    <a:graphicData uri="http://schemas.openxmlformats.org/drawingml/2006/picture">
                      <pic:pic xmlns:pic="http://schemas.openxmlformats.org/drawingml/2006/picture">
                        <pic:nvPicPr>
                          <pic:cNvPr id="674" name="rect_SpCnt_62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043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70" name="rect_SpCnt_622"/>
                  <wp:cNvGraphicFramePr/>
                  <a:graphic xmlns:a="http://schemas.openxmlformats.org/drawingml/2006/main">
                    <a:graphicData uri="http://schemas.openxmlformats.org/drawingml/2006/picture">
                      <pic:pic xmlns:pic="http://schemas.openxmlformats.org/drawingml/2006/picture">
                        <pic:nvPicPr>
                          <pic:cNvPr id="670" name="rect_SpCnt_62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146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80" name="rect_SpCnt_623"/>
                  <wp:cNvGraphicFramePr/>
                  <a:graphic xmlns:a="http://schemas.openxmlformats.org/drawingml/2006/main">
                    <a:graphicData uri="http://schemas.openxmlformats.org/drawingml/2006/picture">
                      <pic:pic xmlns:pic="http://schemas.openxmlformats.org/drawingml/2006/picture">
                        <pic:nvPicPr>
                          <pic:cNvPr id="680" name="rect_SpCnt_62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269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92" name="rect_SpCnt_624"/>
                  <wp:cNvGraphicFramePr/>
                  <a:graphic xmlns:a="http://schemas.openxmlformats.org/drawingml/2006/main">
                    <a:graphicData uri="http://schemas.openxmlformats.org/drawingml/2006/picture">
                      <pic:pic xmlns:pic="http://schemas.openxmlformats.org/drawingml/2006/picture">
                        <pic:nvPicPr>
                          <pic:cNvPr id="692" name="rect_SpCnt_62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125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78" name="rect_SpCnt_625"/>
                  <wp:cNvGraphicFramePr/>
                  <a:graphic xmlns:a="http://schemas.openxmlformats.org/drawingml/2006/main">
                    <a:graphicData uri="http://schemas.openxmlformats.org/drawingml/2006/picture">
                      <pic:pic xmlns:pic="http://schemas.openxmlformats.org/drawingml/2006/picture">
                        <pic:nvPicPr>
                          <pic:cNvPr id="678" name="rect_SpCnt_62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054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71" name="rect_SpCnt_626"/>
                  <wp:cNvGraphicFramePr/>
                  <a:graphic xmlns:a="http://schemas.openxmlformats.org/drawingml/2006/main">
                    <a:graphicData uri="http://schemas.openxmlformats.org/drawingml/2006/picture">
                      <pic:pic xmlns:pic="http://schemas.openxmlformats.org/drawingml/2006/picture">
                        <pic:nvPicPr>
                          <pic:cNvPr id="671" name="rect_SpCnt_62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064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72" name="rect_SpCnt_627"/>
                  <wp:cNvGraphicFramePr/>
                  <a:graphic xmlns:a="http://schemas.openxmlformats.org/drawingml/2006/main">
                    <a:graphicData uri="http://schemas.openxmlformats.org/drawingml/2006/picture">
                      <pic:pic xmlns:pic="http://schemas.openxmlformats.org/drawingml/2006/picture">
                        <pic:nvPicPr>
                          <pic:cNvPr id="672" name="rect_SpCnt_62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074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73" name="rect_SpCnt_628"/>
                  <wp:cNvGraphicFramePr/>
                  <a:graphic xmlns:a="http://schemas.openxmlformats.org/drawingml/2006/main">
                    <a:graphicData uri="http://schemas.openxmlformats.org/drawingml/2006/picture">
                      <pic:pic xmlns:pic="http://schemas.openxmlformats.org/drawingml/2006/picture">
                        <pic:nvPicPr>
                          <pic:cNvPr id="673" name="rect_SpCnt_62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136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79" name="rect_SpCnt_629"/>
                  <wp:cNvGraphicFramePr/>
                  <a:graphic xmlns:a="http://schemas.openxmlformats.org/drawingml/2006/main">
                    <a:graphicData uri="http://schemas.openxmlformats.org/drawingml/2006/picture">
                      <pic:pic xmlns:pic="http://schemas.openxmlformats.org/drawingml/2006/picture">
                        <pic:nvPicPr>
                          <pic:cNvPr id="679" name="rect_SpCnt_62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596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724" name="rect_SpCnt_630"/>
                  <wp:cNvGraphicFramePr/>
                  <a:graphic xmlns:a="http://schemas.openxmlformats.org/drawingml/2006/main">
                    <a:graphicData uri="http://schemas.openxmlformats.org/drawingml/2006/picture">
                      <pic:pic xmlns:pic="http://schemas.openxmlformats.org/drawingml/2006/picture">
                        <pic:nvPicPr>
                          <pic:cNvPr id="724" name="rect_SpCnt_63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494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714" name="rect_SpCnt_631"/>
                  <wp:cNvGraphicFramePr/>
                  <a:graphic xmlns:a="http://schemas.openxmlformats.org/drawingml/2006/main">
                    <a:graphicData uri="http://schemas.openxmlformats.org/drawingml/2006/picture">
                      <pic:pic xmlns:pic="http://schemas.openxmlformats.org/drawingml/2006/picture">
                        <pic:nvPicPr>
                          <pic:cNvPr id="714" name="rect_SpCnt_63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289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94" name="rect_SpCnt_632"/>
                  <wp:cNvGraphicFramePr/>
                  <a:graphic xmlns:a="http://schemas.openxmlformats.org/drawingml/2006/main">
                    <a:graphicData uri="http://schemas.openxmlformats.org/drawingml/2006/picture">
                      <pic:pic xmlns:pic="http://schemas.openxmlformats.org/drawingml/2006/picture">
                        <pic:nvPicPr>
                          <pic:cNvPr id="694" name="rect_SpCnt_63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299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695" name="rect_SpCnt_633"/>
                  <wp:cNvGraphicFramePr/>
                  <a:graphic xmlns:a="http://schemas.openxmlformats.org/drawingml/2006/main">
                    <a:graphicData uri="http://schemas.openxmlformats.org/drawingml/2006/picture">
                      <pic:pic xmlns:pic="http://schemas.openxmlformats.org/drawingml/2006/picture">
                        <pic:nvPicPr>
                          <pic:cNvPr id="695" name="rect_SpCnt_63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320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697" name="rect_SpCnt_634"/>
                  <wp:cNvGraphicFramePr/>
                  <a:graphic xmlns:a="http://schemas.openxmlformats.org/drawingml/2006/main">
                    <a:graphicData uri="http://schemas.openxmlformats.org/drawingml/2006/picture">
                      <pic:pic xmlns:pic="http://schemas.openxmlformats.org/drawingml/2006/picture">
                        <pic:nvPicPr>
                          <pic:cNvPr id="697" name="rect_SpCnt_63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535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18" name="rect_SpCnt_635"/>
                  <wp:cNvGraphicFramePr/>
                  <a:graphic xmlns:a="http://schemas.openxmlformats.org/drawingml/2006/main">
                    <a:graphicData uri="http://schemas.openxmlformats.org/drawingml/2006/picture">
                      <pic:pic xmlns:pic="http://schemas.openxmlformats.org/drawingml/2006/picture">
                        <pic:nvPicPr>
                          <pic:cNvPr id="718" name="rect_SpCnt_63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463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11" name="rect_SpCnt_636"/>
                  <wp:cNvGraphicFramePr/>
                  <a:graphic xmlns:a="http://schemas.openxmlformats.org/drawingml/2006/main">
                    <a:graphicData uri="http://schemas.openxmlformats.org/drawingml/2006/picture">
                      <pic:pic xmlns:pic="http://schemas.openxmlformats.org/drawingml/2006/picture">
                        <pic:nvPicPr>
                          <pic:cNvPr id="711" name="rect_SpCnt_63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545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719" name="rect_SpCnt_637"/>
                  <wp:cNvGraphicFramePr/>
                  <a:graphic xmlns:a="http://schemas.openxmlformats.org/drawingml/2006/main">
                    <a:graphicData uri="http://schemas.openxmlformats.org/drawingml/2006/picture">
                      <pic:pic xmlns:pic="http://schemas.openxmlformats.org/drawingml/2006/picture">
                        <pic:nvPicPr>
                          <pic:cNvPr id="719" name="rect_SpCnt_63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555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20" name="rect_SpCnt_638"/>
                  <wp:cNvGraphicFramePr/>
                  <a:graphic xmlns:a="http://schemas.openxmlformats.org/drawingml/2006/main">
                    <a:graphicData uri="http://schemas.openxmlformats.org/drawingml/2006/picture">
                      <pic:pic xmlns:pic="http://schemas.openxmlformats.org/drawingml/2006/picture">
                        <pic:nvPicPr>
                          <pic:cNvPr id="720" name="rect_SpCnt_63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473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12" name="rect_SpCnt_639"/>
                  <wp:cNvGraphicFramePr/>
                  <a:graphic xmlns:a="http://schemas.openxmlformats.org/drawingml/2006/main">
                    <a:graphicData uri="http://schemas.openxmlformats.org/drawingml/2006/picture">
                      <pic:pic xmlns:pic="http://schemas.openxmlformats.org/drawingml/2006/picture">
                        <pic:nvPicPr>
                          <pic:cNvPr id="712" name="rect_SpCnt_63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566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21" name="rect_SpCnt_640"/>
                  <wp:cNvGraphicFramePr/>
                  <a:graphic xmlns:a="http://schemas.openxmlformats.org/drawingml/2006/main">
                    <a:graphicData uri="http://schemas.openxmlformats.org/drawingml/2006/picture">
                      <pic:pic xmlns:pic="http://schemas.openxmlformats.org/drawingml/2006/picture">
                        <pic:nvPicPr>
                          <pic:cNvPr id="721" name="rect_SpCnt_64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443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709" name="rect_SpCnt_641"/>
                  <wp:cNvGraphicFramePr/>
                  <a:graphic xmlns:a="http://schemas.openxmlformats.org/drawingml/2006/main">
                    <a:graphicData uri="http://schemas.openxmlformats.org/drawingml/2006/picture">
                      <pic:pic xmlns:pic="http://schemas.openxmlformats.org/drawingml/2006/picture">
                        <pic:nvPicPr>
                          <pic:cNvPr id="709" name="rect_SpCnt_64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576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22" name="rect_SpCnt_642"/>
                  <wp:cNvGraphicFramePr/>
                  <a:graphic xmlns:a="http://schemas.openxmlformats.org/drawingml/2006/main">
                    <a:graphicData uri="http://schemas.openxmlformats.org/drawingml/2006/picture">
                      <pic:pic xmlns:pic="http://schemas.openxmlformats.org/drawingml/2006/picture">
                        <pic:nvPicPr>
                          <pic:cNvPr id="722" name="rect_SpCnt_64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432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08" name="rect_SpCnt_643"/>
                  <wp:cNvGraphicFramePr/>
                  <a:graphic xmlns:a="http://schemas.openxmlformats.org/drawingml/2006/main">
                    <a:graphicData uri="http://schemas.openxmlformats.org/drawingml/2006/picture">
                      <pic:pic xmlns:pic="http://schemas.openxmlformats.org/drawingml/2006/picture">
                        <pic:nvPicPr>
                          <pic:cNvPr id="708" name="rect_SpCnt_64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310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696" name="rect_SpCnt_644"/>
                  <wp:cNvGraphicFramePr/>
                  <a:graphic xmlns:a="http://schemas.openxmlformats.org/drawingml/2006/main">
                    <a:graphicData uri="http://schemas.openxmlformats.org/drawingml/2006/picture">
                      <pic:pic xmlns:pic="http://schemas.openxmlformats.org/drawingml/2006/picture">
                        <pic:nvPicPr>
                          <pic:cNvPr id="696" name="rect_SpCnt_64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586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23" name="rect_SpCnt_645"/>
                  <wp:cNvGraphicFramePr/>
                  <a:graphic xmlns:a="http://schemas.openxmlformats.org/drawingml/2006/main">
                    <a:graphicData uri="http://schemas.openxmlformats.org/drawingml/2006/picture">
                      <pic:pic xmlns:pic="http://schemas.openxmlformats.org/drawingml/2006/picture">
                        <pic:nvPicPr>
                          <pic:cNvPr id="723" name="rect_SpCnt_64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607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25" name="rect_SpCnt_646"/>
                  <wp:cNvGraphicFramePr/>
                  <a:graphic xmlns:a="http://schemas.openxmlformats.org/drawingml/2006/main">
                    <a:graphicData uri="http://schemas.openxmlformats.org/drawingml/2006/picture">
                      <pic:pic xmlns:pic="http://schemas.openxmlformats.org/drawingml/2006/picture">
                        <pic:nvPicPr>
                          <pic:cNvPr id="725" name="rect_SpCnt_64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392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704" name="rect_SpCnt_647"/>
                  <wp:cNvGraphicFramePr/>
                  <a:graphic xmlns:a="http://schemas.openxmlformats.org/drawingml/2006/main">
                    <a:graphicData uri="http://schemas.openxmlformats.org/drawingml/2006/picture">
                      <pic:pic xmlns:pic="http://schemas.openxmlformats.org/drawingml/2006/picture">
                        <pic:nvPicPr>
                          <pic:cNvPr id="704" name="rect_SpCnt_64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484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13" name="rect_SpCnt_648"/>
                  <wp:cNvGraphicFramePr/>
                  <a:graphic xmlns:a="http://schemas.openxmlformats.org/drawingml/2006/main">
                    <a:graphicData uri="http://schemas.openxmlformats.org/drawingml/2006/picture">
                      <pic:pic xmlns:pic="http://schemas.openxmlformats.org/drawingml/2006/picture">
                        <pic:nvPicPr>
                          <pic:cNvPr id="713" name="rect_SpCnt_64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330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698" name="rect_SpCnt_649"/>
                  <wp:cNvGraphicFramePr/>
                  <a:graphic xmlns:a="http://schemas.openxmlformats.org/drawingml/2006/main">
                    <a:graphicData uri="http://schemas.openxmlformats.org/drawingml/2006/picture">
                      <pic:pic xmlns:pic="http://schemas.openxmlformats.org/drawingml/2006/picture">
                        <pic:nvPicPr>
                          <pic:cNvPr id="698" name="rect_SpCnt_64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453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10" name="rect_SpCnt_650"/>
                  <wp:cNvGraphicFramePr/>
                  <a:graphic xmlns:a="http://schemas.openxmlformats.org/drawingml/2006/main">
                    <a:graphicData uri="http://schemas.openxmlformats.org/drawingml/2006/picture">
                      <pic:pic xmlns:pic="http://schemas.openxmlformats.org/drawingml/2006/picture">
                        <pic:nvPicPr>
                          <pic:cNvPr id="710" name="rect_SpCnt_65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422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07" name="rect_SpCnt_651"/>
                  <wp:cNvGraphicFramePr/>
                  <a:graphic xmlns:a="http://schemas.openxmlformats.org/drawingml/2006/main">
                    <a:graphicData uri="http://schemas.openxmlformats.org/drawingml/2006/picture">
                      <pic:pic xmlns:pic="http://schemas.openxmlformats.org/drawingml/2006/picture">
                        <pic:nvPicPr>
                          <pic:cNvPr id="707" name="rect_SpCnt_65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340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699" name="rect_SpCnt_652"/>
                  <wp:cNvGraphicFramePr/>
                  <a:graphic xmlns:a="http://schemas.openxmlformats.org/drawingml/2006/main">
                    <a:graphicData uri="http://schemas.openxmlformats.org/drawingml/2006/picture">
                      <pic:pic xmlns:pic="http://schemas.openxmlformats.org/drawingml/2006/picture">
                        <pic:nvPicPr>
                          <pic:cNvPr id="699" name="rect_SpCnt_65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351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00" name="rect_SpCnt_653"/>
                  <wp:cNvGraphicFramePr/>
                  <a:graphic xmlns:a="http://schemas.openxmlformats.org/drawingml/2006/main">
                    <a:graphicData uri="http://schemas.openxmlformats.org/drawingml/2006/picture">
                      <pic:pic xmlns:pic="http://schemas.openxmlformats.org/drawingml/2006/picture">
                        <pic:nvPicPr>
                          <pic:cNvPr id="700" name="rect_SpCnt_65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361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01" name="rect_SpCnt_654"/>
                  <wp:cNvGraphicFramePr/>
                  <a:graphic xmlns:a="http://schemas.openxmlformats.org/drawingml/2006/main">
                    <a:graphicData uri="http://schemas.openxmlformats.org/drawingml/2006/picture">
                      <pic:pic xmlns:pic="http://schemas.openxmlformats.org/drawingml/2006/picture">
                        <pic:nvPicPr>
                          <pic:cNvPr id="701" name="rect_SpCnt_65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371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02" name="rect_SpCnt_655"/>
                  <wp:cNvGraphicFramePr/>
                  <a:graphic xmlns:a="http://schemas.openxmlformats.org/drawingml/2006/main">
                    <a:graphicData uri="http://schemas.openxmlformats.org/drawingml/2006/picture">
                      <pic:pic xmlns:pic="http://schemas.openxmlformats.org/drawingml/2006/picture">
                        <pic:nvPicPr>
                          <pic:cNvPr id="702" name="rect_SpCnt_65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402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05" name="rect_SpCnt_656"/>
                  <wp:cNvGraphicFramePr/>
                  <a:graphic xmlns:a="http://schemas.openxmlformats.org/drawingml/2006/main">
                    <a:graphicData uri="http://schemas.openxmlformats.org/drawingml/2006/picture">
                      <pic:pic xmlns:pic="http://schemas.openxmlformats.org/drawingml/2006/picture">
                        <pic:nvPicPr>
                          <pic:cNvPr id="705" name="rect_SpCnt_65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381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03" name="rect_SpCnt_657"/>
                  <wp:cNvGraphicFramePr/>
                  <a:graphic xmlns:a="http://schemas.openxmlformats.org/drawingml/2006/main">
                    <a:graphicData uri="http://schemas.openxmlformats.org/drawingml/2006/picture">
                      <pic:pic xmlns:pic="http://schemas.openxmlformats.org/drawingml/2006/picture">
                        <pic:nvPicPr>
                          <pic:cNvPr id="703" name="rect_SpCnt_65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504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15" name="rect_SpCnt_658"/>
                  <wp:cNvGraphicFramePr/>
                  <a:graphic xmlns:a="http://schemas.openxmlformats.org/drawingml/2006/main">
                    <a:graphicData uri="http://schemas.openxmlformats.org/drawingml/2006/picture">
                      <pic:pic xmlns:pic="http://schemas.openxmlformats.org/drawingml/2006/picture">
                        <pic:nvPicPr>
                          <pic:cNvPr id="715" name="rect_SpCnt_65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412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06" name="rect_SpCnt_659"/>
                  <wp:cNvGraphicFramePr/>
                  <a:graphic xmlns:a="http://schemas.openxmlformats.org/drawingml/2006/main">
                    <a:graphicData uri="http://schemas.openxmlformats.org/drawingml/2006/picture">
                      <pic:pic xmlns:pic="http://schemas.openxmlformats.org/drawingml/2006/picture">
                        <pic:nvPicPr>
                          <pic:cNvPr id="706" name="rect_SpCnt_65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514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16" name="rect_SpCnt_660"/>
                  <wp:cNvGraphicFramePr/>
                  <a:graphic xmlns:a="http://schemas.openxmlformats.org/drawingml/2006/main">
                    <a:graphicData uri="http://schemas.openxmlformats.org/drawingml/2006/picture">
                      <pic:pic xmlns:pic="http://schemas.openxmlformats.org/drawingml/2006/picture">
                        <pic:nvPicPr>
                          <pic:cNvPr id="716" name="rect_SpCnt_66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525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17" name="rect_SpCnt_661"/>
                  <wp:cNvGraphicFramePr/>
                  <a:graphic xmlns:a="http://schemas.openxmlformats.org/drawingml/2006/main">
                    <a:graphicData uri="http://schemas.openxmlformats.org/drawingml/2006/picture">
                      <pic:pic xmlns:pic="http://schemas.openxmlformats.org/drawingml/2006/picture">
                        <pic:nvPicPr>
                          <pic:cNvPr id="717" name="rect_SpCnt_66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832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47" name="rect_SpCnt_662"/>
                  <wp:cNvGraphicFramePr/>
                  <a:graphic xmlns:a="http://schemas.openxmlformats.org/drawingml/2006/main">
                    <a:graphicData uri="http://schemas.openxmlformats.org/drawingml/2006/picture">
                      <pic:pic xmlns:pic="http://schemas.openxmlformats.org/drawingml/2006/picture">
                        <pic:nvPicPr>
                          <pic:cNvPr id="747" name="rect_SpCnt_662"/>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7606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40" name="rect_SpCnt_663"/>
                  <wp:cNvGraphicFramePr/>
                  <a:graphic xmlns:a="http://schemas.openxmlformats.org/drawingml/2006/main">
                    <a:graphicData uri="http://schemas.openxmlformats.org/drawingml/2006/picture">
                      <pic:pic xmlns:pic="http://schemas.openxmlformats.org/drawingml/2006/picture">
                        <pic:nvPicPr>
                          <pic:cNvPr id="740" name="rect_SpCnt_663"/>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7708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41" name="rect_SpCnt_664"/>
                  <wp:cNvGraphicFramePr/>
                  <a:graphic xmlns:a="http://schemas.openxmlformats.org/drawingml/2006/main">
                    <a:graphicData uri="http://schemas.openxmlformats.org/drawingml/2006/picture">
                      <pic:pic xmlns:pic="http://schemas.openxmlformats.org/drawingml/2006/picture">
                        <pic:nvPicPr>
                          <pic:cNvPr id="741" name="rect_SpCnt_66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7299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7" name="rect_SpCnt_665"/>
                  <wp:cNvGraphicFramePr/>
                  <a:graphic xmlns:a="http://schemas.openxmlformats.org/drawingml/2006/main">
                    <a:graphicData uri="http://schemas.openxmlformats.org/drawingml/2006/picture">
                      <pic:pic xmlns:pic="http://schemas.openxmlformats.org/drawingml/2006/picture">
                        <pic:nvPicPr>
                          <pic:cNvPr id="737" name="rect_SpCnt_665"/>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842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48" name="rect_SpCnt_666"/>
                  <wp:cNvGraphicFramePr/>
                  <a:graphic xmlns:a="http://schemas.openxmlformats.org/drawingml/2006/main">
                    <a:graphicData uri="http://schemas.openxmlformats.org/drawingml/2006/picture">
                      <pic:pic xmlns:pic="http://schemas.openxmlformats.org/drawingml/2006/picture">
                        <pic:nvPicPr>
                          <pic:cNvPr id="748" name="rect_SpCnt_666"/>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617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26" name="rect_SpCnt_667"/>
                  <wp:cNvGraphicFramePr/>
                  <a:graphic xmlns:a="http://schemas.openxmlformats.org/drawingml/2006/main">
                    <a:graphicData uri="http://schemas.openxmlformats.org/drawingml/2006/picture">
                      <pic:pic xmlns:pic="http://schemas.openxmlformats.org/drawingml/2006/picture">
                        <pic:nvPicPr>
                          <pic:cNvPr id="726" name="rect_SpCnt_667"/>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6684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1" name="rect_SpCnt_668"/>
                  <wp:cNvGraphicFramePr/>
                  <a:graphic xmlns:a="http://schemas.openxmlformats.org/drawingml/2006/main">
                    <a:graphicData uri="http://schemas.openxmlformats.org/drawingml/2006/picture">
                      <pic:pic xmlns:pic="http://schemas.openxmlformats.org/drawingml/2006/picture">
                        <pic:nvPicPr>
                          <pic:cNvPr id="731" name="rect_SpCnt_66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811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45" name="rect_SpCnt_669"/>
                  <wp:cNvGraphicFramePr/>
                  <a:graphic xmlns:a="http://schemas.openxmlformats.org/drawingml/2006/main">
                    <a:graphicData uri="http://schemas.openxmlformats.org/drawingml/2006/picture">
                      <pic:pic xmlns:pic="http://schemas.openxmlformats.org/drawingml/2006/picture">
                        <pic:nvPicPr>
                          <pic:cNvPr id="745" name="rect_SpCnt_66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75040"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9" name="rect_SpCnt_670"/>
                  <wp:cNvGraphicFramePr/>
                  <a:graphic xmlns:a="http://schemas.openxmlformats.org/drawingml/2006/main">
                    <a:graphicData uri="http://schemas.openxmlformats.org/drawingml/2006/picture">
                      <pic:pic xmlns:pic="http://schemas.openxmlformats.org/drawingml/2006/picture">
                        <pic:nvPicPr>
                          <pic:cNvPr id="739" name="rect_SpCnt_67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6582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0" name="rect_SpCnt_671"/>
                  <wp:cNvGraphicFramePr/>
                  <a:graphic xmlns:a="http://schemas.openxmlformats.org/drawingml/2006/main">
                    <a:graphicData uri="http://schemas.openxmlformats.org/drawingml/2006/picture">
                      <pic:pic xmlns:pic="http://schemas.openxmlformats.org/drawingml/2006/picture">
                        <pic:nvPicPr>
                          <pic:cNvPr id="730" name="rect_SpCnt_671"/>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70944"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5" name="rect_SpCnt_672"/>
                  <wp:cNvGraphicFramePr/>
                  <a:graphic xmlns:a="http://schemas.openxmlformats.org/drawingml/2006/main">
                    <a:graphicData uri="http://schemas.openxmlformats.org/drawingml/2006/picture">
                      <pic:pic xmlns:pic="http://schemas.openxmlformats.org/drawingml/2006/picture">
                        <pic:nvPicPr>
                          <pic:cNvPr id="735" name="rect_SpCnt_672"/>
                          <pic:cNvPicPr/>
                        </pic:nvPicPr>
                        <pic:blipFill>
                          <a:blip r:embed="rId24"/>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7401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8" name="rect_SpCnt_673"/>
                  <wp:cNvGraphicFramePr/>
                  <a:graphic xmlns:a="http://schemas.openxmlformats.org/drawingml/2006/main">
                    <a:graphicData uri="http://schemas.openxmlformats.org/drawingml/2006/picture">
                      <pic:pic xmlns:pic="http://schemas.openxmlformats.org/drawingml/2006/picture">
                        <pic:nvPicPr>
                          <pic:cNvPr id="738" name="rect_SpCnt_673"/>
                          <pic:cNvPicPr/>
                        </pic:nvPicPr>
                        <pic:blipFill>
                          <a:blip r:embed="rId2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781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42" name="rect_SpCnt_674"/>
                  <wp:cNvGraphicFramePr/>
                  <a:graphic xmlns:a="http://schemas.openxmlformats.org/drawingml/2006/main">
                    <a:graphicData uri="http://schemas.openxmlformats.org/drawingml/2006/picture">
                      <pic:pic xmlns:pic="http://schemas.openxmlformats.org/drawingml/2006/picture">
                        <pic:nvPicPr>
                          <pic:cNvPr id="742" name="rect_SpCnt_674"/>
                          <pic:cNvPicPr/>
                        </pic:nvPicPr>
                        <pic:blipFill>
                          <a:blip r:embed="rId26"/>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822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46" name="rect_SpCnt_675"/>
                  <wp:cNvGraphicFramePr/>
                  <a:graphic xmlns:a="http://schemas.openxmlformats.org/drawingml/2006/main">
                    <a:graphicData uri="http://schemas.openxmlformats.org/drawingml/2006/picture">
                      <pic:pic xmlns:pic="http://schemas.openxmlformats.org/drawingml/2006/picture">
                        <pic:nvPicPr>
                          <pic:cNvPr id="746" name="rect_SpCnt_675"/>
                          <pic:cNvPicPr/>
                        </pic:nvPicPr>
                        <pic:blipFill>
                          <a:blip r:embed="rId27"/>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801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744" name="rect_SpCnt_676"/>
                  <wp:cNvGraphicFramePr/>
                  <a:graphic xmlns:a="http://schemas.openxmlformats.org/drawingml/2006/main">
                    <a:graphicData uri="http://schemas.openxmlformats.org/drawingml/2006/picture">
                      <pic:pic xmlns:pic="http://schemas.openxmlformats.org/drawingml/2006/picture">
                        <pic:nvPicPr>
                          <pic:cNvPr id="744" name="rect_SpCnt_676"/>
                          <pic:cNvPicPr/>
                        </pic:nvPicPr>
                        <pic:blipFill>
                          <a:blip r:embed="rId28"/>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627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27" name="rect_SpCnt_677"/>
                  <wp:cNvGraphicFramePr/>
                  <a:graphic xmlns:a="http://schemas.openxmlformats.org/drawingml/2006/main">
                    <a:graphicData uri="http://schemas.openxmlformats.org/drawingml/2006/picture">
                      <pic:pic xmlns:pic="http://schemas.openxmlformats.org/drawingml/2006/picture">
                        <pic:nvPicPr>
                          <pic:cNvPr id="727" name="rect_SpCnt_677"/>
                          <pic:cNvPicPr/>
                        </pic:nvPicPr>
                        <pic:blipFill>
                          <a:blip r:embed="rId29"/>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791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43" name="rect_SpCnt_678"/>
                  <wp:cNvGraphicFramePr/>
                  <a:graphic xmlns:a="http://schemas.openxmlformats.org/drawingml/2006/main">
                    <a:graphicData uri="http://schemas.openxmlformats.org/drawingml/2006/picture">
                      <pic:pic xmlns:pic="http://schemas.openxmlformats.org/drawingml/2006/picture">
                        <pic:nvPicPr>
                          <pic:cNvPr id="743" name="rect_SpCnt_678"/>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67872"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2" name="rect_SpCnt_679"/>
                  <wp:cNvGraphicFramePr/>
                  <a:graphic xmlns:a="http://schemas.openxmlformats.org/drawingml/2006/main">
                    <a:graphicData uri="http://schemas.openxmlformats.org/drawingml/2006/picture">
                      <pic:pic xmlns:pic="http://schemas.openxmlformats.org/drawingml/2006/picture">
                        <pic:nvPicPr>
                          <pic:cNvPr id="732" name="rect_SpCnt_67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637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28" name="rect_SpCnt_680"/>
                  <wp:cNvGraphicFramePr/>
                  <a:graphic xmlns:a="http://schemas.openxmlformats.org/drawingml/2006/main">
                    <a:graphicData uri="http://schemas.openxmlformats.org/drawingml/2006/picture">
                      <pic:pic xmlns:pic="http://schemas.openxmlformats.org/drawingml/2006/picture">
                        <pic:nvPicPr>
                          <pic:cNvPr id="728" name="rect_SpCnt_68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68896"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3" name="rect_SpCnt_681"/>
                  <wp:cNvGraphicFramePr/>
                  <a:graphic xmlns:a="http://schemas.openxmlformats.org/drawingml/2006/main">
                    <a:graphicData uri="http://schemas.openxmlformats.org/drawingml/2006/picture">
                      <pic:pic xmlns:pic="http://schemas.openxmlformats.org/drawingml/2006/picture">
                        <pic:nvPicPr>
                          <pic:cNvPr id="733" name="rect_SpCnt_681"/>
                          <pic:cNvPicPr/>
                        </pic:nvPicPr>
                        <pic:blipFill>
                          <a:blip r:embed="rId30"/>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64800" behindDoc="0" locked="0" layoutInCell="1" allowOverlap="1">
                  <wp:simplePos x="0" y="0"/>
                  <wp:positionH relativeFrom="column">
                    <wp:posOffset>0</wp:posOffset>
                  </wp:positionH>
                  <wp:positionV relativeFrom="paragraph">
                    <wp:posOffset>0</wp:posOffset>
                  </wp:positionV>
                  <wp:extent cx="302895" cy="291465"/>
                  <wp:effectExtent l="0" t="0" r="0" b="0"/>
                  <wp:wrapNone/>
                  <wp:docPr id="729" name="rect_SpCnt_682"/>
                  <wp:cNvGraphicFramePr/>
                  <a:graphic xmlns:a="http://schemas.openxmlformats.org/drawingml/2006/main">
                    <a:graphicData uri="http://schemas.openxmlformats.org/drawingml/2006/picture">
                      <pic:pic xmlns:pic="http://schemas.openxmlformats.org/drawingml/2006/picture">
                        <pic:nvPicPr>
                          <pic:cNvPr id="729" name="rect_SpCnt_682"/>
                          <pic:cNvPicPr/>
                        </pic:nvPicPr>
                        <pic:blipFill>
                          <a:blip r:embed="rId31"/>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69920"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4" name="rect_SpCnt_683"/>
                  <wp:cNvGraphicFramePr/>
                  <a:graphic xmlns:a="http://schemas.openxmlformats.org/drawingml/2006/main">
                    <a:graphicData uri="http://schemas.openxmlformats.org/drawingml/2006/picture">
                      <pic:pic xmlns:pic="http://schemas.openxmlformats.org/drawingml/2006/picture">
                        <pic:nvPicPr>
                          <pic:cNvPr id="734" name="rect_SpCnt_683"/>
                          <pic:cNvPicPr/>
                        </pic:nvPicPr>
                        <pic:blipFill>
                          <a:blip r:embed="rId32"/>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371968" behindDoc="0" locked="0" layoutInCell="1" allowOverlap="1">
                  <wp:simplePos x="0" y="0"/>
                  <wp:positionH relativeFrom="column">
                    <wp:posOffset>0</wp:posOffset>
                  </wp:positionH>
                  <wp:positionV relativeFrom="paragraph">
                    <wp:posOffset>0</wp:posOffset>
                  </wp:positionV>
                  <wp:extent cx="302895" cy="291465"/>
                  <wp:effectExtent l="0" t="0" r="0" b="0"/>
                  <wp:wrapNone/>
                  <wp:docPr id="736" name="rect_SpCnt_684"/>
                  <wp:cNvGraphicFramePr/>
                  <a:graphic xmlns:a="http://schemas.openxmlformats.org/drawingml/2006/main">
                    <a:graphicData uri="http://schemas.openxmlformats.org/drawingml/2006/picture">
                      <pic:pic xmlns:pic="http://schemas.openxmlformats.org/drawingml/2006/picture">
                        <pic:nvPicPr>
                          <pic:cNvPr id="736" name="rect_SpCnt_684"/>
                          <pic:cNvPicPr/>
                        </pic:nvPicPr>
                        <pic:blipFill>
                          <a:blip r:embed="rId33"/>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0403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72" name="rect_SpCnt_685"/>
                  <wp:cNvGraphicFramePr/>
                  <a:graphic xmlns:a="http://schemas.openxmlformats.org/drawingml/2006/main">
                    <a:graphicData uri="http://schemas.openxmlformats.org/drawingml/2006/picture">
                      <pic:pic xmlns:pic="http://schemas.openxmlformats.org/drawingml/2006/picture">
                        <pic:nvPicPr>
                          <pic:cNvPr id="572" name="rect_SpCnt_685"/>
                          <pic:cNvPicPr/>
                        </pic:nvPicPr>
                        <pic:blipFill>
                          <a:blip r:embed="rId34"/>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9891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67" name="rect_SpCnt_686"/>
                  <wp:cNvGraphicFramePr/>
                  <a:graphic xmlns:a="http://schemas.openxmlformats.org/drawingml/2006/main">
                    <a:graphicData uri="http://schemas.openxmlformats.org/drawingml/2006/picture">
                      <pic:pic xmlns:pic="http://schemas.openxmlformats.org/drawingml/2006/picture">
                        <pic:nvPicPr>
                          <pic:cNvPr id="567" name="rect_SpCnt_686"/>
                          <pic:cNvPicPr/>
                        </pic:nvPicPr>
                        <pic:blipFill>
                          <a:blip r:embed="rId3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0505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73" name="rect_SpCnt_687"/>
                  <wp:cNvGraphicFramePr/>
                  <a:graphic xmlns:a="http://schemas.openxmlformats.org/drawingml/2006/main">
                    <a:graphicData uri="http://schemas.openxmlformats.org/drawingml/2006/picture">
                      <pic:pic xmlns:pic="http://schemas.openxmlformats.org/drawingml/2006/picture">
                        <pic:nvPicPr>
                          <pic:cNvPr id="573" name="rect_SpCnt_687"/>
                          <pic:cNvPicPr/>
                        </pic:nvPicPr>
                        <pic:blipFill>
                          <a:blip r:embed="rId36"/>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0812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76" name="rect_SpCnt_688"/>
                  <wp:cNvGraphicFramePr/>
                  <a:graphic xmlns:a="http://schemas.openxmlformats.org/drawingml/2006/main">
                    <a:graphicData uri="http://schemas.openxmlformats.org/drawingml/2006/picture">
                      <pic:pic xmlns:pic="http://schemas.openxmlformats.org/drawingml/2006/picture">
                        <pic:nvPicPr>
                          <pic:cNvPr id="576" name="rect_SpCnt_688"/>
                          <pic:cNvPicPr/>
                        </pic:nvPicPr>
                        <pic:blipFill>
                          <a:blip r:embed="rId37"/>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19993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68" name="rect_SpCnt_689"/>
                  <wp:cNvGraphicFramePr/>
                  <a:graphic xmlns:a="http://schemas.openxmlformats.org/drawingml/2006/main">
                    <a:graphicData uri="http://schemas.openxmlformats.org/drawingml/2006/picture">
                      <pic:pic xmlns:pic="http://schemas.openxmlformats.org/drawingml/2006/picture">
                        <pic:nvPicPr>
                          <pic:cNvPr id="568" name="rect_SpCnt_689"/>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0198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70" name="rect_SpCnt_690"/>
                  <wp:cNvGraphicFramePr/>
                  <a:graphic xmlns:a="http://schemas.openxmlformats.org/drawingml/2006/main">
                    <a:graphicData uri="http://schemas.openxmlformats.org/drawingml/2006/picture">
                      <pic:pic xmlns:pic="http://schemas.openxmlformats.org/drawingml/2006/picture">
                        <pic:nvPicPr>
                          <pic:cNvPr id="570" name="rect_SpCnt_690"/>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10176" behindDoc="0" locked="0" layoutInCell="1" allowOverlap="1">
                  <wp:simplePos x="0" y="0"/>
                  <wp:positionH relativeFrom="column">
                    <wp:posOffset>0</wp:posOffset>
                  </wp:positionH>
                  <wp:positionV relativeFrom="paragraph">
                    <wp:posOffset>0</wp:posOffset>
                  </wp:positionV>
                  <wp:extent cx="302895" cy="291465"/>
                  <wp:effectExtent l="0" t="0" r="0" b="0"/>
                  <wp:wrapNone/>
                  <wp:docPr id="578" name="rect_SpCnt_691"/>
                  <wp:cNvGraphicFramePr/>
                  <a:graphic xmlns:a="http://schemas.openxmlformats.org/drawingml/2006/main">
                    <a:graphicData uri="http://schemas.openxmlformats.org/drawingml/2006/picture">
                      <pic:pic xmlns:pic="http://schemas.openxmlformats.org/drawingml/2006/picture">
                        <pic:nvPicPr>
                          <pic:cNvPr id="578" name="rect_SpCnt_691"/>
                          <pic:cNvPicPr/>
                        </pic:nvPicPr>
                        <pic:blipFill>
                          <a:blip r:embed="rId38"/>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07104" behindDoc="0" locked="0" layoutInCell="1" allowOverlap="1">
                  <wp:simplePos x="0" y="0"/>
                  <wp:positionH relativeFrom="column">
                    <wp:posOffset>0</wp:posOffset>
                  </wp:positionH>
                  <wp:positionV relativeFrom="paragraph">
                    <wp:posOffset>0</wp:posOffset>
                  </wp:positionV>
                  <wp:extent cx="302895" cy="291465"/>
                  <wp:effectExtent l="0" t="0" r="0" b="0"/>
                  <wp:wrapNone/>
                  <wp:docPr id="575" name="rect_SpCnt_692"/>
                  <wp:cNvGraphicFramePr/>
                  <a:graphic xmlns:a="http://schemas.openxmlformats.org/drawingml/2006/main">
                    <a:graphicData uri="http://schemas.openxmlformats.org/drawingml/2006/picture">
                      <pic:pic xmlns:pic="http://schemas.openxmlformats.org/drawingml/2006/picture">
                        <pic:nvPicPr>
                          <pic:cNvPr id="575" name="rect_SpCnt_692"/>
                          <pic:cNvPicPr/>
                        </pic:nvPicPr>
                        <pic:blipFill>
                          <a:blip r:embed="rId39"/>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09152" behindDoc="0" locked="0" layoutInCell="1" allowOverlap="1">
                  <wp:simplePos x="0" y="0"/>
                  <wp:positionH relativeFrom="column">
                    <wp:posOffset>0</wp:posOffset>
                  </wp:positionH>
                  <wp:positionV relativeFrom="paragraph">
                    <wp:posOffset>0</wp:posOffset>
                  </wp:positionV>
                  <wp:extent cx="302895" cy="291465"/>
                  <wp:effectExtent l="0" t="0" r="0" b="0"/>
                  <wp:wrapNone/>
                  <wp:docPr id="577" name="rect_SpCnt_693"/>
                  <wp:cNvGraphicFramePr/>
                  <a:graphic xmlns:a="http://schemas.openxmlformats.org/drawingml/2006/main">
                    <a:graphicData uri="http://schemas.openxmlformats.org/drawingml/2006/picture">
                      <pic:pic xmlns:pic="http://schemas.openxmlformats.org/drawingml/2006/picture">
                        <pic:nvPicPr>
                          <pic:cNvPr id="577" name="rect_SpCnt_693"/>
                          <pic:cNvPicPr/>
                        </pic:nvPicPr>
                        <pic:blipFill>
                          <a:blip r:embed="rId40"/>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0096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69" name="rect_SpCnt_694"/>
                  <wp:cNvGraphicFramePr/>
                  <a:graphic xmlns:a="http://schemas.openxmlformats.org/drawingml/2006/main">
                    <a:graphicData uri="http://schemas.openxmlformats.org/drawingml/2006/picture">
                      <pic:pic xmlns:pic="http://schemas.openxmlformats.org/drawingml/2006/picture">
                        <pic:nvPicPr>
                          <pic:cNvPr id="569" name="rect_SpCnt_694"/>
                          <pic:cNvPicPr/>
                        </pic:nvPicPr>
                        <pic:blipFill>
                          <a:blip r:embed="rId15"/>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03008" behindDoc="0" locked="0" layoutInCell="1" allowOverlap="1">
                  <wp:simplePos x="0" y="0"/>
                  <wp:positionH relativeFrom="column">
                    <wp:posOffset>0</wp:posOffset>
                  </wp:positionH>
                  <wp:positionV relativeFrom="paragraph">
                    <wp:posOffset>0</wp:posOffset>
                  </wp:positionV>
                  <wp:extent cx="302895" cy="291465"/>
                  <wp:effectExtent l="0" t="0" r="0" b="0"/>
                  <wp:wrapNone/>
                  <wp:docPr id="571" name="rect_SpCnt_695"/>
                  <wp:cNvGraphicFramePr/>
                  <a:graphic xmlns:a="http://schemas.openxmlformats.org/drawingml/2006/main">
                    <a:graphicData uri="http://schemas.openxmlformats.org/drawingml/2006/picture">
                      <pic:pic xmlns:pic="http://schemas.openxmlformats.org/drawingml/2006/picture">
                        <pic:nvPicPr>
                          <pic:cNvPr id="571" name="rect_SpCnt_695"/>
                          <pic:cNvPicPr/>
                        </pic:nvPicPr>
                        <pic:blipFill>
                          <a:blip r:embed="rId41"/>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color w:val="000000" w:themeColor="text1"/>
                <w:sz w:val="20"/>
                <w:szCs w:val="20"/>
                <w:highlight w:val="none"/>
                <w:bdr w:val="single" w:color="000000" w:sz="4" w:space="0"/>
                <w:lang w:bidi="ar"/>
                <w14:textFill>
                  <w14:solidFill>
                    <w14:schemeClr w14:val="tx1"/>
                  </w14:solidFill>
                </w14:textFill>
              </w:rPr>
              <w:drawing>
                <wp:anchor distT="0" distB="0" distL="114300" distR="114300" simplePos="0" relativeHeight="252206080" behindDoc="0" locked="0" layoutInCell="1" allowOverlap="1">
                  <wp:simplePos x="0" y="0"/>
                  <wp:positionH relativeFrom="column">
                    <wp:posOffset>0</wp:posOffset>
                  </wp:positionH>
                  <wp:positionV relativeFrom="paragraph">
                    <wp:posOffset>0</wp:posOffset>
                  </wp:positionV>
                  <wp:extent cx="302895" cy="291465"/>
                  <wp:effectExtent l="0" t="0" r="0" b="0"/>
                  <wp:wrapNone/>
                  <wp:docPr id="574" name="rect_SpCnt_696"/>
                  <wp:cNvGraphicFramePr/>
                  <a:graphic xmlns:a="http://schemas.openxmlformats.org/drawingml/2006/main">
                    <a:graphicData uri="http://schemas.openxmlformats.org/drawingml/2006/picture">
                      <pic:pic xmlns:pic="http://schemas.openxmlformats.org/drawingml/2006/picture">
                        <pic:nvPicPr>
                          <pic:cNvPr id="574" name="rect_SpCnt_696"/>
                          <pic:cNvPicPr/>
                        </pic:nvPicPr>
                        <pic:blipFill>
                          <a:blip r:embed="rId42"/>
                          <a:stretch>
                            <a:fillRect/>
                          </a:stretch>
                        </pic:blipFill>
                        <pic:spPr>
                          <a:xfrm>
                            <a:off x="0" y="0"/>
                            <a:ext cx="302895" cy="291465"/>
                          </a:xfrm>
                          <a:prstGeom prst="rect">
                            <a:avLst/>
                          </a:prstGeom>
                          <a:noFill/>
                          <a:ln>
                            <a:noFill/>
                          </a:ln>
                        </pic:spPr>
                      </pic:pic>
                    </a:graphicData>
                  </a:graphic>
                </wp:anchor>
              </w:drawing>
            </w:r>
            <w:r>
              <w:rPr>
                <w:rFonts w:hint="eastAsia" w:ascii="宋体" w:hAnsi="宋体" w:eastAsia="宋体" w:cs="宋体"/>
                <w:snapToGrid w:val="0"/>
                <w:color w:val="000000" w:themeColor="text1"/>
                <w:sz w:val="20"/>
                <w:szCs w:val="20"/>
                <w:highlight w:val="none"/>
                <w:lang w:bidi="ar"/>
                <w14:textFill>
                  <w14:solidFill>
                    <w14:schemeClr w14:val="tx1"/>
                  </w14:solidFill>
                </w14:textFill>
              </w:rPr>
              <w:t>铜芯护套线RVV3*1.5，200米/卷</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按需</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10</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线材</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铜芯护套线RVV3*2.5，200米/卷</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按需</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电源线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RVV电线电缆 国标纯铜环保 RVV3*2.5 200米</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信号线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电源线RVVP电线电缆 音频音箱音响线国标纯无氧铜环保信号传输 带屏蔽RVVP2*0.5平方 200米</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辅材（卡农座，胶木插）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卡农,128模块 尺寸23x36mm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批</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镀锌钢管</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DN=32mm，厚度：2.5mm，每支钢管通常定尺长度为6000mm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按需</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米</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其他辅材</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电工胶布、焊锡、热缩管、6.35单插头、3.5单插头、RCA莲花头、卡农头（公、母）、BNC公头、BNC母头、4P专业音箱插头NL4FC插头等辅材</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项</w:t>
            </w:r>
          </w:p>
        </w:tc>
      </w:tr>
      <w:tr>
        <w:tblPrEx>
          <w:tblCellMar>
            <w:top w:w="0" w:type="dxa"/>
            <w:left w:w="108" w:type="dxa"/>
            <w:bottom w:w="0" w:type="dxa"/>
            <w:right w:w="108" w:type="dxa"/>
          </w:tblCellMar>
        </w:tblPrEx>
        <w:trPr>
          <w:trHeight w:val="400"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snapToGrid w:val="0"/>
                <w:color w:val="000000" w:themeColor="text1"/>
                <w:highlight w:val="none"/>
                <w:lang w:val="en-US" w:eastAsia="zh-CN" w:bidi="ar"/>
                <w14:textFill>
                  <w14:solidFill>
                    <w14:schemeClr w14:val="tx1"/>
                  </w14:solidFill>
                </w14:textFill>
              </w:rPr>
              <w:t>9、</w:t>
            </w:r>
            <w:r>
              <w:rPr>
                <w:rFonts w:hint="eastAsia" w:ascii="宋体" w:hAnsi="宋体" w:eastAsia="宋体" w:cs="宋体"/>
                <w:b/>
                <w:bCs/>
                <w:snapToGrid w:val="0"/>
                <w:color w:val="000000" w:themeColor="text1"/>
                <w:highlight w:val="none"/>
                <w:lang w:bidi="ar"/>
                <w14:textFill>
                  <w14:solidFill>
                    <w14:schemeClr w14:val="tx1"/>
                  </w14:solidFill>
                </w14:textFill>
              </w:rPr>
              <w:t>吸音材料</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穿孔铝吸音板</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材料说明：</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名称：穿孔铝吸音板</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基材：铝</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饰面：PU白色漆</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环保：国标E1级</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防火：A级</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规格：1200*2400</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厚度：2mm</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穿孔率：22%</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孔径/孔距：孔径3mm、孔距5.5mm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123 </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声学纤维颗粒</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材料说明：</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名称：声学纤维颗粒</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基材：玻璃纤维</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密度：48kg/m³</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防火：A级</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环保：E1级</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规格：600*1200*50mm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123 </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40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全频吸声模块</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材料说明：</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名称：全频吸声模块</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基材：64kg/m³高密度玻璃纤维板</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饰面：声学布</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防火：B1级</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环保：E1级</w:t>
            </w:r>
          </w:p>
          <w:p>
            <w:pP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边角分类：直角</w:t>
            </w:r>
          </w:p>
          <w:p>
            <w:pP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规格：1200*600*25mm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101 </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w:t>
            </w:r>
          </w:p>
        </w:tc>
      </w:tr>
      <w:tr>
        <w:tblPrEx>
          <w:tblCellMar>
            <w:top w:w="0" w:type="dxa"/>
            <w:left w:w="108" w:type="dxa"/>
            <w:bottom w:w="0" w:type="dxa"/>
            <w:right w:w="108" w:type="dxa"/>
          </w:tblCellMar>
        </w:tblPrEx>
        <w:trPr>
          <w:trHeight w:val="402"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10</w:t>
            </w:r>
            <w:r>
              <w:rPr>
                <w:rFonts w:hint="eastAsia" w:ascii="宋体" w:hAnsi="宋体" w:eastAsia="宋体" w:cs="宋体"/>
                <w:b/>
                <w:bCs/>
                <w:snapToGrid w:val="0"/>
                <w:color w:val="000000" w:themeColor="text1"/>
                <w:sz w:val="20"/>
                <w:szCs w:val="20"/>
                <w:highlight w:val="none"/>
                <w:lang w:bidi="ar"/>
                <w14:textFill>
                  <w14:solidFill>
                    <w14:schemeClr w14:val="tx1"/>
                  </w14:solidFill>
                </w14:textFill>
              </w:rPr>
              <w:t>、办公家具</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841" w:type="dxa"/>
            <w:tcBorders>
              <w:top w:val="single" w:color="000000" w:sz="4" w:space="0"/>
              <w:left w:val="single" w:color="auto" w:sz="4" w:space="0"/>
              <w:bottom w:val="single" w:color="000000" w:sz="4" w:space="0"/>
              <w:right w:val="single" w:color="auto"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主席台会议桌(600mm深)</w:t>
            </w:r>
          </w:p>
        </w:tc>
        <w:tc>
          <w:tcPr>
            <w:tcW w:w="6855" w:type="dxa"/>
            <w:tcBorders>
              <w:top w:val="single" w:color="000000" w:sz="4" w:space="0"/>
              <w:left w:val="single" w:color="auto" w:sz="4" w:space="0"/>
              <w:bottom w:val="single" w:color="000000" w:sz="4" w:space="0"/>
              <w:right w:val="single" w:color="auto"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基材：采用优质环保中密度纤维板，所有材料均经过防虫、防腐等化学处理，强度大，尺寸稳定性好，握钉力强，不易变形，甲醛释放量≤0.124mg/m³。</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面材：采用厚度0.6mm以上优质实木皮贴面，经过防虫防腐处理，无结疤、贯通裂缝、虫蛀、腐朽材节子等外观缺陷问题，木皮平整度高，耐磨性好，纹理清晰自然，颜色均匀，色泽美观。</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白乳胶：采用优质环保白乳胶，粘性强，久不分层，具有防水、防潮、耐油等特点，游离甲醛≤0.05g/kg。</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封边条：采用优质同色实木封边条，物理性能佳，严密平整，线条均匀，转角过渡自然，经过刨光、干燥、防虫、防腐等处理，甲醛释放量≤0.05mg/L。</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油漆：采用优质环保油漆，经过五底三面十二道工序，保证产品光泽、平整、纹理清晰、环保，表面无颗粒、气泡、渣点、附着性强，色泽效果持久平整。</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五金件：采用五金配件，无锈蚀，具有足够的承载能力、耐腐蚀能力。</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7.尺寸</w:t>
            </w:r>
            <w:r>
              <w:rPr>
                <w:rFonts w:hint="eastAsia"/>
                <w:color w:val="000000" w:themeColor="text1"/>
                <w:highlight w:val="none"/>
                <w:lang w:eastAsia="zh-CN"/>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W1200*D600*H750mm（1张）</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W1800*D600*H750mm（</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张）</w:t>
            </w:r>
          </w:p>
        </w:tc>
        <w:tc>
          <w:tcPr>
            <w:tcW w:w="450" w:type="dxa"/>
            <w:tcBorders>
              <w:top w:val="single" w:color="000000" w:sz="4" w:space="0"/>
              <w:left w:val="single" w:color="auto" w:sz="4" w:space="0"/>
              <w:bottom w:val="single" w:color="000000" w:sz="4" w:space="0"/>
              <w:right w:val="single" w:color="auto"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5</w:t>
            </w:r>
          </w:p>
        </w:tc>
        <w:tc>
          <w:tcPr>
            <w:tcW w:w="375"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张</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p>
        </w:tc>
        <w:tc>
          <w:tcPr>
            <w:tcW w:w="841" w:type="dxa"/>
            <w:tcBorders>
              <w:top w:val="single" w:color="000000" w:sz="4" w:space="0"/>
              <w:left w:val="single" w:color="auto" w:sz="4" w:space="0"/>
              <w:bottom w:val="single" w:color="000000" w:sz="4" w:space="0"/>
              <w:right w:val="single" w:color="auto"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主席台椅</w:t>
            </w:r>
          </w:p>
        </w:tc>
        <w:tc>
          <w:tcPr>
            <w:tcW w:w="6855" w:type="dxa"/>
            <w:tcBorders>
              <w:top w:val="single" w:color="000000" w:sz="4" w:space="0"/>
              <w:left w:val="single" w:color="auto" w:sz="4" w:space="0"/>
              <w:bottom w:val="single" w:color="000000" w:sz="4" w:space="0"/>
              <w:right w:val="single" w:color="auto" w:sz="4" w:space="0"/>
            </w:tcBorders>
            <w:shd w:val="clear" w:color="auto" w:fill="auto"/>
            <w:vAlign w:val="center"/>
          </w:tcPr>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面料：选用优质牛皮，经液态浸色及防潮、防污等工艺处理，皮面柔软舒适，光泽持久，无明显损伤、剥落质量。 </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海绵：采用优质高密度阻燃定型海绵，表面有防腐化和防变型保护膜，防破碎、抗氧化，软硬适中，回弹性能好，抗变形能力强，根椐人体工程学原理设计，坐感舒适。 </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框架：采用优质环保橡木实木，经过防虫、防腐特殊处理，确保坚固可靠，长期使用不松动、不腐朽。</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油漆：采用优质环保油漆，经过五底三面十二道工序，保证产品光泽、平整、纹理清晰、环保，表面无颗粒、气泡、渣点、附着性强，色泽效果持久平整。</w:t>
            </w:r>
          </w:p>
          <w:p>
            <w:pPr>
              <w:jc w:val="left"/>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五金配件：采用优质五金配件，经防锈处理，耐腐蚀能力强。</w:t>
            </w:r>
          </w:p>
          <w:p>
            <w:pPr>
              <w:jc w:val="left"/>
              <w:textAlignment w:val="center"/>
              <w:rPr>
                <w:rFonts w:hint="default"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6.尺寸:450*430*900mm</w:t>
            </w:r>
          </w:p>
        </w:tc>
        <w:tc>
          <w:tcPr>
            <w:tcW w:w="450" w:type="dxa"/>
            <w:tcBorders>
              <w:top w:val="single" w:color="000000" w:sz="4" w:space="0"/>
              <w:left w:val="single" w:color="auto" w:sz="4" w:space="0"/>
              <w:bottom w:val="single" w:color="000000" w:sz="4" w:space="0"/>
              <w:right w:val="single" w:color="auto"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9</w:t>
            </w:r>
          </w:p>
        </w:tc>
        <w:tc>
          <w:tcPr>
            <w:tcW w:w="375"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张</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p>
        </w:tc>
        <w:tc>
          <w:tcPr>
            <w:tcW w:w="841" w:type="dxa"/>
            <w:tcBorders>
              <w:top w:val="single" w:color="000000" w:sz="4" w:space="0"/>
              <w:left w:val="single" w:color="auto" w:sz="4" w:space="0"/>
              <w:bottom w:val="single" w:color="000000" w:sz="4" w:space="0"/>
              <w:right w:val="single" w:color="auto"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观众席会议条桌</w:t>
            </w:r>
          </w:p>
        </w:tc>
        <w:tc>
          <w:tcPr>
            <w:tcW w:w="6855" w:type="dxa"/>
            <w:tcBorders>
              <w:top w:val="single" w:color="000000" w:sz="4" w:space="0"/>
              <w:left w:val="single" w:color="auto" w:sz="4" w:space="0"/>
              <w:bottom w:val="single" w:color="000000" w:sz="4" w:space="0"/>
              <w:right w:val="single" w:color="auto"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基材：采用优质环保中密度纤维板，所有材料均经过防虫、防腐等化学处理，强度大，尺寸稳定性好，握钉力强，不易变形，甲醛释放量≤0.124mg/m³。</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面材：采用厚度0.6mm以上优质实木皮贴面，经过防虫防腐处理，无结疤、贯通裂缝、虫蛀、腐朽材节子等外观缺陷问题，木皮平整度高，耐磨性好，纹理清晰自然，颜色均匀，色泽美观。</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白乳胶：采用优质环保白乳胶，粘性强，久不分层，具有防水、防潮、耐油等特点，游离甲醛≤0.05g/kg。</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封边条：采用优质同色实木封边条，物理性能佳，严密平整，线条均匀，转角过渡自然，经过刨光、干燥、防虫、防腐等处理，甲醛释放量≤0.05mg/L。</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油漆：采用优质环保油漆，经过五底三面十二道工序，保证产品光泽、平整、纹理清晰、环保，表面无颗粒、气泡、渣点、附着性强，色泽效果持久平整。</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五金件：采用五金配件，无锈蚀，具有足够的承载能力、耐腐蚀能力。</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7.尺寸：</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W1800*D400*H750mm</w:t>
            </w:r>
          </w:p>
        </w:tc>
        <w:tc>
          <w:tcPr>
            <w:tcW w:w="450" w:type="dxa"/>
            <w:tcBorders>
              <w:top w:val="single" w:color="000000" w:sz="4" w:space="0"/>
              <w:left w:val="single" w:color="auto" w:sz="4" w:space="0"/>
              <w:bottom w:val="single" w:color="000000" w:sz="4" w:space="0"/>
              <w:right w:val="single" w:color="auto"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12</w:t>
            </w:r>
          </w:p>
        </w:tc>
        <w:tc>
          <w:tcPr>
            <w:tcW w:w="375"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张</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观众席椅</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面料：选用优质西皮，经液态浸色及防潮、防污等工艺处理，皮面柔软舒适，光泽持久，无明显损伤、剥落质量。 </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 xml:space="preserve">海绵：采用优质高密度阻燃定型海绵，表面有防腐化和防变型保护膜，防破碎、抗氧化，软硬适中，回弹性能好，抗变形能力强，根椐人体工程学原理设计，坐感舒适。 </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框架：采用优质环保橡木实木，经过防虫、防腐特殊处理，确保坚固可靠，长期使用不松动、不腐朽。</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油漆：采用优质环保油漆，经过五底三面十二道工序，保证产品光泽、平整、纹理清晰、环保，表面无颗粒、气泡、渣点、附着性强，色泽效果持久平整。</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五金配件：采用优质五金配件，经防锈处理，耐腐蚀能力强。</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6.尺寸：</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450*</w:t>
            </w:r>
            <w:r>
              <w:rPr>
                <w:rFonts w:hint="eastAsia" w:ascii="宋体" w:hAnsi="宋体" w:eastAsia="宋体" w:cs="宋体"/>
                <w:snapToGrid w:val="0"/>
                <w:color w:val="000000" w:themeColor="text1"/>
                <w:sz w:val="20"/>
                <w:szCs w:val="20"/>
                <w:highlight w:val="none"/>
                <w:lang w:bidi="ar"/>
                <w14:textFill>
                  <w14:solidFill>
                    <w14:schemeClr w14:val="tx1"/>
                  </w14:solidFill>
                </w14:textFill>
              </w:rPr>
              <w:t>D</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430*</w:t>
            </w:r>
            <w:r>
              <w:rPr>
                <w:rFonts w:hint="eastAsia" w:ascii="宋体" w:hAnsi="宋体" w:eastAsia="宋体" w:cs="宋体"/>
                <w:snapToGrid w:val="0"/>
                <w:color w:val="000000" w:themeColor="text1"/>
                <w:sz w:val="20"/>
                <w:szCs w:val="20"/>
                <w:highlight w:val="none"/>
                <w:lang w:bidi="ar"/>
                <w14:textFill>
                  <w14:solidFill>
                    <w14:schemeClr w14:val="tx1"/>
                  </w14:solidFill>
                </w14:textFill>
              </w:rPr>
              <w:t>H</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900mm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36</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张</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可折叠座椅</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1.椅面及靠背：中空吹塑</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2.椅架：采用19*32腰鼓管，壁厚≥1.5mm，采用高精密机械手臂自动焊接，经除油除锈静电220度高温喷塑处理。椅子全折叠。</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椅子符合GB/T9286-1998喷涂附着力和GB/T2423.17-2008中性盐雾测试技术规范要求。</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.结构功能：座垫可翻转，堆叠。</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.各项技术指标符合QB/T 2280-2016《办公家具 办公椅》规定的要求。</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t>
            </w:r>
            <w:r>
              <w:rPr>
                <w:rFonts w:hint="default" w:ascii="宋体" w:hAnsi="宋体" w:eastAsia="宋体" w:cs="宋体"/>
                <w:snapToGrid w:val="0"/>
                <w:color w:val="000000" w:themeColor="text1"/>
                <w:sz w:val="20"/>
                <w:szCs w:val="20"/>
                <w:highlight w:val="none"/>
                <w:lang w:val="en-US" w:eastAsia="zh-CN" w:bidi="ar"/>
                <w14:textFill>
                  <w14:solidFill>
                    <w14:schemeClr w14:val="tx1"/>
                  </w14:solidFill>
                </w14:textFill>
              </w:rPr>
              <w:t>尺寸</w:t>
            </w:r>
            <w:r>
              <w:rPr>
                <w:rFonts w:hint="default" w:ascii="宋体" w:hAnsi="宋体" w:eastAsia="宋体" w:cs="宋体"/>
                <w:snapToGrid w:val="0"/>
                <w:color w:val="000000" w:themeColor="text1"/>
                <w:sz w:val="20"/>
                <w:szCs w:val="20"/>
                <w:highlight w:val="none"/>
                <w:lang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W620*D600*H850mm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144</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张</w:t>
            </w:r>
          </w:p>
        </w:tc>
      </w:tr>
      <w:tr>
        <w:tblPrEx>
          <w:tblCellMar>
            <w:top w:w="0" w:type="dxa"/>
            <w:left w:w="108" w:type="dxa"/>
            <w:bottom w:w="0" w:type="dxa"/>
            <w:right w:w="108" w:type="dxa"/>
          </w:tblCellMar>
        </w:tblPrEx>
        <w:trPr>
          <w:trHeight w:val="90"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升降讲台</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一、基本规格</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1.尺寸:讲台高度可调范围:70cm-120cm2.材质:讲台主体采用高强度铝合金材料，表面喷涂环保静电粉末，耐磨、抗划痕。</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3.颜色:提供黑色、白色和灰色三种选择。</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4.承重:最大承重能力150kg。</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二、升降系统</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1.动力:采用静音直流电机，升降速度稳定噪音低于50分贝。</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2.控制方式:无线遥控、手动按钮和智能语音控制三种方式可选。</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3.安全性:具备过载保护、防夹手功能，升降过程中如遇阻碍可自动停止。</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三、多媒体功能</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1.内置多媒体插槽，可方便插入电脑、投影仪等设备。</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2.预留线孔，方便线缆整理</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3.可选配高清触控屏，实现多媒体互动教学</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四、附件与扩展</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1.可选配件:包括无线麦克风、音响系统、摄像头等。</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2.扩展接口:预留多个USB接口和电源插座方便外接设备。</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五、尺寸:L*W*H(mm):1600*700*610(闭合)，1600*700*1260(展开)。</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课室讲台</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keepNext w:val="0"/>
              <w:keepLines w:val="0"/>
              <w:pageBreakBefore w:val="0"/>
              <w:widowControl/>
              <w:numPr>
                <w:ilvl w:val="-1"/>
                <w:numId w:val="0"/>
              </w:numPr>
              <w:kinsoku/>
              <w:wordWrap/>
              <w:overflowPunct/>
              <w:topLinePunct w:val="0"/>
              <w:autoSpaceDE/>
              <w:autoSpaceDN/>
              <w:bidi w:val="0"/>
              <w:adjustRightInd w:val="0"/>
              <w:snapToGrid/>
              <w:spacing w:line="240" w:lineRule="auto"/>
              <w:ind w:left="0" w:right="0" w:rightChars="0" w:firstLine="0" w:firstLineChars="0"/>
              <w:jc w:val="left"/>
              <w:textAlignment w:val="auto"/>
              <w:outlineLvl w:val="9"/>
              <w:rPr>
                <w:rFonts w:hint="eastAsia" w:ascii="宋体" w:hAnsi="宋体" w:eastAsia="宋体" w:cs="宋体"/>
                <w:b w:val="0"/>
                <w:bCs w:val="0"/>
                <w:color w:val="000000" w:themeColor="text1"/>
                <w:sz w:val="20"/>
                <w:szCs w:val="20"/>
                <w:highlight w:val="none"/>
                <w14:textFill>
                  <w14:solidFill>
                    <w14:schemeClr w14:val="tx1"/>
                  </w14:solidFill>
                </w14:textFill>
              </w:rPr>
            </w:pP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1.</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讲桌</w:t>
            </w:r>
            <w:r>
              <w:rPr>
                <w:rFonts w:hint="eastAsia" w:ascii="宋体" w:hAnsi="宋体" w:eastAsia="宋体" w:cs="宋体"/>
                <w:b w:val="0"/>
                <w:bCs w:val="0"/>
                <w:color w:val="000000" w:themeColor="text1"/>
                <w:sz w:val="20"/>
                <w:szCs w:val="20"/>
                <w:highlight w:val="none"/>
                <w14:textFill>
                  <w14:solidFill>
                    <w14:schemeClr w14:val="tx1"/>
                  </w14:solidFill>
                </w14:textFill>
              </w:rPr>
              <w:t>尺寸：</w:t>
            </w:r>
            <w:r>
              <w:rPr>
                <w:rFonts w:hint="eastAsia" w:ascii="宋体" w:hAnsi="宋体" w:eastAsia="宋体" w:cs="宋体"/>
                <w:b w:val="0"/>
                <w:bCs/>
                <w:color w:val="000000" w:themeColor="text1"/>
                <w:sz w:val="20"/>
                <w:szCs w:val="20"/>
                <w:highlight w:val="none"/>
                <w14:textFill>
                  <w14:solidFill>
                    <w14:schemeClr w14:val="tx1"/>
                  </w14:solidFill>
                </w14:textFill>
              </w:rPr>
              <w:t>L*W*H（mm）</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 xml:space="preserve">闭合尺寸：900*600*930 </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（允许正负</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5</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mm偏离）；</w:t>
            </w:r>
          </w:p>
          <w:p>
            <w:pPr>
              <w:pStyle w:val="10"/>
              <w:keepNext w:val="0"/>
              <w:keepLines w:val="0"/>
              <w:pageBreakBefore w:val="0"/>
              <w:widowControl/>
              <w:numPr>
                <w:ilvl w:val="-1"/>
                <w:numId w:val="0"/>
              </w:numPr>
              <w:kinsoku/>
              <w:wordWrap/>
              <w:overflowPunct/>
              <w:topLinePunct w:val="0"/>
              <w:autoSpaceDE/>
              <w:autoSpaceDN/>
              <w:bidi w:val="0"/>
              <w:adjustRightInd w:val="0"/>
              <w:snapToGrid/>
              <w:spacing w:line="240" w:lineRule="auto"/>
              <w:ind w:left="0" w:right="0" w:rightChars="0" w:firstLine="0" w:firstLineChars="0"/>
              <w:jc w:val="left"/>
              <w:textAlignment w:val="auto"/>
              <w:outlineLvl w:val="9"/>
              <w:rPr>
                <w:rFonts w:hint="eastAsia" w:ascii="宋体" w:hAnsi="宋体" w:eastAsia="宋体" w:cs="宋体"/>
                <w:b w:val="0"/>
                <w:bCs w:val="0"/>
                <w:color w:val="000000" w:themeColor="text1"/>
                <w:sz w:val="20"/>
                <w:szCs w:val="20"/>
                <w:highlight w:val="none"/>
                <w14:textFill>
                  <w14:solidFill>
                    <w14:schemeClr w14:val="tx1"/>
                  </w14:solidFill>
                </w14:textFill>
              </w:rPr>
            </w:pP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2.</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讲桌材料：</w:t>
            </w:r>
            <w:r>
              <w:rPr>
                <w:rFonts w:hint="eastAsia" w:ascii="宋体" w:hAnsi="宋体" w:eastAsia="宋体" w:cs="宋体"/>
                <w:b w:val="0"/>
                <w:bCs w:val="0"/>
                <w:color w:val="000000" w:themeColor="text1"/>
                <w:sz w:val="20"/>
                <w:szCs w:val="20"/>
                <w:highlight w:val="none"/>
                <w14:textFill>
                  <w14:solidFill>
                    <w14:schemeClr w14:val="tx1"/>
                  </w14:solidFill>
                </w14:textFill>
              </w:rPr>
              <w:t>讲桌采用</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符合材料一体成型，主体采用</w:t>
            </w:r>
            <w:r>
              <w:rPr>
                <w:rFonts w:hint="eastAsia" w:ascii="宋体" w:hAnsi="宋体" w:eastAsia="宋体" w:cs="宋体"/>
                <w:b w:val="0"/>
                <w:bCs w:val="0"/>
                <w:color w:val="000000" w:themeColor="text1"/>
                <w:sz w:val="20"/>
                <w:szCs w:val="20"/>
                <w:highlight w:val="none"/>
                <w14:textFill>
                  <w14:solidFill>
                    <w14:schemeClr w14:val="tx1"/>
                  </w14:solidFill>
                </w14:textFill>
              </w:rPr>
              <w:t>1.</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2</w:t>
            </w:r>
            <w:r>
              <w:rPr>
                <w:rFonts w:hint="eastAsia" w:ascii="宋体" w:hAnsi="宋体" w:eastAsia="宋体" w:cs="宋体"/>
                <w:b w:val="0"/>
                <w:bCs w:val="0"/>
                <w:color w:val="000000" w:themeColor="text1"/>
                <w:sz w:val="20"/>
                <w:szCs w:val="20"/>
                <w:highlight w:val="none"/>
                <w14:textFill>
                  <w14:solidFill>
                    <w14:schemeClr w14:val="tx1"/>
                  </w14:solidFill>
                </w14:textFill>
              </w:rPr>
              <w:t>-1.5mm冷轧钢板</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，桌面采用耐划木质桌面（承重不低于</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70KG</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），两侧配置防静电</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ABS注塑扶手（根据</w:t>
            </w:r>
            <w:r>
              <w:rPr>
                <w:rFonts w:hint="eastAsia" w:ascii="宋体" w:hAnsi="宋体" w:eastAsia="宋体" w:cs="宋体"/>
                <w:b w:val="0"/>
                <w:bCs w:val="0"/>
                <w:color w:val="000000" w:themeColor="text1"/>
                <w:sz w:val="20"/>
                <w:szCs w:val="20"/>
                <w:highlight w:val="none"/>
                <w:lang w:val="en-US" w:eastAsia="zh-Hans"/>
                <w14:textFill>
                  <w14:solidFill>
                    <w14:schemeClr w14:val="tx1"/>
                  </w14:solidFill>
                </w14:textFill>
              </w:rPr>
              <w:t>学校要求</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可以</w:t>
            </w:r>
            <w:r>
              <w:rPr>
                <w:rFonts w:hint="eastAsia" w:ascii="宋体" w:hAnsi="宋体" w:eastAsia="宋体" w:cs="宋体"/>
                <w:b w:val="0"/>
                <w:bCs w:val="0"/>
                <w:color w:val="000000" w:themeColor="text1"/>
                <w:sz w:val="20"/>
                <w:szCs w:val="20"/>
                <w:highlight w:val="none"/>
                <w:lang w:val="en-US" w:eastAsia="zh-Hans"/>
                <w14:textFill>
                  <w14:solidFill>
                    <w14:schemeClr w14:val="tx1"/>
                  </w14:solidFill>
                </w14:textFill>
              </w:rPr>
              <w:t>升级为</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木质扶手）。</w:t>
            </w:r>
          </w:p>
          <w:p>
            <w:pPr>
              <w:pStyle w:val="10"/>
              <w:keepNext w:val="0"/>
              <w:keepLines w:val="0"/>
              <w:pageBreakBefore w:val="0"/>
              <w:widowControl/>
              <w:numPr>
                <w:ilvl w:val="-1"/>
                <w:numId w:val="0"/>
              </w:numPr>
              <w:kinsoku/>
              <w:wordWrap/>
              <w:overflowPunct/>
              <w:topLinePunct w:val="0"/>
              <w:autoSpaceDE/>
              <w:autoSpaceDN/>
              <w:bidi w:val="0"/>
              <w:adjustRightInd w:val="0"/>
              <w:snapToGrid/>
              <w:spacing w:line="240" w:lineRule="auto"/>
              <w:ind w:left="0" w:right="0" w:rightChars="0" w:firstLine="0" w:firstLineChars="0"/>
              <w:jc w:val="left"/>
              <w:textAlignment w:val="auto"/>
              <w:outlineLvl w:val="9"/>
              <w:rPr>
                <w:rFonts w:hint="eastAsia" w:ascii="宋体" w:hAnsi="宋体" w:eastAsia="宋体" w:cs="宋体"/>
                <w:b w:val="0"/>
                <w:bCs w:val="0"/>
                <w:color w:val="000000" w:themeColor="text1"/>
                <w:sz w:val="20"/>
                <w:szCs w:val="20"/>
                <w:highlight w:val="none"/>
                <w14:textFill>
                  <w14:solidFill>
                    <w14:schemeClr w14:val="tx1"/>
                  </w14:solidFill>
                </w14:textFill>
              </w:rPr>
            </w:pP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3.</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讲桌外观：正前方可丝印</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LOGO</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，讲桌桌面平整，整体外观流线型设计，无菱角处理，保护师生安全整体即美观结实，又加固强度。</w:t>
            </w:r>
          </w:p>
          <w:p>
            <w:pPr>
              <w:pStyle w:val="10"/>
              <w:keepNext w:val="0"/>
              <w:keepLines w:val="0"/>
              <w:pageBreakBefore w:val="0"/>
              <w:widowControl/>
              <w:numPr>
                <w:ilvl w:val="-1"/>
                <w:numId w:val="0"/>
              </w:numPr>
              <w:kinsoku/>
              <w:wordWrap/>
              <w:overflowPunct/>
              <w:topLinePunct w:val="0"/>
              <w:autoSpaceDE/>
              <w:autoSpaceDN/>
              <w:bidi w:val="0"/>
              <w:adjustRightInd w:val="0"/>
              <w:snapToGrid/>
              <w:spacing w:line="240" w:lineRule="auto"/>
              <w:ind w:left="0" w:leftChars="0" w:right="0" w:rightChars="0" w:firstLine="0" w:firstLineChars="0"/>
              <w:jc w:val="left"/>
              <w:textAlignment w:val="auto"/>
              <w:outlineLvl w:val="9"/>
              <w:rPr>
                <w:rFonts w:hint="eastAsia" w:ascii="宋体" w:hAnsi="宋体" w:eastAsia="宋体" w:cs="宋体"/>
                <w:b w:val="0"/>
                <w:bCs/>
                <w:color w:val="000000" w:themeColor="text1"/>
                <w:sz w:val="20"/>
                <w:szCs w:val="20"/>
                <w:highlight w:val="none"/>
                <w14:textFill>
                  <w14:solidFill>
                    <w14:schemeClr w14:val="tx1"/>
                  </w14:solidFill>
                </w14:textFill>
              </w:rPr>
            </w:pP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4.</w:t>
            </w:r>
            <w:r>
              <w:rPr>
                <w:rFonts w:hint="eastAsia" w:ascii="宋体" w:hAnsi="宋体" w:eastAsia="宋体" w:cs="宋体"/>
                <w:b w:val="0"/>
                <w:bCs w:val="0"/>
                <w:color w:val="000000" w:themeColor="text1"/>
                <w:sz w:val="20"/>
                <w:szCs w:val="20"/>
                <w:highlight w:val="none"/>
                <w14:textFill>
                  <w14:solidFill>
                    <w14:schemeClr w14:val="tx1"/>
                  </w14:solidFill>
                </w14:textFill>
              </w:rPr>
              <w:t>讲桌</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要求：讲台外形美观，整体设计坚固耐用；</w:t>
            </w:r>
            <w:r>
              <w:rPr>
                <w:rFonts w:hint="eastAsia" w:ascii="宋体" w:hAnsi="宋体" w:eastAsia="宋体" w:cs="宋体"/>
                <w:b w:val="0"/>
                <w:bCs w:val="0"/>
                <w:color w:val="000000" w:themeColor="text1"/>
                <w:sz w:val="20"/>
                <w:szCs w:val="20"/>
                <w:highlight w:val="none"/>
                <w14:textFill>
                  <w14:solidFill>
                    <w14:schemeClr w14:val="tx1"/>
                  </w14:solidFill>
                </w14:textFill>
              </w:rPr>
              <w:t>讲桌喷涂细致，颗粒均匀，产品喷涂工艺符合GB22374-2008 涂装材料标准；隐藏导轨抽拉式键盘托，导轨</w:t>
            </w:r>
            <w:r>
              <w:rPr>
                <w:rFonts w:hint="eastAsia" w:ascii="宋体" w:hAnsi="宋体" w:eastAsia="宋体" w:cs="宋体"/>
                <w:b w:val="0"/>
                <w:bCs/>
                <w:color w:val="000000" w:themeColor="text1"/>
                <w:sz w:val="20"/>
                <w:szCs w:val="20"/>
                <w:highlight w:val="none"/>
                <w14:textFill>
                  <w14:solidFill>
                    <w14:schemeClr w14:val="tx1"/>
                  </w14:solidFill>
                </w14:textFill>
              </w:rPr>
              <w:t>需通过国家QB/T2454-2013耐久性检测标准。</w:t>
            </w:r>
          </w:p>
          <w:p>
            <w:pPr>
              <w:pStyle w:val="10"/>
              <w:keepNext w:val="0"/>
              <w:keepLines w:val="0"/>
              <w:pageBreakBefore w:val="0"/>
              <w:widowControl/>
              <w:numPr>
                <w:ilvl w:val="-1"/>
                <w:numId w:val="0"/>
              </w:numPr>
              <w:kinsoku/>
              <w:wordWrap/>
              <w:overflowPunct/>
              <w:topLinePunct w:val="0"/>
              <w:autoSpaceDE/>
              <w:autoSpaceDN/>
              <w:bidi w:val="0"/>
              <w:adjustRightInd w:val="0"/>
              <w:snapToGrid/>
              <w:spacing w:line="240" w:lineRule="auto"/>
              <w:ind w:left="0" w:leftChars="0" w:right="0" w:rightChars="0" w:firstLine="0" w:firstLineChars="0"/>
              <w:jc w:val="left"/>
              <w:textAlignment w:val="auto"/>
              <w:outlineLvl w:val="9"/>
              <w:rPr>
                <w:rFonts w:hint="eastAsia" w:ascii="宋体" w:hAnsi="宋体" w:eastAsia="宋体" w:cs="宋体"/>
                <w:b w:val="0"/>
                <w:bCs w:val="0"/>
                <w:color w:val="000000" w:themeColor="text1"/>
                <w:sz w:val="20"/>
                <w:szCs w:val="20"/>
                <w:highlight w:val="none"/>
                <w14:textFill>
                  <w14:solidFill>
                    <w14:schemeClr w14:val="tx1"/>
                  </w14:solidFill>
                </w14:textFill>
              </w:rPr>
            </w:pP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5.</w:t>
            </w:r>
            <w:r>
              <w:rPr>
                <w:rFonts w:hint="eastAsia" w:ascii="宋体" w:hAnsi="宋体" w:eastAsia="宋体" w:cs="宋体"/>
                <w:b w:val="0"/>
                <w:bCs w:val="0"/>
                <w:color w:val="000000" w:themeColor="text1"/>
                <w:sz w:val="20"/>
                <w:szCs w:val="20"/>
                <w:highlight w:val="none"/>
                <w14:textFill>
                  <w14:solidFill>
                    <w14:schemeClr w14:val="tx1"/>
                  </w14:solidFill>
                </w14:textFill>
              </w:rPr>
              <w:t>讲桌</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功能：</w:t>
            </w:r>
            <w:r>
              <w:rPr>
                <w:rFonts w:hint="eastAsia" w:ascii="宋体" w:hAnsi="宋体" w:eastAsia="宋体" w:cs="宋体"/>
                <w:b w:val="0"/>
                <w:bCs w:val="0"/>
                <w:color w:val="000000" w:themeColor="text1"/>
                <w:sz w:val="20"/>
                <w:szCs w:val="20"/>
                <w:highlight w:val="none"/>
                <w14:textFill>
                  <w14:solidFill>
                    <w14:schemeClr w14:val="tx1"/>
                  </w14:solidFill>
                </w14:textFill>
              </w:rPr>
              <w:t>上下层采用分体式设计，下层采用拼装结构</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，可以选配</w:t>
            </w:r>
            <w:r>
              <w:rPr>
                <w:rFonts w:hint="eastAsia" w:ascii="宋体" w:hAnsi="宋体" w:eastAsia="宋体" w:cs="宋体"/>
                <w:b w:val="0"/>
                <w:bCs w:val="0"/>
                <w:color w:val="000000" w:themeColor="text1"/>
                <w:sz w:val="20"/>
                <w:szCs w:val="20"/>
                <w:highlight w:val="none"/>
                <w14:textFill>
                  <w14:solidFill>
                    <w14:schemeClr w14:val="tx1"/>
                  </w14:solidFill>
                </w14:textFill>
              </w:rPr>
              <w:t>19寸国标机架</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0"/>
                <w:szCs w:val="20"/>
                <w:highlight w:val="none"/>
                <w14:textFill>
                  <w14:solidFill>
                    <w14:schemeClr w14:val="tx1"/>
                  </w14:solidFill>
                </w14:textFill>
              </w:rPr>
              <w:t>设备总空间≤</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13U;可以选配移动50MM的脚轮；</w:t>
            </w:r>
            <w:r>
              <w:rPr>
                <w:rFonts w:hint="eastAsia" w:ascii="宋体" w:hAnsi="宋体" w:eastAsia="宋体" w:cs="宋体"/>
                <w:b w:val="0"/>
                <w:bCs w:val="0"/>
                <w:color w:val="000000" w:themeColor="text1"/>
                <w:sz w:val="20"/>
                <w:szCs w:val="20"/>
                <w:highlight w:val="none"/>
                <w14:textFill>
                  <w14:solidFill>
                    <w14:schemeClr w14:val="tx1"/>
                  </w14:solidFill>
                </w14:textFill>
              </w:rPr>
              <w:t>方便进出设计比较窄的教室门。</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讲桌上层设计有隐藏式抽屉，可放置无线键盘、鼠标等教具</w:t>
            </w:r>
            <w:r>
              <w:rPr>
                <w:rFonts w:hint="eastAsia" w:ascii="宋体" w:hAnsi="宋体" w:eastAsia="宋体" w:cs="宋体"/>
                <w:b w:val="0"/>
                <w:bCs w:val="0"/>
                <w:color w:val="000000" w:themeColor="text1"/>
                <w:sz w:val="20"/>
                <w:szCs w:val="20"/>
                <w:highlight w:val="none"/>
                <w14:textFill>
                  <w14:solidFill>
                    <w14:schemeClr w14:val="tx1"/>
                  </w14:solidFill>
                </w14:textFill>
              </w:rPr>
              <w:t>。下层</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左</w:t>
            </w:r>
            <w:r>
              <w:rPr>
                <w:rFonts w:hint="eastAsia" w:ascii="宋体" w:hAnsi="宋体" w:eastAsia="宋体" w:cs="宋体"/>
                <w:b w:val="0"/>
                <w:bCs w:val="0"/>
                <w:color w:val="000000" w:themeColor="text1"/>
                <w:sz w:val="20"/>
                <w:szCs w:val="20"/>
                <w:highlight w:val="none"/>
                <w14:textFill>
                  <w14:solidFill>
                    <w14:schemeClr w14:val="tx1"/>
                  </w14:solidFill>
                </w14:textFill>
              </w:rPr>
              <w:t>右</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两</w:t>
            </w:r>
            <w:r>
              <w:rPr>
                <w:rFonts w:hint="eastAsia" w:ascii="宋体" w:hAnsi="宋体" w:eastAsia="宋体" w:cs="宋体"/>
                <w:b w:val="0"/>
                <w:bCs w:val="0"/>
                <w:color w:val="000000" w:themeColor="text1"/>
                <w:sz w:val="20"/>
                <w:szCs w:val="20"/>
                <w:highlight w:val="none"/>
                <w14:textFill>
                  <w14:solidFill>
                    <w14:schemeClr w14:val="tx1"/>
                  </w14:solidFill>
                </w14:textFill>
              </w:rPr>
              <w:t>侧</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均</w:t>
            </w:r>
            <w:r>
              <w:rPr>
                <w:rFonts w:hint="eastAsia" w:ascii="宋体" w:hAnsi="宋体" w:eastAsia="宋体" w:cs="宋体"/>
                <w:b w:val="0"/>
                <w:bCs w:val="0"/>
                <w:color w:val="000000" w:themeColor="text1"/>
                <w:sz w:val="20"/>
                <w:szCs w:val="20"/>
                <w:highlight w:val="none"/>
                <w14:textFill>
                  <w14:solidFill>
                    <w14:schemeClr w14:val="tx1"/>
                  </w14:solidFill>
                </w14:textFill>
              </w:rPr>
              <w:t>预留86盒敲落式安装孔；桌面</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预留笔记本模块安装位，</w:t>
            </w:r>
            <w:r>
              <w:rPr>
                <w:rFonts w:hint="eastAsia" w:ascii="宋体" w:hAnsi="宋体" w:eastAsia="宋体" w:cs="宋体"/>
                <w:b w:val="0"/>
                <w:bCs w:val="0"/>
                <w:color w:val="000000" w:themeColor="text1"/>
                <w:sz w:val="20"/>
                <w:szCs w:val="20"/>
                <w:highlight w:val="none"/>
                <w14:textFill>
                  <w14:solidFill>
                    <w14:schemeClr w14:val="tx1"/>
                  </w14:solidFill>
                </w14:textFill>
              </w:rPr>
              <w:t>可</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根据需求选配，</w:t>
            </w:r>
            <w:r>
              <w:rPr>
                <w:rFonts w:hint="eastAsia" w:ascii="宋体" w:hAnsi="宋体" w:eastAsia="宋体" w:cs="宋体"/>
                <w:b w:val="0"/>
                <w:bCs w:val="0"/>
                <w:color w:val="000000" w:themeColor="text1"/>
                <w:sz w:val="20"/>
                <w:szCs w:val="20"/>
                <w:highlight w:val="none"/>
                <w:lang w:val="zh-CN"/>
                <w14:textFill>
                  <w14:solidFill>
                    <w14:schemeClr w14:val="tx1"/>
                  </w14:solidFill>
                </w14:textFill>
              </w:rPr>
              <w:t>模块配备HDMI母座接口</w:t>
            </w:r>
            <w:r>
              <w:rPr>
                <w:rFonts w:hint="eastAsia" w:ascii="宋体" w:hAnsi="宋体" w:eastAsia="宋体" w:cs="宋体"/>
                <w:b w:val="0"/>
                <w:bCs w:val="0"/>
                <w:color w:val="000000" w:themeColor="text1"/>
                <w:sz w:val="20"/>
                <w:szCs w:val="20"/>
                <w:highlight w:val="none"/>
                <w14:textFill>
                  <w14:solidFill>
                    <w14:schemeClr w14:val="tx1"/>
                  </w14:solidFill>
                </w14:textFill>
              </w:rPr>
              <w:t>*1</w:t>
            </w:r>
            <w:r>
              <w:rPr>
                <w:rFonts w:hint="eastAsia" w:ascii="宋体" w:hAnsi="宋体" w:eastAsia="宋体" w:cs="宋体"/>
                <w:b w:val="0"/>
                <w:bCs w:val="0"/>
                <w:color w:val="000000" w:themeColor="text1"/>
                <w:sz w:val="20"/>
                <w:szCs w:val="20"/>
                <w:highlight w:val="none"/>
                <w:lang w:val="zh-CN"/>
                <w14:textFill>
                  <w14:solidFill>
                    <w14:schemeClr w14:val="tx1"/>
                  </w14:solidFill>
                </w14:textFill>
              </w:rPr>
              <w:t>、</w:t>
            </w:r>
            <w:r>
              <w:rPr>
                <w:rFonts w:hint="eastAsia" w:ascii="宋体" w:hAnsi="宋体" w:eastAsia="宋体" w:cs="宋体"/>
                <w:b w:val="0"/>
                <w:bCs w:val="0"/>
                <w:color w:val="000000" w:themeColor="text1"/>
                <w:sz w:val="20"/>
                <w:szCs w:val="20"/>
                <w:highlight w:val="none"/>
                <w14:textFill>
                  <w14:solidFill>
                    <w14:schemeClr w14:val="tx1"/>
                  </w14:solidFill>
                </w14:textFill>
              </w:rPr>
              <w:t xml:space="preserve">VGA </w:t>
            </w:r>
            <w:r>
              <w:rPr>
                <w:rFonts w:hint="eastAsia" w:ascii="宋体" w:hAnsi="宋体" w:eastAsia="宋体" w:cs="宋体"/>
                <w:b w:val="0"/>
                <w:bCs w:val="0"/>
                <w:color w:val="000000" w:themeColor="text1"/>
                <w:sz w:val="20"/>
                <w:szCs w:val="20"/>
                <w:highlight w:val="none"/>
                <w:lang w:val="zh-CN"/>
                <w14:textFill>
                  <w14:solidFill>
                    <w14:schemeClr w14:val="tx1"/>
                  </w14:solidFill>
                </w14:textFill>
              </w:rPr>
              <w:t>母座</w:t>
            </w:r>
            <w:r>
              <w:rPr>
                <w:rFonts w:hint="eastAsia" w:ascii="宋体" w:hAnsi="宋体" w:eastAsia="宋体" w:cs="宋体"/>
                <w:b w:val="0"/>
                <w:bCs w:val="0"/>
                <w:color w:val="000000" w:themeColor="text1"/>
                <w:sz w:val="20"/>
                <w:szCs w:val="20"/>
                <w:highlight w:val="none"/>
                <w14:textFill>
                  <w14:solidFill>
                    <w14:schemeClr w14:val="tx1"/>
                  </w14:solidFill>
                </w14:textFill>
              </w:rPr>
              <w:t>接口*1，</w:t>
            </w:r>
            <w:r>
              <w:rPr>
                <w:rFonts w:hint="eastAsia" w:ascii="宋体" w:hAnsi="宋体" w:eastAsia="宋体" w:cs="宋体"/>
                <w:b w:val="0"/>
                <w:bCs w:val="0"/>
                <w:color w:val="000000" w:themeColor="text1"/>
                <w:sz w:val="20"/>
                <w:szCs w:val="20"/>
                <w:highlight w:val="none"/>
                <w:lang w:val="zh-CN"/>
                <w14:textFill>
                  <w14:solidFill>
                    <w14:schemeClr w14:val="tx1"/>
                  </w14:solidFill>
                </w14:textFill>
              </w:rPr>
              <w:t>USB</w:t>
            </w:r>
            <w:r>
              <w:rPr>
                <w:rFonts w:hint="eastAsia" w:ascii="宋体" w:hAnsi="宋体" w:eastAsia="宋体" w:cs="宋体"/>
                <w:b w:val="0"/>
                <w:bCs w:val="0"/>
                <w:color w:val="000000" w:themeColor="text1"/>
                <w:sz w:val="20"/>
                <w:szCs w:val="20"/>
                <w:highlight w:val="none"/>
                <w14:textFill>
                  <w14:solidFill>
                    <w14:schemeClr w14:val="tx1"/>
                  </w14:solidFill>
                </w14:textFill>
              </w:rPr>
              <w:t>2.0</w:t>
            </w:r>
            <w:r>
              <w:rPr>
                <w:rFonts w:hint="eastAsia" w:ascii="宋体" w:hAnsi="宋体" w:eastAsia="宋体" w:cs="宋体"/>
                <w:b w:val="0"/>
                <w:bCs w:val="0"/>
                <w:color w:val="000000" w:themeColor="text1"/>
                <w:sz w:val="20"/>
                <w:szCs w:val="20"/>
                <w:highlight w:val="none"/>
                <w:lang w:val="zh-CN"/>
                <w14:textFill>
                  <w14:solidFill>
                    <w14:schemeClr w14:val="tx1"/>
                  </w14:solidFill>
                </w14:textFill>
              </w:rPr>
              <w:t>母座</w:t>
            </w:r>
            <w:r>
              <w:rPr>
                <w:rFonts w:hint="eastAsia" w:ascii="宋体" w:hAnsi="宋体" w:eastAsia="宋体" w:cs="宋体"/>
                <w:b w:val="0"/>
                <w:bCs w:val="0"/>
                <w:color w:val="000000" w:themeColor="text1"/>
                <w:sz w:val="20"/>
                <w:szCs w:val="20"/>
                <w:highlight w:val="none"/>
                <w14:textFill>
                  <w14:solidFill>
                    <w14:schemeClr w14:val="tx1"/>
                  </w14:solidFill>
                </w14:textFill>
              </w:rPr>
              <w:t>接口*2,音频3.5</w:t>
            </w:r>
            <w:r>
              <w:rPr>
                <w:rFonts w:hint="eastAsia" w:ascii="宋体" w:hAnsi="宋体" w:eastAsia="宋体" w:cs="宋体"/>
                <w:b w:val="0"/>
                <w:bCs w:val="0"/>
                <w:color w:val="000000" w:themeColor="text1"/>
                <w:sz w:val="20"/>
                <w:szCs w:val="20"/>
                <w:highlight w:val="none"/>
                <w:lang w:val="zh-CN"/>
                <w14:textFill>
                  <w14:solidFill>
                    <w14:schemeClr w14:val="tx1"/>
                  </w14:solidFill>
                </w14:textFill>
              </w:rPr>
              <w:t>母座</w:t>
            </w:r>
            <w:r>
              <w:rPr>
                <w:rFonts w:hint="eastAsia" w:ascii="宋体" w:hAnsi="宋体" w:eastAsia="宋体" w:cs="宋体"/>
                <w:b w:val="0"/>
                <w:bCs w:val="0"/>
                <w:color w:val="000000" w:themeColor="text1"/>
                <w:sz w:val="20"/>
                <w:szCs w:val="20"/>
                <w:highlight w:val="none"/>
                <w14:textFill>
                  <w14:solidFill>
                    <w14:schemeClr w14:val="tx1"/>
                  </w14:solidFill>
                </w14:textFill>
              </w:rPr>
              <w:t>接口*1，MIC 6.35</w:t>
            </w:r>
            <w:r>
              <w:rPr>
                <w:rFonts w:hint="eastAsia" w:ascii="宋体" w:hAnsi="宋体" w:eastAsia="宋体" w:cs="宋体"/>
                <w:b w:val="0"/>
                <w:bCs w:val="0"/>
                <w:color w:val="000000" w:themeColor="text1"/>
                <w:sz w:val="20"/>
                <w:szCs w:val="20"/>
                <w:highlight w:val="none"/>
                <w:lang w:val="zh-CN"/>
                <w14:textFill>
                  <w14:solidFill>
                    <w14:schemeClr w14:val="tx1"/>
                  </w14:solidFill>
                </w14:textFill>
              </w:rPr>
              <w:t>母座</w:t>
            </w:r>
            <w:r>
              <w:rPr>
                <w:rFonts w:hint="eastAsia" w:ascii="宋体" w:hAnsi="宋体" w:eastAsia="宋体" w:cs="宋体"/>
                <w:b w:val="0"/>
                <w:bCs w:val="0"/>
                <w:color w:val="000000" w:themeColor="text1"/>
                <w:sz w:val="20"/>
                <w:szCs w:val="20"/>
                <w:highlight w:val="none"/>
                <w14:textFill>
                  <w14:solidFill>
                    <w14:schemeClr w14:val="tx1"/>
                  </w14:solidFill>
                </w14:textFill>
              </w:rPr>
              <w:t>接口*1，网口*1，</w:t>
            </w:r>
            <w:r>
              <w:rPr>
                <w:rFonts w:hint="eastAsia" w:ascii="宋体" w:hAnsi="宋体" w:eastAsia="宋体" w:cs="宋体"/>
                <w:b w:val="0"/>
                <w:bCs w:val="0"/>
                <w:color w:val="000000" w:themeColor="text1"/>
                <w:sz w:val="20"/>
                <w:szCs w:val="20"/>
                <w:highlight w:val="none"/>
                <w:lang w:val="zh-CN"/>
                <w14:textFill>
                  <w14:solidFill>
                    <w14:schemeClr w14:val="tx1"/>
                  </w14:solidFill>
                </w14:textFill>
              </w:rPr>
              <w:t>三相方形电源接口</w:t>
            </w:r>
            <w:r>
              <w:rPr>
                <w:rFonts w:hint="eastAsia" w:ascii="宋体" w:hAnsi="宋体" w:eastAsia="宋体" w:cs="宋体"/>
                <w:b w:val="0"/>
                <w:bCs w:val="0"/>
                <w:color w:val="000000" w:themeColor="text1"/>
                <w:sz w:val="20"/>
                <w:szCs w:val="20"/>
                <w:highlight w:val="none"/>
                <w14:textFill>
                  <w14:solidFill>
                    <w14:schemeClr w14:val="tx1"/>
                  </w14:solidFill>
                </w14:textFill>
              </w:rPr>
              <w:t>*1。</w:t>
            </w:r>
          </w:p>
          <w:p>
            <w:pPr>
              <w:numPr>
                <w:ilvl w:val="-1"/>
                <w:numId w:val="0"/>
              </w:numPr>
              <w:ind w:left="0" w:firstLine="0"/>
              <w:textAlignment w:val="center"/>
              <w:rPr>
                <w:rFonts w:hint="eastAsia" w:ascii="宋体" w:hAnsi="宋体" w:eastAsia="宋体" w:cs="宋体"/>
                <w:b w:val="0"/>
                <w:bCs w:val="0"/>
                <w:color w:val="000000" w:themeColor="text1"/>
                <w:sz w:val="20"/>
                <w:szCs w:val="20"/>
                <w:highlight w:val="none"/>
                <w:lang w:eastAsia="zh-CN"/>
                <w14:textFill>
                  <w14:solidFill>
                    <w14:schemeClr w14:val="tx1"/>
                  </w14:solidFill>
                </w14:textFill>
              </w:rPr>
            </w:pP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6.</w:t>
            </w:r>
            <w:r>
              <w:rPr>
                <w:rFonts w:hint="eastAsia" w:ascii="宋体" w:hAnsi="宋体" w:eastAsia="宋体" w:cs="宋体"/>
                <w:b w:val="0"/>
                <w:bCs w:val="0"/>
                <w:color w:val="000000" w:themeColor="text1"/>
                <w:sz w:val="20"/>
                <w:szCs w:val="20"/>
                <w:highlight w:val="none"/>
                <w14:textFill>
                  <w14:solidFill>
                    <w14:schemeClr w14:val="tx1"/>
                  </w14:solidFill>
                </w14:textFill>
              </w:rPr>
              <w:t>讲桌采用分体式设计，下层采用拼装结构，讲桌内置固定螺丝孔位</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w:t>
            </w:r>
            <w:r>
              <w:rPr>
                <w:rFonts w:hint="eastAsia" w:ascii="宋体" w:hAnsi="宋体" w:eastAsia="宋体" w:cs="宋体"/>
                <w:b w:val="0"/>
                <w:bCs w:val="0"/>
                <w:color w:val="000000" w:themeColor="text1"/>
                <w:sz w:val="20"/>
                <w:szCs w:val="20"/>
                <w:highlight w:val="none"/>
                <w14:textFill>
                  <w14:solidFill>
                    <w14:schemeClr w14:val="tx1"/>
                  </w14:solidFill>
                </w14:textFill>
              </w:rPr>
              <w:t>安装简单，运输轻便。下层前后门采用整门设计，不做对开</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，四</w:t>
            </w:r>
            <w:r>
              <w:rPr>
                <w:rFonts w:hint="eastAsia" w:ascii="宋体" w:hAnsi="宋体" w:eastAsia="宋体" w:cs="宋体"/>
                <w:b w:val="0"/>
                <w:bCs w:val="0"/>
                <w:color w:val="000000" w:themeColor="text1"/>
                <w:sz w:val="20"/>
                <w:szCs w:val="20"/>
                <w:highlight w:val="none"/>
                <w14:textFill>
                  <w14:solidFill>
                    <w14:schemeClr w14:val="tx1"/>
                  </w14:solidFill>
                </w14:textFill>
              </w:rPr>
              <w:t>面留有</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敲落</w:t>
            </w:r>
            <w:r>
              <w:rPr>
                <w:rFonts w:hint="eastAsia" w:ascii="宋体" w:hAnsi="宋体" w:eastAsia="宋体" w:cs="宋体"/>
                <w:b w:val="0"/>
                <w:bCs w:val="0"/>
                <w:color w:val="000000" w:themeColor="text1"/>
                <w:sz w:val="20"/>
                <w:szCs w:val="20"/>
                <w:highlight w:val="none"/>
                <w14:textFill>
                  <w14:solidFill>
                    <w14:schemeClr w14:val="tx1"/>
                  </w14:solidFill>
                </w14:textFill>
              </w:rPr>
              <w:t>过线孔，下层</w:t>
            </w:r>
            <w:r>
              <w:rPr>
                <w:rFonts w:hint="eastAsia" w:ascii="宋体" w:hAnsi="宋体" w:eastAsia="宋体" w:cs="宋体"/>
                <w:b w:val="0"/>
                <w:bCs w:val="0"/>
                <w:color w:val="000000" w:themeColor="text1"/>
                <w:sz w:val="20"/>
                <w:szCs w:val="20"/>
                <w:highlight w:val="none"/>
                <w:lang w:val="en-US" w:eastAsia="zh-Hans"/>
                <w14:textFill>
                  <w14:solidFill>
                    <w14:schemeClr w14:val="tx1"/>
                  </w14:solidFill>
                </w14:textFill>
              </w:rPr>
              <w:t>左</w:t>
            </w:r>
            <w:r>
              <w:rPr>
                <w:rFonts w:hint="eastAsia" w:ascii="宋体" w:hAnsi="宋体" w:eastAsia="宋体" w:cs="宋体"/>
                <w:b w:val="0"/>
                <w:bCs w:val="0"/>
                <w:color w:val="000000" w:themeColor="text1"/>
                <w:sz w:val="20"/>
                <w:szCs w:val="20"/>
                <w:highlight w:val="none"/>
                <w:lang w:eastAsia="zh-Hans"/>
                <w14:textFill>
                  <w14:solidFill>
                    <w14:schemeClr w14:val="tx1"/>
                  </w14:solidFill>
                </w14:textFill>
              </w:rPr>
              <w:t>、</w:t>
            </w:r>
            <w:r>
              <w:rPr>
                <w:rFonts w:hint="eastAsia" w:ascii="宋体" w:hAnsi="宋体" w:eastAsia="宋体" w:cs="宋体"/>
                <w:b w:val="0"/>
                <w:bCs w:val="0"/>
                <w:color w:val="000000" w:themeColor="text1"/>
                <w:sz w:val="20"/>
                <w:szCs w:val="20"/>
                <w:highlight w:val="none"/>
                <w14:textFill>
                  <w14:solidFill>
                    <w14:schemeClr w14:val="tx1"/>
                  </w14:solidFill>
                </w14:textFill>
              </w:rPr>
              <w:t>右侧预留86盒安装孔；为考虑散热，采用竖排国标散热孔</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w:t>
            </w:r>
          </w:p>
          <w:p>
            <w:pPr>
              <w:numPr>
                <w:ilvl w:val="-1"/>
                <w:numId w:val="0"/>
              </w:numPr>
              <w:ind w:left="0" w:firstLine="0"/>
              <w:textAlignment w:val="center"/>
              <w:rPr>
                <w:rFonts w:hint="eastAsia" w:ascii="宋体" w:hAnsi="宋体" w:eastAsia="宋体" w:cs="宋体"/>
                <w:b w:val="0"/>
                <w:bCs w:val="0"/>
                <w:color w:val="000000" w:themeColor="text1"/>
                <w:sz w:val="21"/>
                <w:szCs w:val="21"/>
                <w:highlight w:val="none"/>
                <w14:textFill>
                  <w14:solidFill>
                    <w14:schemeClr w14:val="tx1"/>
                  </w14:solidFill>
                </w14:textFill>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8</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培训桌</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基材：采用优质环保刨花板，握钉力强，吸水膨胀率低，符合国家E1级环保标准。</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面材：采用优质环保三聚氰胺饰面人造板，硬度高，耐磨、耐热性好，表面平滑光洁，易维护清洁，。</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封边条：采用优质同色PVC封边条封四周（包括隐蔽处），封边平滑，严密平整，线条均匀，转角过渡自然，颜色与板材一致，经过刨光干燥防虫防腐等处理。</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可折叠钢制脚架。</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5.尺寸：W1200*D400*H750</w:t>
            </w:r>
            <w:r>
              <w:rPr>
                <w:rFonts w:hint="eastAsia" w:ascii="宋体" w:hAnsi="宋体" w:eastAsia="宋体" w:cs="宋体"/>
                <w:snapToGrid w:val="0"/>
                <w:color w:val="000000" w:themeColor="text1"/>
                <w:sz w:val="20"/>
                <w:szCs w:val="20"/>
                <w:highlight w:val="none"/>
                <w:lang w:bidi="ar"/>
                <w14:textFill>
                  <w14:solidFill>
                    <w14:schemeClr w14:val="tx1"/>
                  </w14:solidFill>
                </w14:textFill>
              </w:rPr>
              <w:t>mm</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16</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9</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培训椅</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 xml:space="preserve">1.饰面：椅背加厚竹节网，椅座采用优质棉绒弹力面料，符合GB 18401-2010国家纺织产品基本安全和FZ/T 62011.3-2016（布艺类产品家具用纺织品）技术规范要求。                                 </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2.海绵：优质高回弹密度发泡海绵，符合EPA 3540C：1996&amp;EPA3550C： 2000标准要求。</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3.胶粘剂：采用水基型胶粘剂, 符合GB18583-2008室内装饰装修材料胶粘剂中有害物质限量标准要求，游离甲醛和苯类化学物未检出存在。</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4.成型胶合板：四年桉木夹板，高硬度强粘合力，1.2-1.5CM厚度。GB/T9846-2015普通胶合板技术规范要求和GB18580-2001室内装饰装修材料人造板及其制品中甲醛释放限量。</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椅架：采用19*32腰鼓管，壁厚≥1.2mm，采用高精密机械手臂自动焊接，经除油除锈静电220度高温喷塑处理。椅子全折叠。椅子符合GB/T9286-1998喷涂附着力和GB/T2423.17-2008中性盐雾测试技术规范要求。可选固定，带轮，带写字板，带书网等配置，固定版本后脚带隐形滑轮</w:t>
            </w:r>
          </w:p>
          <w:p>
            <w:pPr>
              <w:textAlignment w:val="center"/>
              <w:rPr>
                <w:rFonts w:hint="default"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6.椅背：采用全新PP+纤维，塑料颗粒符合GB/T1843冲击强度测试等多项技术规范要求。环保可回收使用无污染，靠背带连体超厚耐力角码。通过120KG靠背拉力测试。不带桌板。</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7.尺寸:W</w:t>
            </w:r>
            <w:r>
              <w:rPr>
                <w:rFonts w:hint="eastAsia" w:ascii="宋体" w:hAnsi="宋体" w:eastAsia="宋体" w:cs="宋体"/>
                <w:snapToGrid w:val="0"/>
                <w:color w:val="000000" w:themeColor="text1"/>
                <w:sz w:val="20"/>
                <w:szCs w:val="20"/>
                <w:highlight w:val="none"/>
                <w:lang w:bidi="ar"/>
                <w14:textFill>
                  <w14:solidFill>
                    <w14:schemeClr w14:val="tx1"/>
                  </w14:solidFill>
                </w14:textFill>
              </w:rPr>
              <w:t>620*</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D</w:t>
            </w:r>
            <w:r>
              <w:rPr>
                <w:rFonts w:hint="eastAsia" w:ascii="宋体" w:hAnsi="宋体" w:eastAsia="宋体" w:cs="宋体"/>
                <w:snapToGrid w:val="0"/>
                <w:color w:val="000000" w:themeColor="text1"/>
                <w:sz w:val="20"/>
                <w:szCs w:val="20"/>
                <w:highlight w:val="none"/>
                <w:lang w:bidi="ar"/>
                <w14:textFill>
                  <w14:solidFill>
                    <w14:schemeClr w14:val="tx1"/>
                  </w14:solidFill>
                </w14:textFill>
              </w:rPr>
              <w:t>595*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H</w:t>
            </w:r>
            <w:r>
              <w:rPr>
                <w:rFonts w:hint="eastAsia" w:ascii="宋体" w:hAnsi="宋体" w:eastAsia="宋体" w:cs="宋体"/>
                <w:snapToGrid w:val="0"/>
                <w:color w:val="000000" w:themeColor="text1"/>
                <w:sz w:val="20"/>
                <w:szCs w:val="20"/>
                <w:highlight w:val="none"/>
                <w:lang w:bidi="ar"/>
                <w14:textFill>
                  <w14:solidFill>
                    <w14:schemeClr w14:val="tx1"/>
                  </w14:solidFill>
                </w14:textFill>
              </w:rPr>
              <w:t>865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mm。</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33</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trHeight w:val="402" w:hRule="atLeast"/>
        </w:trPr>
        <w:tc>
          <w:tcPr>
            <w:tcW w:w="90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b/>
                <w:bCs/>
                <w:snapToGrid w:val="0"/>
                <w:color w:val="000000" w:themeColor="text1"/>
                <w:sz w:val="20"/>
                <w:szCs w:val="20"/>
                <w:highlight w:val="none"/>
                <w:lang w:val="en-US" w:eastAsia="zh-CN" w:bidi="ar"/>
                <w14:textFill>
                  <w14:solidFill>
                    <w14:schemeClr w14:val="tx1"/>
                  </w14:solidFill>
                </w14:textFill>
              </w:rPr>
              <w:t>五、控制室设备</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监控屏</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1"/>
                <w:numId w:val="0"/>
              </w:numPr>
              <w:ind w:left="0" w:firstLine="0"/>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采用工业级液晶面板，超长寿命LED背光源，适合7*24小时连续工作，专为监控设计</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ind w:left="0" w:firstLine="0"/>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四等边设计、隐藏式红外接收</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ind w:left="0" w:firstLine="0"/>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80英寸液晶显示屏</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4K超高清显示，1.07B显示色彩</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ind w:left="0" w:firstLine="0"/>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采用自动色彩及图像增强处理器</w:t>
            </w:r>
          </w:p>
          <w:p>
            <w:pPr>
              <w:numPr>
                <w:ilvl w:val="-1"/>
                <w:numId w:val="0"/>
              </w:numPr>
              <w:ind w:left="0" w:firstLine="0"/>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高亮度、高对比度、高清晰度，提升画面层次感</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ind w:left="0" w:firstLine="0"/>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画面快速响应，无拖尾</w:t>
            </w:r>
          </w:p>
          <w:p>
            <w:pPr>
              <w:numPr>
                <w:ilvl w:val="-1"/>
                <w:numId w:val="0"/>
              </w:numPr>
              <w:ind w:left="0" w:firstLine="0"/>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自动消除残影功能，保护液晶屏的长期使用</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p>
            <w:pPr>
              <w:numPr>
                <w:ilvl w:val="-1"/>
                <w:numId w:val="0"/>
              </w:numPr>
              <w:ind w:left="0" w:firstLine="0"/>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8.</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专业散热设计，延长设备使用寿命</w:t>
            </w:r>
            <w:r>
              <w:rPr>
                <w:rFonts w:hint="eastAsia" w:ascii="宋体" w:hAnsi="宋体" w:eastAsia="宋体" w:cs="宋体"/>
                <w:snapToGrid w:val="0"/>
                <w:color w:val="000000" w:themeColor="text1"/>
                <w:sz w:val="20"/>
                <w:szCs w:val="20"/>
                <w:highlight w:val="none"/>
                <w:lang w:eastAsia="zh-CN" w:bidi="ar"/>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1</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块</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操控台</w:t>
            </w:r>
          </w:p>
        </w:tc>
        <w:tc>
          <w:tcPr>
            <w:tcW w:w="68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木质部分采用优质E1级三胺板,优质绿色环保产品,(厚度≥.8mm)贴面，优质PVC(厚度≥mm)封边，具有良好的抗耐磨、抗刻划、耐高温、易清洁等优点，颜色可选配。</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工艺流程：均匀数控剪切，平稳冲压，2.5倍内折弯，无焦点焊接，打沙，脱脂，酸洗，防锈磷化，静电喷塑。</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主体框架：材质为冷轧镀锌钢板SGCC冲压折弯成型，通风散热系统。</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散热：调度控制台底部设计空间大，四周有门，前后门上有散气孔，可实现空气对流通畅，使设备安全性得到有效保证</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理线：调度控制台内部设计专业的强弱电布线设计，将电源线与信号线使用专业线槽分开布置，确保不互相干扰。</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6.操控台下方带有收纳储物空间。</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7.尺寸：W1800*D900*H750mm</w:t>
            </w:r>
            <w:r>
              <w:rPr>
                <w:rFonts w:hint="eastAsia" w:ascii="宋体" w:hAnsi="宋体" w:eastAsia="宋体" w:cs="宋体"/>
                <w:snapToGrid w:val="0"/>
                <w:color w:val="000000" w:themeColor="text1"/>
                <w:sz w:val="18"/>
                <w:szCs w:val="18"/>
                <w:highlight w:val="none"/>
                <w:lang w:val="en-US" w:eastAsia="zh-CN" w:bidi="ar"/>
                <w14:textFill>
                  <w14:solidFill>
                    <w14:schemeClr w14:val="tx1"/>
                  </w14:solidFill>
                </w14:textFill>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办公椅</w:t>
            </w:r>
          </w:p>
        </w:tc>
        <w:tc>
          <w:tcPr>
            <w:tcW w:w="6855" w:type="dxa"/>
            <w:tcBorders>
              <w:top w:val="single" w:color="000000" w:sz="4" w:space="0"/>
              <w:left w:val="single" w:color="000000" w:sz="4" w:space="0"/>
              <w:bottom w:val="single" w:color="auto"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面料：椅背采用优质高级加密加厚透气阻燃网布，具有防潮、防污、易清洁等优点。</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海绵：采用优质高密度阻燃定型海绵，表面有防腐化和防变型保护膜，防破碎、抗氧化，软硬适中，回弹性能好，抗变形能力强，根椐人体工程学原理设计，坐感舒适。</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3</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扶手：采用玻纤增强PP材料，具有较强的承重力，耐磨不掉皮、不变色，握感平滑，稳固耐用。</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4</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气压棒：采用优质气压棒，气动升降平稳、无漏气、无燥音。</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5</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脚架：采用优质尼龙五星脚架。</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6</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脚轮：采用优质尼龙脚轮，移动流畅、杂音小，耐磨性好。</w:t>
            </w:r>
          </w:p>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7.尺寸：W600*D660*H1225mm</w:t>
            </w:r>
            <w:r>
              <w:rPr>
                <w:rFonts w:hint="eastAsia" w:ascii="宋体" w:hAnsi="宋体" w:eastAsia="宋体" w:cs="宋体"/>
                <w:snapToGrid w:val="0"/>
                <w:color w:val="000000" w:themeColor="text1"/>
                <w:sz w:val="18"/>
                <w:szCs w:val="18"/>
                <w:highlight w:val="none"/>
                <w:lang w:val="en-US" w:eastAsia="zh-CN" w:bidi="ar"/>
                <w14:textFill>
                  <w14:solidFill>
                    <w14:schemeClr w14:val="tx1"/>
                  </w14:solidFill>
                </w14:textFill>
              </w:rPr>
              <w:t>。</w:t>
            </w:r>
          </w:p>
        </w:tc>
        <w:tc>
          <w:tcPr>
            <w:tcW w:w="450"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张</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4</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收纳柜</w:t>
            </w:r>
          </w:p>
        </w:tc>
        <w:tc>
          <w:tcPr>
            <w:tcW w:w="6855" w:type="dxa"/>
            <w:tcBorders>
              <w:top w:val="single" w:color="000000" w:sz="4" w:space="0"/>
              <w:left w:val="single" w:color="000000" w:sz="4" w:space="0"/>
              <w:bottom w:val="single" w:color="auto" w:sz="4" w:space="0"/>
              <w:right w:val="single" w:color="000000"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1</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基材：采用厚度0.6mm优质电解钢板冲压而成，产品表面经除油、清洗、去锈、磷化清洗、预处理、清洗、钝化等九道工序处理，具有极强的抗酸性、防腐性、防锈性、防蚀性。</w:t>
            </w:r>
          </w:p>
          <w:p>
            <w:pPr>
              <w:textAlignment w:val="center"/>
              <w:rPr>
                <w:rFonts w:hint="eastAsia" w:ascii="宋体" w:hAnsi="宋体" w:eastAsia="宋体" w:cs="宋体"/>
                <w:snapToGrid w:val="0"/>
                <w:color w:val="000000" w:themeColor="text1"/>
                <w:sz w:val="20"/>
                <w:szCs w:val="20"/>
                <w:highlight w:val="none"/>
                <w:lang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2</w:t>
            </w: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w:t>
            </w:r>
            <w:r>
              <w:rPr>
                <w:rFonts w:hint="eastAsia" w:ascii="宋体" w:hAnsi="宋体" w:eastAsia="宋体" w:cs="宋体"/>
                <w:snapToGrid w:val="0"/>
                <w:color w:val="000000" w:themeColor="text1"/>
                <w:sz w:val="20"/>
                <w:szCs w:val="20"/>
                <w:highlight w:val="none"/>
                <w:lang w:bidi="ar"/>
                <w14:textFill>
                  <w14:solidFill>
                    <w14:schemeClr w14:val="tx1"/>
                  </w14:solidFill>
                </w14:textFill>
              </w:rPr>
              <w:t>涂料：采用优质抗菌喷涂粉末（塑粉），喷塑表面平整、光滑，无流挂、起料、皱皮、露底脱落、伤痕等影响质量的缺陷。</w:t>
            </w:r>
          </w:p>
          <w:p>
            <w:pPr>
              <w:textAlignment w:val="cente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3.尺寸：W850*D390*H1800mm</w:t>
            </w:r>
          </w:p>
        </w:tc>
        <w:tc>
          <w:tcPr>
            <w:tcW w:w="450"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p>
        </w:tc>
        <w:tc>
          <w:tcPr>
            <w:tcW w:w="3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个</w:t>
            </w:r>
          </w:p>
        </w:tc>
      </w:tr>
      <w:tr>
        <w:tblPrEx>
          <w:tblCellMar>
            <w:top w:w="0" w:type="dxa"/>
            <w:left w:w="108" w:type="dxa"/>
            <w:bottom w:w="0" w:type="dxa"/>
            <w:right w:w="108" w:type="dxa"/>
          </w:tblCellMar>
        </w:tblPrEx>
        <w:trPr>
          <w:trHeight w:val="402" w:hRule="atLeast"/>
        </w:trPr>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5</w:t>
            </w:r>
          </w:p>
        </w:tc>
        <w:tc>
          <w:tcPr>
            <w:tcW w:w="841" w:type="dxa"/>
            <w:tcBorders>
              <w:top w:val="single" w:color="000000" w:sz="4" w:space="0"/>
              <w:left w:val="single" w:color="000000" w:sz="4" w:space="0"/>
              <w:bottom w:val="single" w:color="000000" w:sz="4" w:space="0"/>
              <w:right w:val="single" w:color="auto" w:sz="4" w:space="0"/>
            </w:tcBorders>
            <w:shd w:val="clear" w:color="auto" w:fill="auto"/>
            <w:vAlign w:val="center"/>
          </w:tcPr>
          <w:p>
            <w:pP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bidi="ar"/>
                <w14:textFill>
                  <w14:solidFill>
                    <w14:schemeClr w14:val="tx1"/>
                  </w14:solidFill>
                </w14:textFill>
              </w:rPr>
              <w:t>桌面控制主机</w:t>
            </w:r>
          </w:p>
        </w:tc>
        <w:tc>
          <w:tcPr>
            <w:tcW w:w="6855"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auto"/>
              <w:rPr>
                <w:rFonts w:hint="eastAsia" w:ascii="宋体" w:hAnsi="宋体" w:eastAsia="宋体" w:cs="宋体"/>
                <w:snapToGrid/>
                <w:color w:val="000000" w:themeColor="text1"/>
                <w:sz w:val="21"/>
                <w:szCs w:val="24"/>
                <w:highlight w:val="none"/>
                <w:lang w:bidi="ar"/>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bidi="ar"/>
                <w14:textFill>
                  <w14:solidFill>
                    <w14:schemeClr w14:val="tx1"/>
                  </w14:solidFill>
                </w14:textFill>
              </w:rPr>
              <w:t>8G内存，</w:t>
            </w:r>
            <w:r>
              <w:rPr>
                <w:rFonts w:hint="eastAsia" w:ascii="宋体" w:hAnsi="宋体" w:eastAsia="宋体" w:cs="宋体"/>
                <w:color w:val="000000" w:themeColor="text1"/>
                <w:highlight w:val="none"/>
                <w:lang w:val="en-US" w:eastAsia="zh-CN" w:bidi="ar"/>
                <w14:textFill>
                  <w14:solidFill>
                    <w14:schemeClr w14:val="tx1"/>
                  </w14:solidFill>
                </w14:textFill>
              </w:rPr>
              <w:t>优于或相当于</w:t>
            </w:r>
            <w:r>
              <w:rPr>
                <w:rFonts w:hint="eastAsia" w:ascii="宋体" w:hAnsi="宋体" w:eastAsia="宋体" w:cs="宋体"/>
                <w:color w:val="000000" w:themeColor="text1"/>
                <w:highlight w:val="none"/>
                <w:lang w:bidi="ar"/>
                <w14:textFill>
                  <w14:solidFill>
                    <w14:schemeClr w14:val="tx1"/>
                  </w14:solidFill>
                </w14:textFill>
              </w:rPr>
              <w:t>256G SSD，</w:t>
            </w:r>
            <w:r>
              <w:rPr>
                <w:rFonts w:hint="eastAsia" w:ascii="宋体" w:hAnsi="宋体" w:eastAsia="宋体" w:cs="宋体"/>
                <w:color w:val="000000" w:themeColor="text1"/>
                <w:highlight w:val="none"/>
                <w:lang w:val="en-US" w:eastAsia="zh-CN" w:bidi="ar"/>
                <w14:textFill>
                  <w14:solidFill>
                    <w14:schemeClr w14:val="tx1"/>
                  </w14:solidFill>
                </w14:textFill>
              </w:rPr>
              <w:t>优于或相当于</w:t>
            </w:r>
            <w:r>
              <w:rPr>
                <w:rFonts w:hint="eastAsia" w:ascii="宋体" w:hAnsi="宋体" w:eastAsia="宋体" w:cs="宋体"/>
                <w:color w:val="000000" w:themeColor="text1"/>
                <w:highlight w:val="none"/>
                <w:lang w:bidi="ar"/>
                <w14:textFill>
                  <w14:solidFill>
                    <w14:schemeClr w14:val="tx1"/>
                  </w14:solidFill>
                </w14:textFill>
              </w:rPr>
              <w:t>1T HD，</w:t>
            </w:r>
            <w:r>
              <w:rPr>
                <w:rFonts w:hint="eastAsia" w:ascii="宋体" w:hAnsi="宋体" w:eastAsia="宋体" w:cs="宋体"/>
                <w:color w:val="000000" w:themeColor="text1"/>
                <w:highlight w:val="none"/>
                <w:lang w:val="en-US" w:eastAsia="zh-CN" w:bidi="ar"/>
                <w14:textFill>
                  <w14:solidFill>
                    <w14:schemeClr w14:val="tx1"/>
                  </w14:solidFill>
                </w14:textFill>
              </w:rPr>
              <w:t>优于或相当于</w:t>
            </w:r>
            <w:r>
              <w:rPr>
                <w:rFonts w:hint="eastAsia" w:ascii="宋体" w:hAnsi="宋体" w:eastAsia="宋体" w:cs="宋体"/>
                <w:color w:val="000000" w:themeColor="text1"/>
                <w:highlight w:val="none"/>
                <w:lang w:bidi="ar"/>
                <w14:textFill>
                  <w14:solidFill>
                    <w14:schemeClr w14:val="tx1"/>
                  </w14:solidFill>
                </w14:textFill>
              </w:rPr>
              <w:t>4</w:t>
            </w:r>
            <w:r>
              <w:rPr>
                <w:rFonts w:hint="eastAsia" w:ascii="宋体" w:hAnsi="宋体" w:eastAsia="宋体" w:cs="宋体"/>
                <w:color w:val="000000" w:themeColor="text1"/>
                <w:highlight w:val="none"/>
                <w:lang w:val="en-US" w:eastAsia="zh-CN" w:bidi="ar"/>
                <w14:textFill>
                  <w14:solidFill>
                    <w14:schemeClr w14:val="tx1"/>
                  </w14:solidFill>
                </w14:textFill>
              </w:rPr>
              <w:t>G</w:t>
            </w:r>
            <w:r>
              <w:rPr>
                <w:rFonts w:hint="eastAsia" w:ascii="宋体" w:hAnsi="宋体" w:eastAsia="宋体" w:cs="宋体"/>
                <w:color w:val="000000" w:themeColor="text1"/>
                <w:highlight w:val="none"/>
                <w:lang w:bidi="ar"/>
                <w14:textFill>
                  <w14:solidFill>
                    <w14:schemeClr w14:val="tx1"/>
                  </w14:solidFill>
                </w14:textFill>
              </w:rPr>
              <w:t>显卡，</w:t>
            </w:r>
            <w:r>
              <w:rPr>
                <w:rFonts w:hint="eastAsia"/>
                <w:color w:val="000000" w:themeColor="text1"/>
                <w:highlight w:val="none"/>
                <w:lang w:val="en-US" w:eastAsia="zh-CN"/>
                <w14:textFill>
                  <w14:solidFill>
                    <w14:schemeClr w14:val="tx1"/>
                  </w14:solidFill>
                </w14:textFill>
              </w:rPr>
              <w:t>国产化</w:t>
            </w:r>
            <w:r>
              <w:rPr>
                <w:rFonts w:hint="eastAsia" w:ascii="宋体" w:hAnsi="宋体" w:eastAsia="宋体" w:cs="宋体"/>
                <w:color w:val="000000" w:themeColor="text1"/>
                <w:highlight w:val="none"/>
                <w:lang w:bidi="ar"/>
                <w14:textFill>
                  <w14:solidFill>
                    <w14:schemeClr w14:val="tx1"/>
                  </w14:solidFill>
                </w14:textFill>
              </w:rPr>
              <w:t>电脑，含桌面显示器、鼠标键盘、统信操作系统</w:t>
            </w:r>
            <w:r>
              <w:rPr>
                <w:rFonts w:hint="eastAsia"/>
                <w:color w:val="000000" w:themeColor="text1"/>
                <w:highlight w:val="none"/>
                <w:lang w:eastAsia="zh-CN"/>
                <w14:textFill>
                  <w14:solidFill>
                    <w14:schemeClr w14:val="tx1"/>
                  </w14:solidFill>
                </w14:textFill>
              </w:rPr>
              <w:t>。</w:t>
            </w:r>
          </w:p>
        </w:tc>
        <w:tc>
          <w:tcPr>
            <w:tcW w:w="4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2</w:t>
            </w:r>
          </w:p>
        </w:tc>
        <w:tc>
          <w:tcPr>
            <w:tcW w:w="375"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textAlignment w:val="cente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pPr>
            <w:r>
              <w:rPr>
                <w:rFonts w:hint="eastAsia" w:ascii="宋体" w:hAnsi="宋体" w:eastAsia="宋体" w:cs="宋体"/>
                <w:snapToGrid w:val="0"/>
                <w:color w:val="000000" w:themeColor="text1"/>
                <w:sz w:val="20"/>
                <w:szCs w:val="20"/>
                <w:highlight w:val="none"/>
                <w:lang w:val="en-US" w:eastAsia="zh-CN" w:bidi="ar"/>
                <w14:textFill>
                  <w14:solidFill>
                    <w14:schemeClr w14:val="tx1"/>
                  </w14:solidFill>
                </w14:textFill>
              </w:rPr>
              <w:t>套</w:t>
            </w:r>
          </w:p>
        </w:tc>
      </w:tr>
    </w:tbl>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p>
    <w:p>
      <w:pPr>
        <w:numPr>
          <w:ilvl w:val="0"/>
          <w:numId w:val="17"/>
        </w:numPr>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团队人员安排</w:t>
      </w:r>
    </w:p>
    <w:p>
      <w:pPr>
        <w:widowControl w:val="0"/>
        <w:numPr>
          <w:ilvl w:val="0"/>
          <w:numId w:val="0"/>
        </w:numPr>
        <w:ind w:firstLine="420" w:firstLineChars="200"/>
        <w:jc w:val="both"/>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为保障项目执行</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项目负责人（1名）</w:t>
      </w:r>
      <w:r>
        <w:rPr>
          <w:rFonts w:hint="eastAsia" w:ascii="宋体" w:hAnsi="宋体" w:eastAsia="宋体" w:cs="宋体"/>
          <w:color w:val="000000" w:themeColor="text1"/>
          <w:highlight w:val="none"/>
          <w:lang w:val="en-US" w:eastAsia="zh-CN"/>
          <w14:textFill>
            <w14:solidFill>
              <w14:schemeClr w14:val="tx1"/>
            </w14:solidFill>
          </w14:textFill>
        </w:rPr>
        <w:t>需</w:t>
      </w:r>
      <w:r>
        <w:rPr>
          <w:rFonts w:hint="eastAsia" w:ascii="宋体" w:hAnsi="宋体" w:eastAsia="宋体" w:cs="宋体"/>
          <w:color w:val="000000" w:themeColor="text1"/>
          <w:highlight w:val="none"/>
          <w14:textFill>
            <w14:solidFill>
              <w14:schemeClr w14:val="tx1"/>
            </w14:solidFill>
          </w14:textFill>
        </w:rPr>
        <w:t>具备信息系统项目管理师</w:t>
      </w:r>
      <w:r>
        <w:rPr>
          <w:rFonts w:hint="eastAsia" w:ascii="宋体" w:hAnsi="宋体" w:eastAsia="宋体" w:cs="宋体"/>
          <w:color w:val="000000" w:themeColor="text1"/>
          <w:highlight w:val="none"/>
          <w:lang w:val="en-US" w:eastAsia="zh-CN"/>
          <w14:textFill>
            <w14:solidFill>
              <w14:schemeClr w14:val="tx1"/>
            </w14:solidFill>
          </w14:textFill>
        </w:rPr>
        <w:t>证书</w:t>
      </w:r>
      <w:r>
        <w:rPr>
          <w:rFonts w:hint="eastAsia" w:ascii="宋体" w:hAnsi="宋体" w:eastAsia="宋体" w:cs="宋体"/>
          <w:color w:val="000000" w:themeColor="text1"/>
          <w:highlight w:val="none"/>
          <w14:textFill>
            <w14:solidFill>
              <w14:schemeClr w14:val="tx1"/>
            </w14:solidFill>
          </w14:textFill>
        </w:rPr>
        <w:t>。</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94E7A6"/>
    <w:multiLevelType w:val="singleLevel"/>
    <w:tmpl w:val="E494E7A6"/>
    <w:lvl w:ilvl="0" w:tentative="0">
      <w:start w:val="5"/>
      <w:numFmt w:val="chineseCounting"/>
      <w:suff w:val="nothing"/>
      <w:lvlText w:val="%1、"/>
      <w:lvlJc w:val="left"/>
      <w:rPr>
        <w:rFonts w:hint="eastAsia"/>
      </w:rPr>
    </w:lvl>
  </w:abstractNum>
  <w:abstractNum w:abstractNumId="1">
    <w:nsid w:val="020E1470"/>
    <w:multiLevelType w:val="multilevel"/>
    <w:tmpl w:val="020E1470"/>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
    <w:nsid w:val="11051763"/>
    <w:multiLevelType w:val="multilevel"/>
    <w:tmpl w:val="11051763"/>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3">
    <w:nsid w:val="151E6562"/>
    <w:multiLevelType w:val="multilevel"/>
    <w:tmpl w:val="151E6562"/>
    <w:lvl w:ilvl="0" w:tentative="0">
      <w:start w:val="1"/>
      <w:numFmt w:val="decimal"/>
      <w:lvlText w:val="%1)"/>
      <w:lvlJc w:val="left"/>
      <w:pPr>
        <w:ind w:left="922" w:hanging="440"/>
      </w:p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4">
    <w:nsid w:val="18CC10A5"/>
    <w:multiLevelType w:val="multilevel"/>
    <w:tmpl w:val="18CC10A5"/>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5">
    <w:nsid w:val="19DB0F6E"/>
    <w:multiLevelType w:val="multilevel"/>
    <w:tmpl w:val="19DB0F6E"/>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6">
    <w:nsid w:val="25DB7929"/>
    <w:multiLevelType w:val="multilevel"/>
    <w:tmpl w:val="25DB7929"/>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26195280"/>
    <w:multiLevelType w:val="multilevel"/>
    <w:tmpl w:val="26195280"/>
    <w:lvl w:ilvl="0" w:tentative="0">
      <w:start w:val="1"/>
      <w:numFmt w:val="decimal"/>
      <w:suff w:val="space"/>
      <w:lvlText w:val="%1"/>
      <w:lvlJc w:val="center"/>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2BE0F8F5"/>
    <w:multiLevelType w:val="multilevel"/>
    <w:tmpl w:val="2BE0F8F5"/>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9">
    <w:nsid w:val="408F6370"/>
    <w:multiLevelType w:val="multilevel"/>
    <w:tmpl w:val="408F6370"/>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0">
    <w:nsid w:val="479A1DA5"/>
    <w:multiLevelType w:val="multilevel"/>
    <w:tmpl w:val="479A1DA5"/>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1">
    <w:nsid w:val="5387243B"/>
    <w:multiLevelType w:val="multilevel"/>
    <w:tmpl w:val="5387243B"/>
    <w:lvl w:ilvl="0" w:tentative="0">
      <w:start w:val="1"/>
      <w:numFmt w:val="decimal"/>
      <w:lvlText w:val="%1)"/>
      <w:lvlJc w:val="left"/>
      <w:pPr>
        <w:ind w:left="919" w:hanging="440"/>
      </w:pPr>
    </w:lvl>
    <w:lvl w:ilvl="1" w:tentative="0">
      <w:start w:val="1"/>
      <w:numFmt w:val="lowerLetter"/>
      <w:lvlText w:val="%2)"/>
      <w:lvlJc w:val="left"/>
      <w:pPr>
        <w:ind w:left="1359" w:hanging="440"/>
      </w:pPr>
    </w:lvl>
    <w:lvl w:ilvl="2" w:tentative="0">
      <w:start w:val="1"/>
      <w:numFmt w:val="lowerRoman"/>
      <w:lvlText w:val="%3."/>
      <w:lvlJc w:val="right"/>
      <w:pPr>
        <w:ind w:left="1799" w:hanging="440"/>
      </w:pPr>
    </w:lvl>
    <w:lvl w:ilvl="3" w:tentative="0">
      <w:start w:val="1"/>
      <w:numFmt w:val="decimal"/>
      <w:lvlText w:val="%4."/>
      <w:lvlJc w:val="left"/>
      <w:pPr>
        <w:ind w:left="2239" w:hanging="440"/>
      </w:pPr>
    </w:lvl>
    <w:lvl w:ilvl="4" w:tentative="0">
      <w:start w:val="1"/>
      <w:numFmt w:val="lowerLetter"/>
      <w:lvlText w:val="%5)"/>
      <w:lvlJc w:val="left"/>
      <w:pPr>
        <w:ind w:left="2679" w:hanging="440"/>
      </w:pPr>
    </w:lvl>
    <w:lvl w:ilvl="5" w:tentative="0">
      <w:start w:val="1"/>
      <w:numFmt w:val="lowerRoman"/>
      <w:lvlText w:val="%6."/>
      <w:lvlJc w:val="right"/>
      <w:pPr>
        <w:ind w:left="3119" w:hanging="440"/>
      </w:pPr>
    </w:lvl>
    <w:lvl w:ilvl="6" w:tentative="0">
      <w:start w:val="1"/>
      <w:numFmt w:val="decimal"/>
      <w:lvlText w:val="%7."/>
      <w:lvlJc w:val="left"/>
      <w:pPr>
        <w:ind w:left="3559" w:hanging="440"/>
      </w:pPr>
    </w:lvl>
    <w:lvl w:ilvl="7" w:tentative="0">
      <w:start w:val="1"/>
      <w:numFmt w:val="lowerLetter"/>
      <w:lvlText w:val="%8)"/>
      <w:lvlJc w:val="left"/>
      <w:pPr>
        <w:ind w:left="3999" w:hanging="440"/>
      </w:pPr>
    </w:lvl>
    <w:lvl w:ilvl="8" w:tentative="0">
      <w:start w:val="1"/>
      <w:numFmt w:val="lowerRoman"/>
      <w:lvlText w:val="%9."/>
      <w:lvlJc w:val="right"/>
      <w:pPr>
        <w:ind w:left="4439" w:hanging="440"/>
      </w:pPr>
    </w:lvl>
  </w:abstractNum>
  <w:abstractNum w:abstractNumId="12">
    <w:nsid w:val="578A7FE4"/>
    <w:multiLevelType w:val="multilevel"/>
    <w:tmpl w:val="578A7FE4"/>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3">
    <w:nsid w:val="62005FE0"/>
    <w:multiLevelType w:val="multilevel"/>
    <w:tmpl w:val="62005FE0"/>
    <w:lvl w:ilvl="0" w:tentative="0">
      <w:start w:val="1"/>
      <w:numFmt w:val="decimal"/>
      <w:lvlText w:val="%1)"/>
      <w:lvlJc w:val="left"/>
      <w:pPr>
        <w:ind w:left="922" w:hanging="440"/>
      </w:p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4">
    <w:nsid w:val="68F30A3E"/>
    <w:multiLevelType w:val="multilevel"/>
    <w:tmpl w:val="68F30A3E"/>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5">
    <w:nsid w:val="784E0AB5"/>
    <w:multiLevelType w:val="multilevel"/>
    <w:tmpl w:val="784E0AB5"/>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7C540291"/>
    <w:multiLevelType w:val="multilevel"/>
    <w:tmpl w:val="7C540291"/>
    <w:lvl w:ilvl="0" w:tentative="0">
      <w:start w:val="1"/>
      <w:numFmt w:val="decimal"/>
      <w:lvlText w:val="%1)"/>
      <w:lvlJc w:val="left"/>
      <w:pPr>
        <w:ind w:left="970" w:hanging="440"/>
      </w:pPr>
    </w:lvl>
    <w:lvl w:ilvl="1" w:tentative="0">
      <w:start w:val="1"/>
      <w:numFmt w:val="lowerLetter"/>
      <w:lvlText w:val="%2)"/>
      <w:lvlJc w:val="left"/>
      <w:pPr>
        <w:ind w:left="1410" w:hanging="440"/>
      </w:pPr>
    </w:lvl>
    <w:lvl w:ilvl="2" w:tentative="0">
      <w:start w:val="1"/>
      <w:numFmt w:val="lowerRoman"/>
      <w:lvlText w:val="%3."/>
      <w:lvlJc w:val="right"/>
      <w:pPr>
        <w:ind w:left="1850" w:hanging="440"/>
      </w:pPr>
    </w:lvl>
    <w:lvl w:ilvl="3" w:tentative="0">
      <w:start w:val="1"/>
      <w:numFmt w:val="decimal"/>
      <w:lvlText w:val="%4."/>
      <w:lvlJc w:val="left"/>
      <w:pPr>
        <w:ind w:left="2290" w:hanging="440"/>
      </w:pPr>
    </w:lvl>
    <w:lvl w:ilvl="4" w:tentative="0">
      <w:start w:val="1"/>
      <w:numFmt w:val="lowerLetter"/>
      <w:lvlText w:val="%5)"/>
      <w:lvlJc w:val="left"/>
      <w:pPr>
        <w:ind w:left="2730" w:hanging="440"/>
      </w:pPr>
    </w:lvl>
    <w:lvl w:ilvl="5" w:tentative="0">
      <w:start w:val="1"/>
      <w:numFmt w:val="lowerRoman"/>
      <w:lvlText w:val="%6."/>
      <w:lvlJc w:val="right"/>
      <w:pPr>
        <w:ind w:left="3170" w:hanging="440"/>
      </w:pPr>
    </w:lvl>
    <w:lvl w:ilvl="6" w:tentative="0">
      <w:start w:val="1"/>
      <w:numFmt w:val="decimal"/>
      <w:lvlText w:val="%7."/>
      <w:lvlJc w:val="left"/>
      <w:pPr>
        <w:ind w:left="3610" w:hanging="440"/>
      </w:pPr>
    </w:lvl>
    <w:lvl w:ilvl="7" w:tentative="0">
      <w:start w:val="1"/>
      <w:numFmt w:val="lowerLetter"/>
      <w:lvlText w:val="%8)"/>
      <w:lvlJc w:val="left"/>
      <w:pPr>
        <w:ind w:left="4050" w:hanging="440"/>
      </w:pPr>
    </w:lvl>
    <w:lvl w:ilvl="8" w:tentative="0">
      <w:start w:val="1"/>
      <w:numFmt w:val="lowerRoman"/>
      <w:lvlText w:val="%9."/>
      <w:lvlJc w:val="right"/>
      <w:pPr>
        <w:ind w:left="4490" w:hanging="440"/>
      </w:pPr>
    </w:lvl>
  </w:abstractNum>
  <w:num w:numId="1">
    <w:abstractNumId w:val="7"/>
  </w:num>
  <w:num w:numId="2">
    <w:abstractNumId w:val="12"/>
  </w:num>
  <w:num w:numId="3">
    <w:abstractNumId w:val="6"/>
  </w:num>
  <w:num w:numId="4">
    <w:abstractNumId w:val="14"/>
  </w:num>
  <w:num w:numId="5">
    <w:abstractNumId w:val="5"/>
  </w:num>
  <w:num w:numId="6">
    <w:abstractNumId w:val="13"/>
  </w:num>
  <w:num w:numId="7">
    <w:abstractNumId w:val="3"/>
  </w:num>
  <w:num w:numId="8">
    <w:abstractNumId w:val="2"/>
  </w:num>
  <w:num w:numId="9">
    <w:abstractNumId w:val="16"/>
  </w:num>
  <w:num w:numId="10">
    <w:abstractNumId w:val="4"/>
  </w:num>
  <w:num w:numId="11">
    <w:abstractNumId w:val="11"/>
  </w:num>
  <w:num w:numId="12">
    <w:abstractNumId w:val="1"/>
  </w:num>
  <w:num w:numId="13">
    <w:abstractNumId w:val="8"/>
  </w:num>
  <w:num w:numId="14">
    <w:abstractNumId w:val="9"/>
  </w:num>
  <w:num w:numId="15">
    <w:abstractNumId w:val="10"/>
  </w:num>
  <w:num w:numId="16">
    <w:abstractNumId w:val="1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4YWU1NWJiMmM4MWIxYzYyMGIyYTEyNDRiOGVmODYifQ=="/>
  </w:docVars>
  <w:rsids>
    <w:rsidRoot w:val="04AE3D4A"/>
    <w:rsid w:val="04AE3D4A"/>
    <w:rsid w:val="04F47FA4"/>
    <w:rsid w:val="1DD1032B"/>
    <w:rsid w:val="2E0252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widowControl/>
      <w:spacing w:before="40" w:line="259" w:lineRule="auto"/>
      <w:jc w:val="left"/>
      <w:outlineLvl w:val="2"/>
    </w:pPr>
    <w:rPr>
      <w:rFonts w:asciiTheme="majorHAnsi" w:hAnsiTheme="majorHAnsi" w:eastAsiaTheme="majorEastAsia" w:cstheme="majorBidi"/>
      <w:color w:val="1E386B" w:themeColor="accent1" w:themeShade="80"/>
      <w:kern w:val="0"/>
      <w:sz w:val="24"/>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pPr>
      <w:widowControl/>
      <w:spacing w:after="160" w:line="259" w:lineRule="auto"/>
      <w:jc w:val="left"/>
    </w:pPr>
    <w:rPr>
      <w:rFonts w:ascii="等线" w:hAnsi="等线" w:eastAsia="等线" w:cs="等线"/>
      <w:kern w:val="0"/>
      <w:sz w:val="22"/>
      <w:szCs w:val="22"/>
    </w:rPr>
  </w:style>
  <w:style w:type="paragraph" w:styleId="4">
    <w:name w:val="Body Text First Indent"/>
    <w:basedOn w:val="3"/>
    <w:unhideWhenUsed/>
    <w:qFormat/>
    <w:uiPriority w:val="0"/>
    <w:pPr>
      <w:widowControl w:val="0"/>
      <w:spacing w:after="120" w:line="240" w:lineRule="auto"/>
      <w:ind w:firstLine="420" w:firstLineChars="100"/>
      <w:jc w:val="both"/>
    </w:pPr>
    <w:rPr>
      <w:rFonts w:asciiTheme="minorHAnsi" w:hAnsiTheme="minorHAnsi" w:eastAsiaTheme="minorEastAsia" w:cstheme="minorBidi"/>
      <w:kern w:val="2"/>
      <w:sz w:val="21"/>
      <w:szCs w:val="24"/>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annotation reference"/>
    <w:basedOn w:val="7"/>
    <w:unhideWhenUsed/>
    <w:qFormat/>
    <w:uiPriority w:val="0"/>
    <w:rPr>
      <w:sz w:val="21"/>
      <w:szCs w:val="21"/>
    </w:rPr>
  </w:style>
  <w:style w:type="paragraph" w:customStyle="1" w:styleId="9">
    <w:name w:val="null3"/>
    <w:hidden/>
    <w:qFormat/>
    <w:uiPriority w:val="0"/>
    <w:rPr>
      <w:rFonts w:hint="eastAsia" w:asciiTheme="minorHAnsi" w:hAnsiTheme="minorHAnsi" w:eastAsiaTheme="minorEastAsia" w:cstheme="minorBidi"/>
      <w:lang w:val="en-US" w:eastAsia="zh-Hans"/>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2024-07-25T08:24:00Z</dcterms:created>
  <dc:creator>梁浩华</dc:creator>
  <cp:lastModifiedBy>汤太娟</cp:lastModifiedBy>
  <dcterms:modified xsi:type="dcterms:W3CDTF">2024-07-30T07:02:09Z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8EE294CE699C4358819DBEE969C290A0_11</vt:lpwstr>
  </property>
</Properties>
</file>